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349" w:rsidRPr="002F17B5" w:rsidRDefault="004C60CB" w:rsidP="00144349">
      <w:pPr>
        <w:pStyle w:val="Heading1"/>
      </w:pPr>
      <w:r>
        <w:rPr>
          <w:noProof/>
          <w:szCs w:val="24"/>
          <w:lang w:eastAsia="en-GB"/>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6613525</wp:posOffset>
                </wp:positionV>
                <wp:extent cx="6421755" cy="1733550"/>
                <wp:effectExtent l="0" t="0" r="0"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B0F" w:rsidRDefault="004A4B0F" w:rsidP="00144349">
                            <w:pPr>
                              <w:pStyle w:val="Title"/>
                            </w:pPr>
                            <w:r>
                              <w:t>Statement of Accounts</w:t>
                            </w:r>
                          </w:p>
                          <w:p w:rsidR="004A4B0F" w:rsidRPr="00533982" w:rsidRDefault="004A4B0F" w:rsidP="00144349">
                            <w:pPr>
                              <w:pStyle w:val="Title"/>
                            </w:pPr>
                            <w:r>
                              <w:t>2013-14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4.75pt;margin-top:520.75pt;width:505.6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u8uAIAALs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" filled="f" stroked="f">
                <v:textbox>
                  <w:txbxContent>
                    <w:p w:rsidR="004A4B0F" w:rsidRDefault="004A4B0F" w:rsidP="00144349">
                      <w:pPr>
                        <w:pStyle w:val="Title"/>
                      </w:pPr>
                      <w:r>
                        <w:t>Statement of Accounts</w:t>
                      </w:r>
                    </w:p>
                    <w:p w:rsidR="004A4B0F" w:rsidRPr="00533982" w:rsidRDefault="004A4B0F" w:rsidP="00144349">
                      <w:pPr>
                        <w:pStyle w:val="Title"/>
                      </w:pPr>
                      <w:r>
                        <w:t>2013-14</w:t>
                      </w:r>
                    </w:p>
                  </w:txbxContent>
                </v:textbox>
              </v:shape>
            </w:pict>
          </mc:Fallback>
        </mc:AlternateContent>
      </w:r>
    </w:p>
    <w:p w:rsidR="00144349" w:rsidRPr="002F17B5" w:rsidRDefault="00144349" w:rsidP="00144349"/>
    <w:p w:rsidR="00144349" w:rsidRPr="002F17B5" w:rsidRDefault="00144349" w:rsidP="00144349"/>
    <w:p w:rsidR="00144349" w:rsidRPr="002F17B5" w:rsidRDefault="00144349" w:rsidP="00144349">
      <w:pPr>
        <w:pStyle w:val="Heading1"/>
      </w:pPr>
    </w:p>
    <w:p w:rsidR="00144349" w:rsidRPr="002F17B5" w:rsidRDefault="00144349" w:rsidP="00144349">
      <w:pPr>
        <w:pStyle w:val="Heading1"/>
        <w:tabs>
          <w:tab w:val="left" w:pos="6030"/>
        </w:tabs>
      </w:pPr>
      <w:r w:rsidRPr="002F17B5">
        <w:tab/>
      </w:r>
    </w:p>
    <w:p w:rsidR="00454708" w:rsidRPr="002F17B5" w:rsidRDefault="00454708" w:rsidP="003E3B8C">
      <w:pPr>
        <w:pStyle w:val="Heading1"/>
        <w:ind w:left="426"/>
      </w:pPr>
    </w:p>
    <w:p w:rsidR="00FF2A13" w:rsidRDefault="00FF2A13">
      <w:pPr>
        <w:autoSpaceDE/>
        <w:autoSpaceDN/>
        <w:adjustRightInd/>
        <w:spacing w:after="20"/>
        <w:jc w:val="right"/>
      </w:pPr>
      <w:r>
        <w:br w:type="page"/>
      </w:r>
    </w:p>
    <w:p w:rsidR="00284C2C" w:rsidRDefault="00284C2C" w:rsidP="00284C2C">
      <w:pPr>
        <w:pStyle w:val="Heading1"/>
        <w:ind w:left="426"/>
        <w:jc w:val="center"/>
      </w:pPr>
      <w:r>
        <w:lastRenderedPageBreak/>
        <w:t>Lancashire County Council</w:t>
      </w:r>
    </w:p>
    <w:p w:rsidR="00284C2C" w:rsidRDefault="00284C2C" w:rsidP="00284C2C">
      <w:pPr>
        <w:pStyle w:val="Heading1"/>
        <w:ind w:left="426"/>
        <w:jc w:val="center"/>
      </w:pPr>
      <w:r>
        <w:t>Statement of Accounts 2013/14</w:t>
      </w:r>
    </w:p>
    <w:p w:rsidR="00284C2C" w:rsidRPr="00284C2C" w:rsidRDefault="00284C2C" w:rsidP="003E3B8C">
      <w:pPr>
        <w:pStyle w:val="Heading1"/>
        <w:ind w:left="426"/>
        <w:rPr>
          <w:sz w:val="18"/>
        </w:rPr>
      </w:pPr>
    </w:p>
    <w:p w:rsidR="00144349" w:rsidRPr="002F17B5" w:rsidRDefault="00144349" w:rsidP="003E3B8C">
      <w:pPr>
        <w:pStyle w:val="Heading1"/>
        <w:ind w:left="426"/>
      </w:pPr>
      <w:r w:rsidRPr="002F17B5">
        <w:t>Contents</w:t>
      </w:r>
    </w:p>
    <w:p w:rsidR="003E3B8C" w:rsidRPr="00284C2C" w:rsidRDefault="003E3B8C" w:rsidP="003E3B8C">
      <w:pPr>
        <w:rPr>
          <w:sz w:val="8"/>
        </w:rPr>
      </w:pPr>
    </w:p>
    <w:tbl>
      <w:tblPr>
        <w:tblW w:w="10064" w:type="dxa"/>
        <w:tblInd w:w="392" w:type="dxa"/>
        <w:tblLook w:val="04A0" w:firstRow="1" w:lastRow="0" w:firstColumn="1" w:lastColumn="0" w:noHBand="0" w:noVBand="1"/>
      </w:tblPr>
      <w:tblGrid>
        <w:gridCol w:w="9157"/>
        <w:gridCol w:w="907"/>
      </w:tblGrid>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Introduction</w:t>
            </w:r>
          </w:p>
        </w:tc>
        <w:tc>
          <w:tcPr>
            <w:tcW w:w="907" w:type="dxa"/>
            <w:tcBorders>
              <w:top w:val="nil"/>
              <w:left w:val="nil"/>
              <w:bottom w:val="nil"/>
              <w:right w:val="nil"/>
            </w:tcBorders>
            <w:shd w:val="clear" w:color="auto" w:fill="auto"/>
            <w:noWrap/>
            <w:vAlign w:val="center"/>
            <w:hideMark/>
          </w:tcPr>
          <w:p w:rsidR="003E3B8C" w:rsidRPr="00F477E0" w:rsidRDefault="003E3B8C" w:rsidP="003E3B8C">
            <w:pPr>
              <w:autoSpaceDE/>
              <w:autoSpaceDN/>
              <w:adjustRightInd/>
              <w:spacing w:before="0" w:after="0"/>
              <w:jc w:val="center"/>
              <w:rPr>
                <w:rFonts w:eastAsia="Times New Roman" w:cs="Arial"/>
                <w:b/>
                <w:lang w:eastAsia="en-GB"/>
              </w:rPr>
            </w:pPr>
            <w:r w:rsidRPr="00F477E0">
              <w:rPr>
                <w:rFonts w:eastAsia="Times New Roman" w:cs="Arial"/>
                <w:b/>
                <w:lang w:eastAsia="en-GB"/>
              </w:rPr>
              <w:t>1</w:t>
            </w: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Independent Auditor's Report</w:t>
            </w:r>
          </w:p>
        </w:tc>
        <w:tc>
          <w:tcPr>
            <w:tcW w:w="907" w:type="dxa"/>
            <w:tcBorders>
              <w:top w:val="nil"/>
              <w:left w:val="nil"/>
              <w:bottom w:val="nil"/>
              <w:right w:val="nil"/>
            </w:tcBorders>
            <w:shd w:val="clear" w:color="auto" w:fill="auto"/>
            <w:noWrap/>
            <w:vAlign w:val="center"/>
            <w:hideMark/>
          </w:tcPr>
          <w:p w:rsidR="003E3B8C" w:rsidRPr="00F477E0" w:rsidRDefault="00121727" w:rsidP="003E3B8C">
            <w:pPr>
              <w:autoSpaceDE/>
              <w:autoSpaceDN/>
              <w:adjustRightInd/>
              <w:spacing w:before="0" w:after="0"/>
              <w:jc w:val="center"/>
              <w:rPr>
                <w:rFonts w:eastAsia="Times New Roman" w:cs="Arial"/>
                <w:b/>
                <w:lang w:eastAsia="en-GB"/>
              </w:rPr>
            </w:pPr>
            <w:r w:rsidRPr="00F477E0">
              <w:rPr>
                <w:rFonts w:eastAsia="Times New Roman" w:cs="Arial"/>
                <w:b/>
                <w:lang w:eastAsia="en-GB"/>
              </w:rPr>
              <w:t>8</w:t>
            </w: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 xml:space="preserve">Statement of </w:t>
            </w:r>
            <w:r w:rsidR="00121727" w:rsidRPr="002F17B5">
              <w:rPr>
                <w:rFonts w:eastAsia="Times New Roman" w:cs="Arial"/>
                <w:b/>
                <w:bCs/>
                <w:lang w:eastAsia="en-GB"/>
              </w:rPr>
              <w:t>Responsibilities</w:t>
            </w:r>
          </w:p>
        </w:tc>
        <w:tc>
          <w:tcPr>
            <w:tcW w:w="907" w:type="dxa"/>
            <w:tcBorders>
              <w:top w:val="nil"/>
              <w:left w:val="nil"/>
              <w:bottom w:val="nil"/>
              <w:right w:val="nil"/>
            </w:tcBorders>
            <w:shd w:val="clear" w:color="auto" w:fill="auto"/>
            <w:noWrap/>
            <w:vAlign w:val="center"/>
            <w:hideMark/>
          </w:tcPr>
          <w:p w:rsidR="003E3B8C" w:rsidRPr="00F477E0" w:rsidRDefault="003E3B8C" w:rsidP="003E3B8C">
            <w:pPr>
              <w:autoSpaceDE/>
              <w:autoSpaceDN/>
              <w:adjustRightInd/>
              <w:spacing w:before="0" w:after="0"/>
              <w:jc w:val="center"/>
              <w:rPr>
                <w:rFonts w:eastAsia="Times New Roman" w:cs="Arial"/>
                <w:b/>
                <w:lang w:eastAsia="en-GB"/>
              </w:rPr>
            </w:pPr>
            <w:r w:rsidRPr="00F477E0">
              <w:rPr>
                <w:rFonts w:eastAsia="Times New Roman" w:cs="Arial"/>
                <w:b/>
                <w:lang w:eastAsia="en-GB"/>
              </w:rPr>
              <w:t>11</w:t>
            </w: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Annual Governance Statement</w:t>
            </w:r>
          </w:p>
        </w:tc>
        <w:tc>
          <w:tcPr>
            <w:tcW w:w="907" w:type="dxa"/>
            <w:tcBorders>
              <w:top w:val="nil"/>
              <w:left w:val="nil"/>
              <w:bottom w:val="nil"/>
              <w:right w:val="nil"/>
            </w:tcBorders>
            <w:shd w:val="clear" w:color="auto" w:fill="auto"/>
            <w:noWrap/>
            <w:vAlign w:val="center"/>
            <w:hideMark/>
          </w:tcPr>
          <w:p w:rsidR="003E3B8C" w:rsidRPr="00F477E0" w:rsidRDefault="003E3B8C" w:rsidP="003E3B8C">
            <w:pPr>
              <w:autoSpaceDE/>
              <w:autoSpaceDN/>
              <w:adjustRightInd/>
              <w:spacing w:before="0" w:after="0"/>
              <w:jc w:val="center"/>
              <w:rPr>
                <w:rFonts w:eastAsia="Times New Roman" w:cs="Arial"/>
                <w:b/>
                <w:lang w:eastAsia="en-GB"/>
              </w:rPr>
            </w:pPr>
            <w:r w:rsidRPr="00F477E0">
              <w:rPr>
                <w:rFonts w:eastAsia="Times New Roman" w:cs="Arial"/>
                <w:b/>
                <w:lang w:eastAsia="en-GB"/>
              </w:rPr>
              <w:t>12</w:t>
            </w: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Financial statements:-</w:t>
            </w:r>
          </w:p>
        </w:tc>
        <w:tc>
          <w:tcPr>
            <w:tcW w:w="907" w:type="dxa"/>
            <w:tcBorders>
              <w:top w:val="nil"/>
              <w:left w:val="nil"/>
              <w:bottom w:val="nil"/>
              <w:right w:val="nil"/>
            </w:tcBorders>
            <w:shd w:val="clear" w:color="auto" w:fill="auto"/>
            <w:noWrap/>
            <w:vAlign w:val="center"/>
            <w:hideMark/>
          </w:tcPr>
          <w:p w:rsidR="003E3B8C" w:rsidRPr="00F477E0" w:rsidRDefault="003E3B8C" w:rsidP="003E3B8C">
            <w:pPr>
              <w:autoSpaceDE/>
              <w:autoSpaceDN/>
              <w:adjustRightInd/>
              <w:spacing w:before="0" w:after="0"/>
              <w:jc w:val="center"/>
              <w:rPr>
                <w:rFonts w:eastAsia="Times New Roman" w:cs="Arial"/>
                <w:b/>
                <w:lang w:eastAsia="en-GB"/>
              </w:rPr>
            </w:pP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Movement in Reserves Statement</w:t>
            </w:r>
          </w:p>
        </w:tc>
        <w:tc>
          <w:tcPr>
            <w:tcW w:w="907" w:type="dxa"/>
            <w:tcBorders>
              <w:top w:val="nil"/>
              <w:left w:val="nil"/>
              <w:bottom w:val="nil"/>
              <w:right w:val="nil"/>
            </w:tcBorders>
            <w:shd w:val="clear" w:color="auto" w:fill="auto"/>
            <w:noWrap/>
            <w:vAlign w:val="center"/>
            <w:hideMark/>
          </w:tcPr>
          <w:p w:rsidR="003E3B8C" w:rsidRPr="00F477E0" w:rsidRDefault="007D1E4D" w:rsidP="003E3B8C">
            <w:pPr>
              <w:autoSpaceDE/>
              <w:autoSpaceDN/>
              <w:adjustRightInd/>
              <w:spacing w:before="0" w:after="0"/>
              <w:jc w:val="center"/>
              <w:rPr>
                <w:rFonts w:eastAsia="Times New Roman" w:cs="Arial"/>
                <w:b/>
                <w:lang w:eastAsia="en-GB"/>
              </w:rPr>
            </w:pPr>
            <w:r>
              <w:rPr>
                <w:rFonts w:eastAsia="Times New Roman" w:cs="Arial"/>
                <w:b/>
                <w:lang w:eastAsia="en-GB"/>
              </w:rPr>
              <w:t>21</w:t>
            </w: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Comprehensive Income and Expenditure Statement</w:t>
            </w:r>
          </w:p>
        </w:tc>
        <w:tc>
          <w:tcPr>
            <w:tcW w:w="907" w:type="dxa"/>
            <w:tcBorders>
              <w:top w:val="nil"/>
              <w:left w:val="nil"/>
              <w:bottom w:val="nil"/>
              <w:right w:val="nil"/>
            </w:tcBorders>
            <w:shd w:val="clear" w:color="auto" w:fill="auto"/>
            <w:noWrap/>
            <w:vAlign w:val="center"/>
            <w:hideMark/>
          </w:tcPr>
          <w:p w:rsidR="003E3B8C" w:rsidRPr="00F477E0" w:rsidRDefault="007D1E4D" w:rsidP="003E3B8C">
            <w:pPr>
              <w:autoSpaceDE/>
              <w:autoSpaceDN/>
              <w:adjustRightInd/>
              <w:spacing w:before="0" w:after="0"/>
              <w:jc w:val="center"/>
              <w:rPr>
                <w:rFonts w:eastAsia="Times New Roman" w:cs="Arial"/>
                <w:b/>
                <w:lang w:eastAsia="en-GB"/>
              </w:rPr>
            </w:pPr>
            <w:r>
              <w:rPr>
                <w:rFonts w:eastAsia="Times New Roman" w:cs="Arial"/>
                <w:b/>
                <w:lang w:eastAsia="en-GB"/>
              </w:rPr>
              <w:t>23</w:t>
            </w: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Balance Sheet</w:t>
            </w:r>
          </w:p>
        </w:tc>
        <w:tc>
          <w:tcPr>
            <w:tcW w:w="907" w:type="dxa"/>
            <w:tcBorders>
              <w:top w:val="nil"/>
              <w:left w:val="nil"/>
              <w:bottom w:val="nil"/>
              <w:right w:val="nil"/>
            </w:tcBorders>
            <w:shd w:val="clear" w:color="auto" w:fill="auto"/>
            <w:noWrap/>
            <w:vAlign w:val="center"/>
            <w:hideMark/>
          </w:tcPr>
          <w:p w:rsidR="003E3B8C" w:rsidRPr="00F477E0" w:rsidRDefault="007D1E4D" w:rsidP="003E3B8C">
            <w:pPr>
              <w:autoSpaceDE/>
              <w:autoSpaceDN/>
              <w:adjustRightInd/>
              <w:spacing w:before="0" w:after="0"/>
              <w:jc w:val="center"/>
              <w:rPr>
                <w:rFonts w:eastAsia="Times New Roman" w:cs="Arial"/>
                <w:b/>
                <w:color w:val="auto"/>
                <w:lang w:eastAsia="en-GB"/>
              </w:rPr>
            </w:pPr>
            <w:r>
              <w:rPr>
                <w:rFonts w:eastAsia="Times New Roman" w:cs="Arial"/>
                <w:b/>
                <w:color w:val="auto"/>
                <w:lang w:eastAsia="en-GB"/>
              </w:rPr>
              <w:t>25</w:t>
            </w: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CF676B" w:rsidRPr="002F17B5" w:rsidRDefault="003E3B8C" w:rsidP="00F477E0">
            <w:pPr>
              <w:autoSpaceDE/>
              <w:autoSpaceDN/>
              <w:adjustRightInd/>
              <w:spacing w:before="0" w:after="0"/>
              <w:jc w:val="left"/>
              <w:rPr>
                <w:rFonts w:eastAsia="Times New Roman" w:cs="Arial"/>
                <w:b/>
                <w:bCs/>
                <w:lang w:eastAsia="en-GB"/>
              </w:rPr>
            </w:pPr>
            <w:r w:rsidRPr="002F17B5">
              <w:rPr>
                <w:rFonts w:eastAsia="Times New Roman" w:cs="Arial"/>
                <w:b/>
                <w:bCs/>
                <w:lang w:eastAsia="en-GB"/>
              </w:rPr>
              <w:t>Cash Flow Statement</w:t>
            </w:r>
          </w:p>
        </w:tc>
        <w:tc>
          <w:tcPr>
            <w:tcW w:w="907" w:type="dxa"/>
            <w:tcBorders>
              <w:top w:val="nil"/>
              <w:left w:val="nil"/>
              <w:bottom w:val="nil"/>
              <w:right w:val="nil"/>
            </w:tcBorders>
            <w:shd w:val="clear" w:color="auto" w:fill="auto"/>
            <w:noWrap/>
            <w:vAlign w:val="center"/>
            <w:hideMark/>
          </w:tcPr>
          <w:p w:rsidR="003E3B8C" w:rsidRPr="00F477E0" w:rsidRDefault="007D1E4D" w:rsidP="003E3B8C">
            <w:pPr>
              <w:autoSpaceDE/>
              <w:autoSpaceDN/>
              <w:adjustRightInd/>
              <w:spacing w:before="0" w:after="0"/>
              <w:jc w:val="center"/>
              <w:rPr>
                <w:rFonts w:eastAsia="Times New Roman" w:cs="Arial"/>
                <w:b/>
                <w:lang w:eastAsia="en-GB"/>
              </w:rPr>
            </w:pPr>
            <w:r>
              <w:rPr>
                <w:rFonts w:eastAsia="Times New Roman" w:cs="Arial"/>
                <w:b/>
                <w:lang w:eastAsia="en-GB"/>
              </w:rPr>
              <w:t>27</w:t>
            </w: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jc w:val="left"/>
              <w:rPr>
                <w:rFonts w:eastAsia="Times New Roman" w:cs="Arial"/>
                <w:b/>
                <w:bCs/>
                <w:lang w:eastAsia="en-GB"/>
              </w:rPr>
            </w:pPr>
            <w:r w:rsidRPr="002F17B5">
              <w:rPr>
                <w:rFonts w:eastAsia="Times New Roman" w:cs="Arial"/>
                <w:b/>
                <w:bCs/>
                <w:lang w:eastAsia="en-GB"/>
              </w:rPr>
              <w:t>Notes to the Financial Statements:-</w:t>
            </w:r>
          </w:p>
        </w:tc>
        <w:tc>
          <w:tcPr>
            <w:tcW w:w="907" w:type="dxa"/>
            <w:tcBorders>
              <w:top w:val="nil"/>
              <w:left w:val="nil"/>
              <w:bottom w:val="nil"/>
              <w:right w:val="nil"/>
            </w:tcBorders>
            <w:shd w:val="clear" w:color="auto" w:fill="auto"/>
            <w:noWrap/>
            <w:vAlign w:val="center"/>
            <w:hideMark/>
          </w:tcPr>
          <w:p w:rsidR="003E3B8C" w:rsidRPr="00F477E0" w:rsidRDefault="003E3B8C" w:rsidP="003E3B8C">
            <w:pPr>
              <w:autoSpaceDE/>
              <w:autoSpaceDN/>
              <w:adjustRightInd/>
              <w:spacing w:before="0" w:after="0"/>
              <w:jc w:val="center"/>
              <w:rPr>
                <w:rFonts w:eastAsia="Times New Roman" w:cs="Arial"/>
                <w:lang w:eastAsia="en-GB"/>
              </w:rPr>
            </w:pP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B72452">
            <w:pPr>
              <w:autoSpaceDE/>
              <w:autoSpaceDN/>
              <w:adjustRightInd/>
              <w:spacing w:before="0" w:after="0"/>
              <w:ind w:left="567"/>
              <w:jc w:val="left"/>
              <w:rPr>
                <w:rFonts w:eastAsia="Times New Roman" w:cs="Arial"/>
                <w:lang w:eastAsia="en-GB"/>
              </w:rPr>
            </w:pPr>
            <w:r w:rsidRPr="002F17B5">
              <w:rPr>
                <w:rFonts w:eastAsia="Times New Roman" w:cs="Arial"/>
                <w:lang w:eastAsia="en-GB"/>
              </w:rPr>
              <w:t xml:space="preserve">1.  </w:t>
            </w:r>
            <w:r w:rsidR="00B72452">
              <w:rPr>
                <w:rFonts w:eastAsia="Times New Roman" w:cs="Arial"/>
                <w:lang w:eastAsia="en-GB"/>
              </w:rPr>
              <w:t>A</w:t>
            </w:r>
            <w:r w:rsidRPr="002F17B5">
              <w:rPr>
                <w:rFonts w:eastAsia="Times New Roman" w:cs="Arial"/>
                <w:lang w:eastAsia="en-GB"/>
              </w:rPr>
              <w:t>ccounting policies</w:t>
            </w:r>
          </w:p>
        </w:tc>
        <w:tc>
          <w:tcPr>
            <w:tcW w:w="907" w:type="dxa"/>
            <w:tcBorders>
              <w:top w:val="nil"/>
              <w:left w:val="nil"/>
              <w:bottom w:val="nil"/>
              <w:right w:val="nil"/>
            </w:tcBorders>
            <w:shd w:val="clear" w:color="auto" w:fill="auto"/>
            <w:noWrap/>
            <w:vAlign w:val="center"/>
            <w:hideMark/>
          </w:tcPr>
          <w:p w:rsidR="003E3B8C" w:rsidRPr="00F477E0" w:rsidRDefault="007D1E4D"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28</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F477E0">
            <w:pPr>
              <w:autoSpaceDE/>
              <w:autoSpaceDN/>
              <w:adjustRightInd/>
              <w:spacing w:before="0" w:after="0"/>
              <w:ind w:left="567"/>
              <w:jc w:val="left"/>
              <w:rPr>
                <w:rFonts w:eastAsia="Times New Roman" w:cs="Arial"/>
                <w:lang w:eastAsia="en-GB"/>
              </w:rPr>
            </w:pPr>
            <w:r w:rsidRPr="002F17B5">
              <w:rPr>
                <w:rFonts w:eastAsia="Times New Roman" w:cs="Arial"/>
                <w:lang w:eastAsia="en-GB"/>
              </w:rPr>
              <w:t xml:space="preserve">2.  Critical judgements in applying accounting policies </w:t>
            </w:r>
          </w:p>
        </w:tc>
        <w:tc>
          <w:tcPr>
            <w:tcW w:w="907" w:type="dxa"/>
            <w:tcBorders>
              <w:top w:val="nil"/>
              <w:left w:val="nil"/>
              <w:bottom w:val="nil"/>
              <w:right w:val="nil"/>
            </w:tcBorders>
            <w:shd w:val="clear" w:color="auto" w:fill="auto"/>
            <w:noWrap/>
            <w:vAlign w:val="center"/>
            <w:hideMark/>
          </w:tcPr>
          <w:p w:rsidR="003E3B8C" w:rsidRPr="00F477E0" w:rsidRDefault="003E3B8C" w:rsidP="007D1E4D">
            <w:pPr>
              <w:autoSpaceDE/>
              <w:autoSpaceDN/>
              <w:adjustRightInd/>
              <w:spacing w:before="0" w:after="0"/>
              <w:jc w:val="center"/>
              <w:rPr>
                <w:rFonts w:eastAsia="Times New Roman" w:cs="Arial"/>
                <w:color w:val="auto"/>
                <w:lang w:eastAsia="en-GB"/>
              </w:rPr>
            </w:pPr>
            <w:r w:rsidRPr="00F477E0">
              <w:rPr>
                <w:rFonts w:eastAsia="Times New Roman" w:cs="Arial"/>
                <w:color w:val="auto"/>
                <w:lang w:eastAsia="en-GB"/>
              </w:rPr>
              <w:t>4</w:t>
            </w:r>
            <w:r w:rsidR="007D1E4D">
              <w:rPr>
                <w:rFonts w:eastAsia="Times New Roman" w:cs="Arial"/>
                <w:color w:val="auto"/>
                <w:lang w:eastAsia="en-GB"/>
              </w:rPr>
              <w:t>8</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F477E0">
            <w:pPr>
              <w:autoSpaceDE/>
              <w:autoSpaceDN/>
              <w:adjustRightInd/>
              <w:spacing w:before="0" w:after="0"/>
              <w:ind w:left="567"/>
              <w:jc w:val="left"/>
              <w:rPr>
                <w:rFonts w:eastAsia="Times New Roman" w:cs="Arial"/>
                <w:lang w:eastAsia="en-GB"/>
              </w:rPr>
            </w:pPr>
            <w:r w:rsidRPr="002F17B5">
              <w:rPr>
                <w:rFonts w:eastAsia="Times New Roman" w:cs="Arial"/>
                <w:lang w:eastAsia="en-GB"/>
              </w:rPr>
              <w:t>3.  Accounting standards that have been issued but not yet adopted</w:t>
            </w:r>
          </w:p>
        </w:tc>
        <w:tc>
          <w:tcPr>
            <w:tcW w:w="907" w:type="dxa"/>
            <w:tcBorders>
              <w:top w:val="nil"/>
              <w:left w:val="nil"/>
              <w:bottom w:val="nil"/>
              <w:right w:val="nil"/>
            </w:tcBorders>
            <w:shd w:val="clear" w:color="auto" w:fill="auto"/>
            <w:noWrap/>
            <w:vAlign w:val="center"/>
            <w:hideMark/>
          </w:tcPr>
          <w:p w:rsidR="003E3B8C" w:rsidRPr="00F477E0" w:rsidRDefault="00803EAA"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4</w:t>
            </w:r>
            <w:r w:rsidR="007D1E4D">
              <w:rPr>
                <w:rFonts w:eastAsia="Times New Roman" w:cs="Arial"/>
                <w:color w:val="auto"/>
                <w:lang w:eastAsia="en-GB"/>
              </w:rPr>
              <w:t>9</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F477E0" w:rsidRDefault="003E3B8C" w:rsidP="00F477E0">
            <w:pPr>
              <w:autoSpaceDE/>
              <w:autoSpaceDN/>
              <w:adjustRightInd/>
              <w:spacing w:before="0" w:after="0"/>
              <w:ind w:left="567"/>
              <w:jc w:val="left"/>
              <w:rPr>
                <w:rFonts w:eastAsia="Times New Roman" w:cs="Arial"/>
                <w:lang w:eastAsia="en-GB"/>
              </w:rPr>
            </w:pPr>
            <w:r w:rsidRPr="002F17B5">
              <w:rPr>
                <w:rFonts w:eastAsia="Times New Roman" w:cs="Arial"/>
                <w:lang w:eastAsia="en-GB"/>
              </w:rPr>
              <w:t xml:space="preserve">4.  Assumptions made about the future and other major sources </w:t>
            </w:r>
          </w:p>
          <w:p w:rsidR="003E3B8C" w:rsidRPr="002F17B5" w:rsidRDefault="00F477E0" w:rsidP="00F477E0">
            <w:pPr>
              <w:autoSpaceDE/>
              <w:autoSpaceDN/>
              <w:adjustRightInd/>
              <w:spacing w:before="0" w:after="0"/>
              <w:ind w:left="850"/>
              <w:jc w:val="left"/>
              <w:rPr>
                <w:rFonts w:eastAsia="Times New Roman" w:cs="Arial"/>
                <w:lang w:eastAsia="en-GB"/>
              </w:rPr>
            </w:pPr>
            <w:r>
              <w:rPr>
                <w:rFonts w:eastAsia="Times New Roman" w:cs="Arial"/>
                <w:lang w:eastAsia="en-GB"/>
              </w:rPr>
              <w:t>of estimation u</w:t>
            </w:r>
            <w:r w:rsidR="003E3B8C" w:rsidRPr="002F17B5">
              <w:rPr>
                <w:rFonts w:eastAsia="Times New Roman" w:cs="Arial"/>
                <w:lang w:eastAsia="en-GB"/>
              </w:rPr>
              <w:t>ncertainty</w:t>
            </w:r>
          </w:p>
        </w:tc>
        <w:tc>
          <w:tcPr>
            <w:tcW w:w="907" w:type="dxa"/>
            <w:tcBorders>
              <w:top w:val="nil"/>
              <w:left w:val="nil"/>
              <w:bottom w:val="nil"/>
              <w:right w:val="nil"/>
            </w:tcBorders>
            <w:shd w:val="clear" w:color="auto" w:fill="auto"/>
            <w:noWrap/>
            <w:vAlign w:val="center"/>
            <w:hideMark/>
          </w:tcPr>
          <w:p w:rsidR="003E3B8C" w:rsidRPr="00F477E0" w:rsidRDefault="00803EAA"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4</w:t>
            </w:r>
            <w:r w:rsidR="007D1E4D">
              <w:rPr>
                <w:rFonts w:eastAsia="Times New Roman" w:cs="Arial"/>
                <w:color w:val="auto"/>
                <w:lang w:eastAsia="en-GB"/>
              </w:rPr>
              <w:t>9</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F477E0">
            <w:pPr>
              <w:autoSpaceDE/>
              <w:autoSpaceDN/>
              <w:adjustRightInd/>
              <w:spacing w:before="0" w:after="0"/>
              <w:ind w:left="567"/>
              <w:jc w:val="left"/>
              <w:rPr>
                <w:rFonts w:eastAsia="Times New Roman" w:cs="Arial"/>
                <w:lang w:eastAsia="en-GB"/>
              </w:rPr>
            </w:pPr>
            <w:r w:rsidRPr="002F17B5">
              <w:rPr>
                <w:rFonts w:eastAsia="Times New Roman" w:cs="Arial"/>
                <w:lang w:eastAsia="en-GB"/>
              </w:rPr>
              <w:t>5.  Statutory charge for the repayment of debt</w:t>
            </w:r>
          </w:p>
        </w:tc>
        <w:tc>
          <w:tcPr>
            <w:tcW w:w="907" w:type="dxa"/>
            <w:tcBorders>
              <w:top w:val="nil"/>
              <w:left w:val="nil"/>
              <w:bottom w:val="nil"/>
              <w:right w:val="nil"/>
            </w:tcBorders>
            <w:shd w:val="clear" w:color="auto" w:fill="auto"/>
            <w:noWrap/>
            <w:vAlign w:val="center"/>
            <w:hideMark/>
          </w:tcPr>
          <w:p w:rsidR="003E3B8C" w:rsidRPr="00F477E0" w:rsidRDefault="007D1E4D"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51</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F477E0">
            <w:pPr>
              <w:autoSpaceDE/>
              <w:autoSpaceDN/>
              <w:adjustRightInd/>
              <w:spacing w:before="0" w:after="0"/>
              <w:ind w:left="567"/>
              <w:jc w:val="left"/>
              <w:rPr>
                <w:rFonts w:eastAsia="Times New Roman" w:cs="Arial"/>
                <w:lang w:eastAsia="en-GB"/>
              </w:rPr>
            </w:pPr>
            <w:r w:rsidRPr="002F17B5">
              <w:rPr>
                <w:rFonts w:eastAsia="Times New Roman" w:cs="Arial"/>
                <w:lang w:eastAsia="en-GB"/>
              </w:rPr>
              <w:t>6.  Adjustments between funding basis and regulation</w:t>
            </w:r>
          </w:p>
        </w:tc>
        <w:tc>
          <w:tcPr>
            <w:tcW w:w="907" w:type="dxa"/>
            <w:tcBorders>
              <w:top w:val="nil"/>
              <w:left w:val="nil"/>
              <w:bottom w:val="nil"/>
              <w:right w:val="nil"/>
            </w:tcBorders>
            <w:shd w:val="clear" w:color="auto" w:fill="auto"/>
            <w:noWrap/>
            <w:vAlign w:val="center"/>
            <w:hideMark/>
          </w:tcPr>
          <w:p w:rsidR="003E3B8C" w:rsidRPr="00F477E0" w:rsidRDefault="007D1E4D"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52</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F477E0">
            <w:pPr>
              <w:autoSpaceDE/>
              <w:autoSpaceDN/>
              <w:adjustRightInd/>
              <w:spacing w:before="0" w:after="0"/>
              <w:ind w:left="567"/>
              <w:jc w:val="left"/>
              <w:rPr>
                <w:rFonts w:eastAsia="Times New Roman" w:cs="Arial"/>
                <w:lang w:eastAsia="en-GB"/>
              </w:rPr>
            </w:pPr>
            <w:r w:rsidRPr="002F17B5">
              <w:rPr>
                <w:rFonts w:eastAsia="Times New Roman" w:cs="Arial"/>
                <w:lang w:eastAsia="en-GB"/>
              </w:rPr>
              <w:t>7.  Transfers to and from earmarked reserves</w:t>
            </w:r>
          </w:p>
        </w:tc>
        <w:tc>
          <w:tcPr>
            <w:tcW w:w="907" w:type="dxa"/>
            <w:tcBorders>
              <w:top w:val="nil"/>
              <w:left w:val="nil"/>
              <w:bottom w:val="nil"/>
              <w:right w:val="nil"/>
            </w:tcBorders>
            <w:shd w:val="clear" w:color="auto" w:fill="auto"/>
            <w:noWrap/>
            <w:vAlign w:val="center"/>
            <w:hideMark/>
          </w:tcPr>
          <w:p w:rsidR="003E3B8C" w:rsidRPr="00F477E0" w:rsidRDefault="00803EAA"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5</w:t>
            </w:r>
            <w:r w:rsidR="007D1E4D">
              <w:rPr>
                <w:rFonts w:eastAsia="Times New Roman" w:cs="Arial"/>
                <w:color w:val="auto"/>
                <w:lang w:eastAsia="en-GB"/>
              </w:rPr>
              <w:t>6</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F477E0">
            <w:pPr>
              <w:autoSpaceDE/>
              <w:autoSpaceDN/>
              <w:adjustRightInd/>
              <w:spacing w:before="0" w:after="0"/>
              <w:ind w:left="567"/>
              <w:jc w:val="left"/>
              <w:rPr>
                <w:rFonts w:eastAsia="Times New Roman" w:cs="Arial"/>
                <w:lang w:eastAsia="en-GB"/>
              </w:rPr>
            </w:pPr>
            <w:r w:rsidRPr="002F17B5">
              <w:rPr>
                <w:rFonts w:eastAsia="Times New Roman" w:cs="Arial"/>
                <w:lang w:eastAsia="en-GB"/>
              </w:rPr>
              <w:t>8.  Revenue reserves</w:t>
            </w:r>
          </w:p>
        </w:tc>
        <w:tc>
          <w:tcPr>
            <w:tcW w:w="907" w:type="dxa"/>
            <w:tcBorders>
              <w:top w:val="nil"/>
              <w:left w:val="nil"/>
              <w:bottom w:val="nil"/>
              <w:right w:val="nil"/>
            </w:tcBorders>
            <w:shd w:val="clear" w:color="auto" w:fill="auto"/>
            <w:noWrap/>
            <w:vAlign w:val="center"/>
            <w:hideMark/>
          </w:tcPr>
          <w:p w:rsidR="003E3B8C" w:rsidRPr="00F477E0" w:rsidRDefault="00803EAA"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5</w:t>
            </w:r>
            <w:r w:rsidR="007D1E4D">
              <w:rPr>
                <w:rFonts w:eastAsia="Times New Roman" w:cs="Arial"/>
                <w:color w:val="auto"/>
                <w:lang w:eastAsia="en-GB"/>
              </w:rPr>
              <w:t>8</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F477E0">
            <w:pPr>
              <w:autoSpaceDE/>
              <w:autoSpaceDN/>
              <w:adjustRightInd/>
              <w:spacing w:before="0" w:after="0"/>
              <w:ind w:left="567"/>
              <w:jc w:val="left"/>
              <w:rPr>
                <w:rFonts w:eastAsia="Times New Roman" w:cs="Arial"/>
                <w:lang w:eastAsia="en-GB"/>
              </w:rPr>
            </w:pPr>
            <w:r w:rsidRPr="002F17B5">
              <w:rPr>
                <w:rFonts w:eastAsia="Times New Roman" w:cs="Arial"/>
                <w:lang w:eastAsia="en-GB"/>
              </w:rPr>
              <w:t>9.  Other operating expenditure</w:t>
            </w:r>
          </w:p>
        </w:tc>
        <w:tc>
          <w:tcPr>
            <w:tcW w:w="907" w:type="dxa"/>
            <w:tcBorders>
              <w:top w:val="nil"/>
              <w:left w:val="nil"/>
              <w:bottom w:val="nil"/>
              <w:right w:val="nil"/>
            </w:tcBorders>
            <w:shd w:val="clear" w:color="auto" w:fill="auto"/>
            <w:noWrap/>
            <w:vAlign w:val="center"/>
            <w:hideMark/>
          </w:tcPr>
          <w:p w:rsidR="003E3B8C" w:rsidRPr="00F477E0" w:rsidRDefault="00803EAA"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5</w:t>
            </w:r>
            <w:r w:rsidR="007D1E4D">
              <w:rPr>
                <w:rFonts w:eastAsia="Times New Roman" w:cs="Arial"/>
                <w:color w:val="auto"/>
                <w:lang w:eastAsia="en-GB"/>
              </w:rPr>
              <w:t>9</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10.  Financing and investment income and expenditure</w:t>
            </w:r>
          </w:p>
        </w:tc>
        <w:tc>
          <w:tcPr>
            <w:tcW w:w="907" w:type="dxa"/>
            <w:tcBorders>
              <w:top w:val="nil"/>
              <w:left w:val="nil"/>
              <w:bottom w:val="nil"/>
              <w:right w:val="nil"/>
            </w:tcBorders>
            <w:shd w:val="clear" w:color="auto" w:fill="auto"/>
            <w:noWrap/>
            <w:vAlign w:val="center"/>
            <w:hideMark/>
          </w:tcPr>
          <w:p w:rsidR="003E3B8C" w:rsidRPr="00F477E0" w:rsidRDefault="00803EAA"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5</w:t>
            </w:r>
            <w:r w:rsidR="007D1E4D">
              <w:rPr>
                <w:rFonts w:eastAsia="Times New Roman" w:cs="Arial"/>
                <w:color w:val="auto"/>
                <w:lang w:eastAsia="en-GB"/>
              </w:rPr>
              <w:t>9</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11.  Taxation and non-specific grants income</w:t>
            </w:r>
          </w:p>
        </w:tc>
        <w:tc>
          <w:tcPr>
            <w:tcW w:w="907" w:type="dxa"/>
            <w:tcBorders>
              <w:top w:val="nil"/>
              <w:left w:val="nil"/>
              <w:bottom w:val="nil"/>
              <w:right w:val="nil"/>
            </w:tcBorders>
            <w:shd w:val="clear" w:color="auto" w:fill="auto"/>
            <w:noWrap/>
            <w:vAlign w:val="center"/>
            <w:hideMark/>
          </w:tcPr>
          <w:p w:rsidR="003E3B8C" w:rsidRPr="00F477E0" w:rsidRDefault="00803EAA"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5</w:t>
            </w:r>
            <w:r w:rsidR="007D1E4D">
              <w:rPr>
                <w:rFonts w:eastAsia="Times New Roman" w:cs="Arial"/>
                <w:color w:val="auto"/>
                <w:lang w:eastAsia="en-GB"/>
              </w:rPr>
              <w:t>9</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12.  Amounts reported for resource allocation decisions</w:t>
            </w:r>
          </w:p>
        </w:tc>
        <w:tc>
          <w:tcPr>
            <w:tcW w:w="907" w:type="dxa"/>
            <w:tcBorders>
              <w:top w:val="nil"/>
              <w:left w:val="nil"/>
              <w:bottom w:val="nil"/>
              <w:right w:val="nil"/>
            </w:tcBorders>
            <w:shd w:val="clear" w:color="auto" w:fill="auto"/>
            <w:vAlign w:val="center"/>
            <w:hideMark/>
          </w:tcPr>
          <w:p w:rsidR="003E3B8C" w:rsidRPr="00F477E0" w:rsidRDefault="007D1E4D" w:rsidP="007D1E4D">
            <w:pPr>
              <w:autoSpaceDE/>
              <w:autoSpaceDN/>
              <w:adjustRightInd/>
              <w:spacing w:before="0" w:after="0"/>
              <w:jc w:val="center"/>
              <w:rPr>
                <w:rFonts w:eastAsia="Times New Roman" w:cs="Arial"/>
                <w:color w:val="auto"/>
                <w:lang w:eastAsia="en-GB"/>
              </w:rPr>
            </w:pPr>
            <w:r>
              <w:rPr>
                <w:rFonts w:eastAsia="Times New Roman" w:cs="Arial"/>
                <w:color w:val="auto"/>
                <w:lang w:eastAsia="en-GB"/>
              </w:rPr>
              <w:t>60</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13.  Grant income</w:t>
            </w:r>
          </w:p>
        </w:tc>
        <w:tc>
          <w:tcPr>
            <w:tcW w:w="907" w:type="dxa"/>
            <w:tcBorders>
              <w:top w:val="nil"/>
              <w:left w:val="nil"/>
              <w:bottom w:val="nil"/>
              <w:right w:val="nil"/>
            </w:tcBorders>
            <w:shd w:val="clear" w:color="auto" w:fill="auto"/>
            <w:noWrap/>
            <w:vAlign w:val="center"/>
            <w:hideMark/>
          </w:tcPr>
          <w:p w:rsidR="003E3B8C" w:rsidRPr="00F477E0" w:rsidRDefault="00803EAA" w:rsidP="00F51C5F">
            <w:pPr>
              <w:autoSpaceDE/>
              <w:autoSpaceDN/>
              <w:adjustRightInd/>
              <w:spacing w:before="0" w:after="0"/>
              <w:jc w:val="center"/>
              <w:rPr>
                <w:rFonts w:eastAsia="Times New Roman" w:cs="Arial"/>
                <w:color w:val="auto"/>
                <w:lang w:eastAsia="en-GB"/>
              </w:rPr>
            </w:pPr>
            <w:r>
              <w:rPr>
                <w:rFonts w:eastAsia="Times New Roman" w:cs="Arial"/>
                <w:color w:val="auto"/>
                <w:lang w:eastAsia="en-GB"/>
              </w:rPr>
              <w:t>6</w:t>
            </w:r>
            <w:r w:rsidR="00F51C5F">
              <w:rPr>
                <w:rFonts w:eastAsia="Times New Roman" w:cs="Arial"/>
                <w:color w:val="auto"/>
                <w:lang w:eastAsia="en-GB"/>
              </w:rPr>
              <w:t>4</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14.  Dedicated Schools Grant</w:t>
            </w:r>
          </w:p>
        </w:tc>
        <w:tc>
          <w:tcPr>
            <w:tcW w:w="907" w:type="dxa"/>
            <w:tcBorders>
              <w:top w:val="nil"/>
              <w:left w:val="nil"/>
              <w:bottom w:val="nil"/>
              <w:right w:val="nil"/>
            </w:tcBorders>
            <w:shd w:val="clear" w:color="auto" w:fill="auto"/>
            <w:noWrap/>
            <w:vAlign w:val="center"/>
            <w:hideMark/>
          </w:tcPr>
          <w:p w:rsidR="003E3B8C" w:rsidRPr="00F477E0" w:rsidRDefault="00F51C5F"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64</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121727"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15</w:t>
            </w:r>
            <w:r w:rsidR="003E3B8C" w:rsidRPr="002F17B5">
              <w:rPr>
                <w:rFonts w:eastAsia="Times New Roman" w:cs="Arial"/>
                <w:lang w:eastAsia="en-GB"/>
              </w:rPr>
              <w:t>.  Pooled budgets</w:t>
            </w:r>
          </w:p>
        </w:tc>
        <w:tc>
          <w:tcPr>
            <w:tcW w:w="907" w:type="dxa"/>
            <w:tcBorders>
              <w:top w:val="nil"/>
              <w:left w:val="nil"/>
              <w:bottom w:val="nil"/>
              <w:right w:val="nil"/>
            </w:tcBorders>
            <w:shd w:val="clear" w:color="auto" w:fill="auto"/>
            <w:noWrap/>
            <w:vAlign w:val="center"/>
            <w:hideMark/>
          </w:tcPr>
          <w:p w:rsidR="003E3B8C" w:rsidRPr="00F477E0" w:rsidRDefault="00F51C5F" w:rsidP="003E3B8C">
            <w:pPr>
              <w:autoSpaceDE/>
              <w:autoSpaceDN/>
              <w:adjustRightInd/>
              <w:spacing w:before="0" w:after="0"/>
              <w:jc w:val="center"/>
              <w:rPr>
                <w:rFonts w:eastAsia="Times New Roman" w:cs="Arial"/>
                <w:lang w:eastAsia="en-GB"/>
              </w:rPr>
            </w:pPr>
            <w:r>
              <w:rPr>
                <w:rFonts w:eastAsia="Times New Roman" w:cs="Arial"/>
                <w:lang w:eastAsia="en-GB"/>
              </w:rPr>
              <w:t>66</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121727"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16</w:t>
            </w:r>
            <w:r w:rsidR="003E3B8C" w:rsidRPr="002F17B5">
              <w:rPr>
                <w:rFonts w:eastAsia="Times New Roman" w:cs="Arial"/>
                <w:lang w:eastAsia="en-GB"/>
              </w:rPr>
              <w:t>.  External audit costs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67</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121727"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lastRenderedPageBreak/>
              <w:t>17</w:t>
            </w:r>
            <w:r w:rsidR="003E3B8C" w:rsidRPr="002F17B5">
              <w:rPr>
                <w:rFonts w:eastAsia="Times New Roman" w:cs="Arial"/>
                <w:lang w:eastAsia="en-GB"/>
              </w:rPr>
              <w:t>.  Members' allowances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67</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121727"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18</w:t>
            </w:r>
            <w:r w:rsidR="003E3B8C" w:rsidRPr="002F17B5">
              <w:rPr>
                <w:rFonts w:eastAsia="Times New Roman" w:cs="Arial"/>
                <w:lang w:eastAsia="en-GB"/>
              </w:rPr>
              <w:t>.  Senior officers' remuneration</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67</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121727"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19</w:t>
            </w:r>
            <w:r w:rsidR="003E3B8C" w:rsidRPr="002F17B5">
              <w:rPr>
                <w:rFonts w:eastAsia="Times New Roman" w:cs="Arial"/>
                <w:lang w:eastAsia="en-GB"/>
              </w:rPr>
              <w:t>.  Private Finance Initiative (PFI) schemes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74</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121727"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20</w:t>
            </w:r>
            <w:r w:rsidR="003E3B8C" w:rsidRPr="002F17B5">
              <w:rPr>
                <w:rFonts w:eastAsia="Times New Roman" w:cs="Arial"/>
                <w:lang w:eastAsia="en-GB"/>
              </w:rPr>
              <w:t>.  Capital expenditure and capital financing</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79</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121727"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21</w:t>
            </w:r>
            <w:r w:rsidR="003E3B8C" w:rsidRPr="002F17B5">
              <w:rPr>
                <w:rFonts w:eastAsia="Times New Roman" w:cs="Arial"/>
                <w:lang w:eastAsia="en-GB"/>
              </w:rPr>
              <w:t xml:space="preserve">.  Trading operations </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80</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22</w:t>
            </w:r>
            <w:r w:rsidR="003E3B8C" w:rsidRPr="002F17B5">
              <w:rPr>
                <w:rFonts w:eastAsia="Times New Roman" w:cs="Arial"/>
                <w:lang w:eastAsia="en-GB"/>
              </w:rPr>
              <w:t>.  Property, plant and equipment</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82</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F477E0">
            <w:pPr>
              <w:autoSpaceDE/>
              <w:autoSpaceDN/>
              <w:adjustRightInd/>
              <w:spacing w:before="0" w:after="0"/>
              <w:ind w:left="459"/>
              <w:jc w:val="left"/>
              <w:rPr>
                <w:rFonts w:eastAsia="Times New Roman" w:cs="Arial"/>
                <w:lang w:eastAsia="en-GB"/>
              </w:rPr>
            </w:pPr>
            <w:r>
              <w:rPr>
                <w:rFonts w:eastAsia="Times New Roman" w:cs="Arial"/>
                <w:lang w:eastAsia="en-GB"/>
              </w:rPr>
              <w:t>23</w:t>
            </w:r>
            <w:r w:rsidR="003E3B8C" w:rsidRPr="002F17B5">
              <w:rPr>
                <w:rFonts w:eastAsia="Times New Roman" w:cs="Arial"/>
                <w:lang w:eastAsia="en-GB"/>
              </w:rPr>
              <w:t>.</w:t>
            </w:r>
            <w:r w:rsidR="00F477E0">
              <w:rPr>
                <w:rFonts w:eastAsia="Times New Roman" w:cs="Arial"/>
                <w:lang w:eastAsia="en-GB"/>
              </w:rPr>
              <w:t xml:space="preserve">  F</w:t>
            </w:r>
            <w:r w:rsidR="003E3B8C" w:rsidRPr="002F17B5">
              <w:rPr>
                <w:rFonts w:eastAsia="Times New Roman" w:cs="Arial"/>
                <w:lang w:eastAsia="en-GB"/>
              </w:rPr>
              <w:t>inancial instruments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85</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24</w:t>
            </w:r>
            <w:r w:rsidR="003E3B8C" w:rsidRPr="002F17B5">
              <w:rPr>
                <w:rFonts w:eastAsia="Times New Roman" w:cs="Arial"/>
                <w:lang w:eastAsia="en-GB"/>
              </w:rPr>
              <w:t>.  Income, expense, gains and losses on financial instruments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86</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25</w:t>
            </w:r>
            <w:r w:rsidR="003E3B8C" w:rsidRPr="002F17B5">
              <w:rPr>
                <w:rFonts w:eastAsia="Times New Roman" w:cs="Arial"/>
                <w:lang w:eastAsia="en-GB"/>
              </w:rPr>
              <w:t xml:space="preserve">.  Treatment of Icelandic deposits </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87</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26</w:t>
            </w:r>
            <w:r w:rsidR="003E3B8C" w:rsidRPr="002F17B5">
              <w:rPr>
                <w:rFonts w:eastAsia="Times New Roman" w:cs="Arial"/>
                <w:lang w:eastAsia="en-GB"/>
              </w:rPr>
              <w:t>.  Fair value of financial assets and liabilities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87</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27</w:t>
            </w:r>
            <w:r w:rsidR="003E3B8C" w:rsidRPr="002F17B5">
              <w:rPr>
                <w:rFonts w:eastAsia="Times New Roman" w:cs="Arial"/>
                <w:lang w:eastAsia="en-GB"/>
              </w:rPr>
              <w:t>.  Nature and extent of risks arising from financial instruments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89</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28</w:t>
            </w:r>
            <w:r w:rsidR="003E3B8C" w:rsidRPr="002F17B5">
              <w:rPr>
                <w:rFonts w:eastAsia="Times New Roman" w:cs="Arial"/>
                <w:lang w:eastAsia="en-GB"/>
              </w:rPr>
              <w:t>.  Debtors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93</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29</w:t>
            </w:r>
            <w:r w:rsidR="003E3B8C" w:rsidRPr="002F17B5">
              <w:rPr>
                <w:rFonts w:eastAsia="Times New Roman" w:cs="Arial"/>
                <w:lang w:eastAsia="en-GB"/>
              </w:rPr>
              <w:t>.  Creditors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94</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30</w:t>
            </w:r>
            <w:r w:rsidR="003E3B8C" w:rsidRPr="002F17B5">
              <w:rPr>
                <w:rFonts w:eastAsia="Times New Roman" w:cs="Arial"/>
                <w:lang w:eastAsia="en-GB"/>
              </w:rPr>
              <w:t>.  Cash &amp; cash equivalents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94</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31</w:t>
            </w:r>
            <w:r w:rsidR="003E3B8C" w:rsidRPr="002F17B5">
              <w:rPr>
                <w:rFonts w:eastAsia="Times New Roman" w:cs="Arial"/>
                <w:lang w:eastAsia="en-GB"/>
              </w:rPr>
              <w:t>.  Provisions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94</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32</w:t>
            </w:r>
            <w:r w:rsidR="003E3B8C" w:rsidRPr="002F17B5">
              <w:rPr>
                <w:rFonts w:eastAsia="Times New Roman" w:cs="Arial"/>
                <w:lang w:eastAsia="en-GB"/>
              </w:rPr>
              <w:t>.  Usable reserves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96</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33</w:t>
            </w:r>
            <w:r w:rsidR="003E3B8C" w:rsidRPr="002F17B5">
              <w:rPr>
                <w:rFonts w:eastAsia="Times New Roman" w:cs="Arial"/>
                <w:lang w:eastAsia="en-GB"/>
              </w:rPr>
              <w:t>.  Unusable reserves</w:t>
            </w:r>
          </w:p>
        </w:tc>
        <w:tc>
          <w:tcPr>
            <w:tcW w:w="907" w:type="dxa"/>
            <w:tcBorders>
              <w:top w:val="nil"/>
              <w:left w:val="nil"/>
              <w:bottom w:val="nil"/>
              <w:right w:val="nil"/>
            </w:tcBorders>
            <w:shd w:val="clear" w:color="auto" w:fill="auto"/>
            <w:noWrap/>
            <w:vAlign w:val="center"/>
            <w:hideMark/>
          </w:tcPr>
          <w:p w:rsidR="003E3B8C" w:rsidRPr="00F477E0" w:rsidRDefault="00121727" w:rsidP="003E3B8C">
            <w:pPr>
              <w:autoSpaceDE/>
              <w:autoSpaceDN/>
              <w:adjustRightInd/>
              <w:spacing w:before="0" w:after="0"/>
              <w:jc w:val="center"/>
              <w:rPr>
                <w:rFonts w:eastAsia="Times New Roman" w:cs="Arial"/>
                <w:color w:val="auto"/>
                <w:lang w:eastAsia="en-GB"/>
              </w:rPr>
            </w:pPr>
            <w:r w:rsidRPr="00F477E0">
              <w:rPr>
                <w:rFonts w:eastAsia="Times New Roman" w:cs="Arial"/>
                <w:color w:val="auto"/>
                <w:lang w:eastAsia="en-GB"/>
              </w:rPr>
              <w:t>9</w:t>
            </w:r>
            <w:r w:rsidR="00147AC4">
              <w:rPr>
                <w:rFonts w:eastAsia="Times New Roman" w:cs="Arial"/>
                <w:color w:val="auto"/>
                <w:lang w:eastAsia="en-GB"/>
              </w:rPr>
              <w:t>6</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34</w:t>
            </w:r>
            <w:r w:rsidR="003E3B8C" w:rsidRPr="002F17B5">
              <w:rPr>
                <w:rFonts w:eastAsia="Times New Roman" w:cs="Arial"/>
                <w:lang w:eastAsia="en-GB"/>
              </w:rPr>
              <w:t>.  Long term debtors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100</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35</w:t>
            </w:r>
            <w:r w:rsidR="00F477E0">
              <w:rPr>
                <w:rFonts w:eastAsia="Times New Roman" w:cs="Arial"/>
                <w:lang w:eastAsia="en-GB"/>
              </w:rPr>
              <w:t xml:space="preserve">.  </w:t>
            </w:r>
            <w:proofErr w:type="spellStart"/>
            <w:r w:rsidR="00F477E0">
              <w:rPr>
                <w:rFonts w:eastAsia="Times New Roman" w:cs="Arial"/>
                <w:lang w:eastAsia="en-GB"/>
              </w:rPr>
              <w:t>Cashflows</w:t>
            </w:r>
            <w:proofErr w:type="spellEnd"/>
            <w:r w:rsidR="00F477E0">
              <w:rPr>
                <w:rFonts w:eastAsia="Times New Roman" w:cs="Arial"/>
                <w:lang w:eastAsia="en-GB"/>
              </w:rPr>
              <w:t xml:space="preserve"> from operating a</w:t>
            </w:r>
            <w:r w:rsidR="003E3B8C" w:rsidRPr="002F17B5">
              <w:rPr>
                <w:rFonts w:eastAsia="Times New Roman" w:cs="Arial"/>
                <w:lang w:eastAsia="en-GB"/>
              </w:rPr>
              <w:t>ctivities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color w:val="auto"/>
                <w:lang w:eastAsia="en-GB"/>
              </w:rPr>
            </w:pPr>
            <w:r>
              <w:rPr>
                <w:rFonts w:eastAsia="Times New Roman" w:cs="Arial"/>
                <w:color w:val="auto"/>
                <w:lang w:eastAsia="en-GB"/>
              </w:rPr>
              <w:t>101</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36</w:t>
            </w:r>
            <w:r w:rsidR="003E3B8C" w:rsidRPr="002F17B5">
              <w:rPr>
                <w:rFonts w:eastAsia="Times New Roman" w:cs="Arial"/>
                <w:lang w:eastAsia="en-GB"/>
              </w:rPr>
              <w:t xml:space="preserve">. </w:t>
            </w:r>
            <w:r w:rsidR="00F477E0">
              <w:rPr>
                <w:rFonts w:eastAsia="Times New Roman" w:cs="Arial"/>
                <w:lang w:eastAsia="en-GB"/>
              </w:rPr>
              <w:t xml:space="preserve"> </w:t>
            </w:r>
            <w:proofErr w:type="spellStart"/>
            <w:r w:rsidR="00F477E0">
              <w:rPr>
                <w:rFonts w:eastAsia="Times New Roman" w:cs="Arial"/>
                <w:lang w:eastAsia="en-GB"/>
              </w:rPr>
              <w:t>Cashflows</w:t>
            </w:r>
            <w:proofErr w:type="spellEnd"/>
            <w:r w:rsidR="00F477E0">
              <w:rPr>
                <w:rFonts w:eastAsia="Times New Roman" w:cs="Arial"/>
                <w:lang w:eastAsia="en-GB"/>
              </w:rPr>
              <w:t xml:space="preserve"> from operating activities (i</w:t>
            </w:r>
            <w:r w:rsidR="003E3B8C" w:rsidRPr="002F17B5">
              <w:rPr>
                <w:rFonts w:eastAsia="Times New Roman" w:cs="Arial"/>
                <w:lang w:eastAsia="en-GB"/>
              </w:rPr>
              <w:t>nterest)</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lang w:eastAsia="en-GB"/>
              </w:rPr>
            </w:pPr>
            <w:r>
              <w:rPr>
                <w:rFonts w:eastAsia="Times New Roman" w:cs="Arial"/>
                <w:lang w:eastAsia="en-GB"/>
              </w:rPr>
              <w:t>102</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37</w:t>
            </w:r>
            <w:r w:rsidR="003E3B8C" w:rsidRPr="002F17B5">
              <w:rPr>
                <w:rFonts w:eastAsia="Times New Roman" w:cs="Arial"/>
                <w:lang w:eastAsia="en-GB"/>
              </w:rPr>
              <w:t xml:space="preserve">. </w:t>
            </w:r>
            <w:r w:rsidR="00F477E0">
              <w:rPr>
                <w:rFonts w:eastAsia="Times New Roman" w:cs="Arial"/>
                <w:lang w:eastAsia="en-GB"/>
              </w:rPr>
              <w:t xml:space="preserve"> </w:t>
            </w:r>
            <w:proofErr w:type="spellStart"/>
            <w:r w:rsidR="00F477E0">
              <w:rPr>
                <w:rFonts w:eastAsia="Times New Roman" w:cs="Arial"/>
                <w:lang w:eastAsia="en-GB"/>
              </w:rPr>
              <w:t>Cashflows</w:t>
            </w:r>
            <w:proofErr w:type="spellEnd"/>
            <w:r w:rsidR="00F477E0">
              <w:rPr>
                <w:rFonts w:eastAsia="Times New Roman" w:cs="Arial"/>
                <w:lang w:eastAsia="en-GB"/>
              </w:rPr>
              <w:t xml:space="preserve"> from i</w:t>
            </w:r>
            <w:r w:rsidR="003E3B8C" w:rsidRPr="002F17B5">
              <w:rPr>
                <w:rFonts w:eastAsia="Times New Roman" w:cs="Arial"/>
                <w:lang w:eastAsia="en-GB"/>
              </w:rPr>
              <w:t>nvesting activities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lang w:eastAsia="en-GB"/>
              </w:rPr>
            </w:pPr>
            <w:r>
              <w:rPr>
                <w:rFonts w:eastAsia="Times New Roman" w:cs="Arial"/>
                <w:lang w:eastAsia="en-GB"/>
              </w:rPr>
              <w:t>103</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38</w:t>
            </w:r>
            <w:r w:rsidR="00F477E0">
              <w:rPr>
                <w:rFonts w:eastAsia="Times New Roman" w:cs="Arial"/>
                <w:lang w:eastAsia="en-GB"/>
              </w:rPr>
              <w:t xml:space="preserve">.  </w:t>
            </w:r>
            <w:proofErr w:type="spellStart"/>
            <w:r w:rsidR="00F477E0">
              <w:rPr>
                <w:rFonts w:eastAsia="Times New Roman" w:cs="Arial"/>
                <w:lang w:eastAsia="en-GB"/>
              </w:rPr>
              <w:t>Cashflows</w:t>
            </w:r>
            <w:proofErr w:type="spellEnd"/>
            <w:r w:rsidR="00F477E0">
              <w:rPr>
                <w:rFonts w:eastAsia="Times New Roman" w:cs="Arial"/>
                <w:lang w:eastAsia="en-GB"/>
              </w:rPr>
              <w:t xml:space="preserve"> from financing a</w:t>
            </w:r>
            <w:r w:rsidR="003E3B8C" w:rsidRPr="002F17B5">
              <w:rPr>
                <w:rFonts w:eastAsia="Times New Roman" w:cs="Arial"/>
                <w:lang w:eastAsia="en-GB"/>
              </w:rPr>
              <w:t>ctivities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lang w:eastAsia="en-GB"/>
              </w:rPr>
            </w:pPr>
            <w:r>
              <w:rPr>
                <w:rFonts w:eastAsia="Times New Roman" w:cs="Arial"/>
                <w:lang w:eastAsia="en-GB"/>
              </w:rPr>
              <w:t>103</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39</w:t>
            </w:r>
            <w:r w:rsidR="003E3B8C" w:rsidRPr="002F17B5">
              <w:rPr>
                <w:rFonts w:eastAsia="Times New Roman" w:cs="Arial"/>
                <w:lang w:eastAsia="en-GB"/>
              </w:rPr>
              <w:t>.  Related parties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lang w:eastAsia="en-GB"/>
              </w:rPr>
            </w:pPr>
            <w:r>
              <w:rPr>
                <w:rFonts w:eastAsia="Times New Roman" w:cs="Arial"/>
                <w:lang w:eastAsia="en-GB"/>
              </w:rPr>
              <w:t>104</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121727" w:rsidP="003E3B8C">
            <w:pPr>
              <w:autoSpaceDE/>
              <w:autoSpaceDN/>
              <w:adjustRightInd/>
              <w:spacing w:before="0" w:after="0"/>
              <w:ind w:left="459"/>
              <w:jc w:val="left"/>
              <w:rPr>
                <w:rFonts w:eastAsia="Times New Roman" w:cs="Arial"/>
                <w:lang w:eastAsia="en-GB"/>
              </w:rPr>
            </w:pPr>
            <w:r w:rsidRPr="002F17B5">
              <w:rPr>
                <w:rFonts w:eastAsia="Times New Roman" w:cs="Arial"/>
                <w:lang w:eastAsia="en-GB"/>
              </w:rPr>
              <w:t>4</w:t>
            </w:r>
            <w:r w:rsidR="00803EAA">
              <w:rPr>
                <w:rFonts w:eastAsia="Times New Roman" w:cs="Arial"/>
                <w:lang w:eastAsia="en-GB"/>
              </w:rPr>
              <w:t>0</w:t>
            </w:r>
            <w:r w:rsidR="003E3B8C" w:rsidRPr="002F17B5">
              <w:rPr>
                <w:rFonts w:eastAsia="Times New Roman" w:cs="Arial"/>
                <w:lang w:eastAsia="en-GB"/>
              </w:rPr>
              <w:t>.  Contingent liabilities</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lang w:eastAsia="en-GB"/>
              </w:rPr>
            </w:pPr>
            <w:r>
              <w:rPr>
                <w:rFonts w:eastAsia="Times New Roman" w:cs="Arial"/>
                <w:lang w:eastAsia="en-GB"/>
              </w:rPr>
              <w:t>111</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3E3B8C">
            <w:pPr>
              <w:autoSpaceDE/>
              <w:autoSpaceDN/>
              <w:adjustRightInd/>
              <w:spacing w:before="0" w:after="0"/>
              <w:ind w:left="459"/>
              <w:jc w:val="left"/>
              <w:rPr>
                <w:rFonts w:eastAsia="Times New Roman" w:cs="Arial"/>
                <w:lang w:eastAsia="en-GB"/>
              </w:rPr>
            </w:pPr>
            <w:r>
              <w:rPr>
                <w:rFonts w:eastAsia="Times New Roman" w:cs="Arial"/>
                <w:lang w:eastAsia="en-GB"/>
              </w:rPr>
              <w:t>41</w:t>
            </w:r>
            <w:r w:rsidR="003E3B8C" w:rsidRPr="002F17B5">
              <w:rPr>
                <w:rFonts w:eastAsia="Times New Roman" w:cs="Arial"/>
                <w:lang w:eastAsia="en-GB"/>
              </w:rPr>
              <w:t>.  Defined benefit pension scheme</w:t>
            </w:r>
          </w:p>
        </w:tc>
        <w:tc>
          <w:tcPr>
            <w:tcW w:w="907" w:type="dxa"/>
            <w:tcBorders>
              <w:top w:val="nil"/>
              <w:left w:val="nil"/>
              <w:bottom w:val="nil"/>
              <w:right w:val="nil"/>
            </w:tcBorders>
            <w:shd w:val="clear" w:color="auto" w:fill="auto"/>
            <w:noWrap/>
            <w:vAlign w:val="center"/>
            <w:hideMark/>
          </w:tcPr>
          <w:p w:rsidR="003E3B8C" w:rsidRPr="00F477E0" w:rsidRDefault="00147AC4" w:rsidP="003E3B8C">
            <w:pPr>
              <w:autoSpaceDE/>
              <w:autoSpaceDN/>
              <w:adjustRightInd/>
              <w:spacing w:before="0" w:after="0"/>
              <w:jc w:val="center"/>
              <w:rPr>
                <w:rFonts w:eastAsia="Times New Roman" w:cs="Arial"/>
                <w:lang w:eastAsia="en-GB"/>
              </w:rPr>
            </w:pPr>
            <w:r>
              <w:rPr>
                <w:rFonts w:eastAsia="Times New Roman" w:cs="Arial"/>
                <w:lang w:eastAsia="en-GB"/>
              </w:rPr>
              <w:t>111</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803EAA" w:rsidP="00274914">
            <w:pPr>
              <w:autoSpaceDE/>
              <w:autoSpaceDN/>
              <w:adjustRightInd/>
              <w:spacing w:before="0"/>
              <w:ind w:left="459"/>
              <w:jc w:val="left"/>
              <w:rPr>
                <w:rFonts w:eastAsia="Times New Roman" w:cs="Arial"/>
                <w:lang w:eastAsia="en-GB"/>
              </w:rPr>
            </w:pPr>
            <w:r>
              <w:rPr>
                <w:rFonts w:eastAsia="Times New Roman" w:cs="Arial"/>
                <w:lang w:eastAsia="en-GB"/>
              </w:rPr>
              <w:t>42</w:t>
            </w:r>
            <w:r w:rsidR="003E3B8C" w:rsidRPr="002F17B5">
              <w:rPr>
                <w:rFonts w:eastAsia="Times New Roman" w:cs="Arial"/>
                <w:lang w:eastAsia="en-GB"/>
              </w:rPr>
              <w:t>.  Events after the balance sheet date</w:t>
            </w:r>
          </w:p>
        </w:tc>
        <w:tc>
          <w:tcPr>
            <w:tcW w:w="907" w:type="dxa"/>
            <w:tcBorders>
              <w:top w:val="nil"/>
              <w:left w:val="nil"/>
              <w:bottom w:val="nil"/>
              <w:right w:val="nil"/>
            </w:tcBorders>
            <w:shd w:val="clear" w:color="auto" w:fill="auto"/>
            <w:noWrap/>
            <w:vAlign w:val="center"/>
            <w:hideMark/>
          </w:tcPr>
          <w:p w:rsidR="003E3B8C" w:rsidRPr="00F477E0" w:rsidRDefault="00147AC4" w:rsidP="00274914">
            <w:pPr>
              <w:autoSpaceDE/>
              <w:autoSpaceDN/>
              <w:adjustRightInd/>
              <w:spacing w:before="0"/>
              <w:jc w:val="center"/>
              <w:rPr>
                <w:rFonts w:eastAsia="Times New Roman" w:cs="Arial"/>
                <w:lang w:eastAsia="en-GB"/>
              </w:rPr>
            </w:pPr>
            <w:r>
              <w:rPr>
                <w:rFonts w:eastAsia="Times New Roman" w:cs="Arial"/>
                <w:lang w:eastAsia="en-GB"/>
              </w:rPr>
              <w:t>122</w:t>
            </w:r>
          </w:p>
        </w:tc>
      </w:tr>
      <w:tr w:rsidR="003E3B8C" w:rsidRPr="002F17B5" w:rsidTr="003E3B8C">
        <w:trPr>
          <w:trHeight w:val="454"/>
        </w:trPr>
        <w:tc>
          <w:tcPr>
            <w:tcW w:w="9157" w:type="dxa"/>
            <w:tcBorders>
              <w:top w:val="nil"/>
              <w:left w:val="nil"/>
              <w:bottom w:val="nil"/>
              <w:right w:val="nil"/>
            </w:tcBorders>
            <w:shd w:val="clear" w:color="auto" w:fill="auto"/>
            <w:vAlign w:val="center"/>
            <w:hideMark/>
          </w:tcPr>
          <w:p w:rsidR="003E3B8C" w:rsidRPr="002F17B5" w:rsidRDefault="003E3B8C" w:rsidP="00274914">
            <w:pPr>
              <w:autoSpaceDE/>
              <w:autoSpaceDN/>
              <w:adjustRightInd/>
              <w:spacing w:before="0"/>
              <w:jc w:val="left"/>
              <w:rPr>
                <w:rFonts w:eastAsia="Times New Roman" w:cs="Arial"/>
                <w:b/>
                <w:lang w:eastAsia="en-GB"/>
              </w:rPr>
            </w:pPr>
            <w:r w:rsidRPr="002F17B5">
              <w:rPr>
                <w:rFonts w:eastAsia="Times New Roman" w:cs="Arial"/>
                <w:b/>
                <w:lang w:eastAsia="en-GB"/>
              </w:rPr>
              <w:t>Other fund</w:t>
            </w:r>
            <w:r w:rsidR="00121727" w:rsidRPr="002F17B5">
              <w:rPr>
                <w:rFonts w:eastAsia="Times New Roman" w:cs="Arial"/>
                <w:b/>
                <w:lang w:eastAsia="en-GB"/>
              </w:rPr>
              <w:t>s</w:t>
            </w:r>
          </w:p>
          <w:p w:rsidR="00772854" w:rsidRPr="00772854" w:rsidRDefault="00772854" w:rsidP="00274914">
            <w:pPr>
              <w:autoSpaceDE/>
              <w:autoSpaceDN/>
              <w:adjustRightInd/>
              <w:spacing w:before="0"/>
              <w:jc w:val="left"/>
              <w:rPr>
                <w:rFonts w:eastAsia="Times New Roman" w:cs="Arial"/>
                <w:b/>
                <w:sz w:val="10"/>
                <w:lang w:eastAsia="en-GB"/>
              </w:rPr>
            </w:pPr>
          </w:p>
          <w:p w:rsidR="00274914" w:rsidRDefault="00B03245" w:rsidP="00274914">
            <w:pPr>
              <w:autoSpaceDE/>
              <w:autoSpaceDN/>
              <w:adjustRightInd/>
              <w:spacing w:before="0"/>
              <w:jc w:val="left"/>
              <w:rPr>
                <w:rFonts w:eastAsia="Times New Roman" w:cs="Arial"/>
                <w:b/>
                <w:sz w:val="28"/>
                <w:szCs w:val="28"/>
                <w:lang w:eastAsia="en-GB"/>
              </w:rPr>
            </w:pPr>
            <w:r w:rsidRPr="00772854">
              <w:rPr>
                <w:rFonts w:eastAsia="Times New Roman" w:cs="Arial"/>
                <w:b/>
                <w:sz w:val="28"/>
                <w:szCs w:val="28"/>
                <w:lang w:eastAsia="en-GB"/>
              </w:rPr>
              <w:t xml:space="preserve">Lancashire County </w:t>
            </w:r>
            <w:r w:rsidR="00F477E0" w:rsidRPr="00772854">
              <w:rPr>
                <w:rFonts w:eastAsia="Times New Roman" w:cs="Arial"/>
                <w:b/>
                <w:sz w:val="28"/>
                <w:szCs w:val="28"/>
                <w:lang w:eastAsia="en-GB"/>
              </w:rPr>
              <w:t>Pension Fund a</w:t>
            </w:r>
            <w:r w:rsidR="00274914" w:rsidRPr="00772854">
              <w:rPr>
                <w:rFonts w:eastAsia="Times New Roman" w:cs="Arial"/>
                <w:b/>
                <w:sz w:val="28"/>
                <w:szCs w:val="28"/>
                <w:lang w:eastAsia="en-GB"/>
              </w:rPr>
              <w:t>ccounts</w:t>
            </w:r>
          </w:p>
          <w:p w:rsidR="00772854" w:rsidRPr="00772854" w:rsidRDefault="00772854" w:rsidP="00274914">
            <w:pPr>
              <w:autoSpaceDE/>
              <w:autoSpaceDN/>
              <w:adjustRightInd/>
              <w:spacing w:before="0"/>
              <w:jc w:val="left"/>
              <w:rPr>
                <w:rFonts w:eastAsia="Times New Roman" w:cs="Arial"/>
                <w:b/>
                <w:sz w:val="14"/>
                <w:szCs w:val="28"/>
                <w:lang w:eastAsia="en-GB"/>
              </w:rPr>
            </w:pPr>
          </w:p>
        </w:tc>
        <w:tc>
          <w:tcPr>
            <w:tcW w:w="907" w:type="dxa"/>
            <w:tcBorders>
              <w:top w:val="nil"/>
              <w:left w:val="nil"/>
              <w:bottom w:val="nil"/>
              <w:right w:val="nil"/>
            </w:tcBorders>
            <w:shd w:val="clear" w:color="auto" w:fill="auto"/>
            <w:noWrap/>
            <w:vAlign w:val="center"/>
            <w:hideMark/>
          </w:tcPr>
          <w:p w:rsidR="003E3B8C" w:rsidRPr="00F477E0" w:rsidRDefault="003E3B8C" w:rsidP="00274914">
            <w:pPr>
              <w:autoSpaceDE/>
              <w:autoSpaceDN/>
              <w:adjustRightInd/>
              <w:spacing w:before="0"/>
              <w:jc w:val="center"/>
              <w:rPr>
                <w:rFonts w:eastAsia="Times New Roman" w:cs="Arial"/>
                <w:b/>
                <w:lang w:eastAsia="en-GB"/>
              </w:rPr>
            </w:pPr>
            <w:r w:rsidRPr="00F477E0">
              <w:rPr>
                <w:rFonts w:eastAsia="Times New Roman" w:cs="Arial"/>
                <w:b/>
                <w:lang w:eastAsia="en-GB"/>
              </w:rPr>
              <w:t>1</w:t>
            </w:r>
            <w:r w:rsidR="00803EAA">
              <w:rPr>
                <w:rFonts w:eastAsia="Times New Roman" w:cs="Arial"/>
                <w:b/>
                <w:lang w:eastAsia="en-GB"/>
              </w:rPr>
              <w:t>2</w:t>
            </w:r>
            <w:r w:rsidR="00147AC4">
              <w:rPr>
                <w:rFonts w:eastAsia="Times New Roman" w:cs="Arial"/>
                <w:b/>
                <w:lang w:eastAsia="en-GB"/>
              </w:rPr>
              <w:t>3</w:t>
            </w:r>
          </w:p>
          <w:p w:rsidR="00772854" w:rsidRPr="00772854" w:rsidRDefault="00772854" w:rsidP="00274914">
            <w:pPr>
              <w:autoSpaceDE/>
              <w:autoSpaceDN/>
              <w:adjustRightInd/>
              <w:spacing w:before="0"/>
              <w:jc w:val="center"/>
              <w:rPr>
                <w:rFonts w:eastAsia="Times New Roman" w:cs="Arial"/>
                <w:b/>
                <w:sz w:val="10"/>
                <w:lang w:eastAsia="en-GB"/>
              </w:rPr>
            </w:pPr>
          </w:p>
          <w:p w:rsidR="00274914" w:rsidRDefault="00147AC4" w:rsidP="00274914">
            <w:pPr>
              <w:autoSpaceDE/>
              <w:autoSpaceDN/>
              <w:adjustRightInd/>
              <w:spacing w:before="0"/>
              <w:jc w:val="center"/>
              <w:rPr>
                <w:rFonts w:eastAsia="Times New Roman" w:cs="Arial"/>
                <w:b/>
                <w:sz w:val="28"/>
                <w:szCs w:val="28"/>
                <w:lang w:eastAsia="en-GB"/>
              </w:rPr>
            </w:pPr>
            <w:r>
              <w:rPr>
                <w:rFonts w:eastAsia="Times New Roman" w:cs="Arial"/>
                <w:b/>
                <w:sz w:val="28"/>
                <w:szCs w:val="28"/>
                <w:lang w:eastAsia="en-GB"/>
              </w:rPr>
              <w:t>125</w:t>
            </w:r>
          </w:p>
          <w:p w:rsidR="00772854" w:rsidRPr="00772854" w:rsidRDefault="00772854" w:rsidP="00274914">
            <w:pPr>
              <w:autoSpaceDE/>
              <w:autoSpaceDN/>
              <w:adjustRightInd/>
              <w:spacing w:before="0"/>
              <w:jc w:val="center"/>
              <w:rPr>
                <w:rFonts w:eastAsia="Times New Roman" w:cs="Arial"/>
                <w:b/>
                <w:sz w:val="14"/>
                <w:szCs w:val="28"/>
                <w:lang w:eastAsia="en-GB"/>
              </w:rPr>
            </w:pPr>
          </w:p>
        </w:tc>
      </w:tr>
      <w:tr w:rsidR="003E3B8C" w:rsidRPr="002F17B5" w:rsidTr="003E3B8C">
        <w:trPr>
          <w:trHeight w:val="510"/>
        </w:trPr>
        <w:tc>
          <w:tcPr>
            <w:tcW w:w="9157" w:type="dxa"/>
            <w:tcBorders>
              <w:top w:val="nil"/>
              <w:left w:val="nil"/>
              <w:bottom w:val="nil"/>
              <w:right w:val="nil"/>
            </w:tcBorders>
            <w:shd w:val="clear" w:color="auto" w:fill="auto"/>
            <w:vAlign w:val="center"/>
            <w:hideMark/>
          </w:tcPr>
          <w:p w:rsidR="003E3B8C" w:rsidRPr="002F17B5" w:rsidRDefault="003E3B8C" w:rsidP="00274914">
            <w:pPr>
              <w:autoSpaceDE/>
              <w:autoSpaceDN/>
              <w:adjustRightInd/>
              <w:spacing w:before="0"/>
              <w:jc w:val="left"/>
              <w:rPr>
                <w:rFonts w:eastAsia="Times New Roman" w:cs="Arial"/>
                <w:b/>
                <w:bCs/>
                <w:lang w:eastAsia="en-GB"/>
              </w:rPr>
            </w:pPr>
            <w:r w:rsidRPr="002F17B5">
              <w:rPr>
                <w:rFonts w:eastAsia="Times New Roman" w:cs="Arial"/>
                <w:b/>
                <w:bCs/>
                <w:lang w:eastAsia="en-GB"/>
              </w:rPr>
              <w:t>Glossary</w:t>
            </w:r>
          </w:p>
        </w:tc>
        <w:tc>
          <w:tcPr>
            <w:tcW w:w="907" w:type="dxa"/>
            <w:tcBorders>
              <w:top w:val="nil"/>
              <w:left w:val="nil"/>
              <w:bottom w:val="nil"/>
              <w:right w:val="nil"/>
            </w:tcBorders>
            <w:shd w:val="clear" w:color="auto" w:fill="auto"/>
            <w:noWrap/>
            <w:vAlign w:val="center"/>
            <w:hideMark/>
          </w:tcPr>
          <w:p w:rsidR="003E3B8C" w:rsidRPr="00F477E0" w:rsidRDefault="006D059C" w:rsidP="006D059C">
            <w:pPr>
              <w:autoSpaceDE/>
              <w:autoSpaceDN/>
              <w:adjustRightInd/>
              <w:spacing w:before="0"/>
              <w:jc w:val="center"/>
              <w:rPr>
                <w:rFonts w:eastAsia="Times New Roman" w:cs="Arial"/>
                <w:b/>
                <w:lang w:eastAsia="en-GB"/>
              </w:rPr>
            </w:pPr>
            <w:r>
              <w:rPr>
                <w:rFonts w:eastAsia="Times New Roman" w:cs="Arial"/>
                <w:b/>
                <w:lang w:eastAsia="en-GB"/>
              </w:rPr>
              <w:t>170</w:t>
            </w:r>
          </w:p>
        </w:tc>
      </w:tr>
    </w:tbl>
    <w:p w:rsidR="003E3B8C" w:rsidRPr="002F17B5" w:rsidRDefault="003E3B8C" w:rsidP="003E3B8C"/>
    <w:p w:rsidR="00144349" w:rsidRPr="002F17B5" w:rsidRDefault="00144349" w:rsidP="00144349">
      <w:pPr>
        <w:spacing w:line="360" w:lineRule="auto"/>
      </w:pPr>
    </w:p>
    <w:p w:rsidR="00144349" w:rsidRPr="002F17B5" w:rsidRDefault="00144349" w:rsidP="00144349">
      <w:pPr>
        <w:pStyle w:val="Heading1"/>
        <w:rPr>
          <w:lang w:eastAsia="en-GB"/>
        </w:rPr>
        <w:sectPr w:rsidR="00144349" w:rsidRPr="002F17B5" w:rsidSect="008E0F34">
          <w:headerReference w:type="default" r:id="rId10"/>
          <w:headerReference w:type="first" r:id="rId11"/>
          <w:pgSz w:w="11906" w:h="16838" w:code="9"/>
          <w:pgMar w:top="720" w:right="720" w:bottom="720" w:left="720" w:header="720" w:footer="720" w:gutter="0"/>
          <w:pgNumType w:start="1"/>
          <w:cols w:space="720"/>
          <w:titlePg/>
          <w:docGrid w:linePitch="360"/>
        </w:sectPr>
      </w:pPr>
    </w:p>
    <w:p w:rsidR="00144349" w:rsidRPr="002F17B5" w:rsidRDefault="00144349" w:rsidP="00144349">
      <w:pPr>
        <w:pStyle w:val="Heading1"/>
      </w:pPr>
      <w:bookmarkStart w:id="0" w:name="Introduction"/>
      <w:r w:rsidRPr="002F17B5">
        <w:lastRenderedPageBreak/>
        <w:t>Introduction to the statement of accounts</w:t>
      </w:r>
      <w:bookmarkEnd w:id="0"/>
    </w:p>
    <w:p w:rsidR="00144349" w:rsidRPr="002F17B5" w:rsidRDefault="00144349" w:rsidP="00144349">
      <w:pPr>
        <w:pStyle w:val="Heading2"/>
      </w:pPr>
      <w:r w:rsidRPr="002F17B5">
        <w:t>Purpose of the statement of accounts</w:t>
      </w:r>
    </w:p>
    <w:p w:rsidR="00D47AB4" w:rsidRPr="002F17B5" w:rsidRDefault="00144349" w:rsidP="00144349">
      <w:pPr>
        <w:spacing w:after="0"/>
      </w:pPr>
      <w:r w:rsidRPr="002F17B5">
        <w:t xml:space="preserve">This statement forms the formal audited accounts of the county council for the financial year </w:t>
      </w:r>
    </w:p>
    <w:p w:rsidR="00144349" w:rsidRPr="002F17B5" w:rsidRDefault="00CD4CF3" w:rsidP="00144349">
      <w:pPr>
        <w:spacing w:after="0"/>
      </w:pPr>
      <w:r w:rsidRPr="002F17B5">
        <w:t>1 April 2013 to 31 March 2014</w:t>
      </w:r>
      <w:r w:rsidR="00144349" w:rsidRPr="002F17B5">
        <w:t>. The production of the statement is prescribed by statute; it is prepared in accordance with the Accounts and Audit Regulations 201</w:t>
      </w:r>
      <w:r w:rsidR="00821D61">
        <w:t xml:space="preserve">1 </w:t>
      </w:r>
      <w:r w:rsidR="00144349" w:rsidRPr="002F17B5">
        <w:t xml:space="preserve">and the Code of Practice on Local Authority Accounting in the United Kingdom </w:t>
      </w:r>
      <w:r w:rsidRPr="002F17B5">
        <w:t>2013/14</w:t>
      </w:r>
      <w:r w:rsidR="00144349" w:rsidRPr="002F17B5">
        <w:t>.</w:t>
      </w:r>
    </w:p>
    <w:p w:rsidR="00144349" w:rsidRPr="002F17B5" w:rsidRDefault="00144349" w:rsidP="00144349">
      <w:pPr>
        <w:spacing w:after="0"/>
        <w:rPr>
          <w:sz w:val="16"/>
        </w:rPr>
      </w:pPr>
    </w:p>
    <w:p w:rsidR="00144349" w:rsidRPr="002F17B5" w:rsidRDefault="00144349" w:rsidP="00144349">
      <w:pPr>
        <w:spacing w:after="0"/>
      </w:pPr>
      <w:r w:rsidRPr="002F17B5">
        <w:t xml:space="preserve">The statement gives the reader an overall impression of the finances of the county council for the financial year </w:t>
      </w:r>
      <w:r w:rsidR="00CD4CF3" w:rsidRPr="002F17B5">
        <w:t>2013/14</w:t>
      </w:r>
      <w:r w:rsidRPr="002F17B5">
        <w:t>.  It is one of a series of reports and publications on the council's finances and financial position.</w:t>
      </w:r>
    </w:p>
    <w:p w:rsidR="00144349" w:rsidRPr="002F17B5" w:rsidRDefault="00144349" w:rsidP="00B70B4B">
      <w:pPr>
        <w:spacing w:after="0"/>
        <w:rPr>
          <w:sz w:val="10"/>
        </w:rPr>
      </w:pPr>
    </w:p>
    <w:p w:rsidR="00144349" w:rsidRPr="002F17B5" w:rsidRDefault="00144349" w:rsidP="00B70B4B">
      <w:pPr>
        <w:spacing w:after="0"/>
        <w:rPr>
          <w:rFonts w:ascii="Corbel" w:eastAsia="Times New Roman" w:hAnsi="Corbel"/>
          <w:b/>
          <w:bCs/>
          <w:color w:val="D31145"/>
          <w:sz w:val="32"/>
          <w:szCs w:val="26"/>
        </w:rPr>
      </w:pPr>
      <w:r w:rsidRPr="002F17B5">
        <w:rPr>
          <w:rFonts w:ascii="Corbel" w:eastAsia="Times New Roman" w:hAnsi="Corbel"/>
          <w:b/>
          <w:bCs/>
          <w:color w:val="D31145"/>
          <w:sz w:val="32"/>
          <w:szCs w:val="26"/>
        </w:rPr>
        <w:t>Contents of the statement of accounts</w:t>
      </w:r>
    </w:p>
    <w:p w:rsidR="00144349" w:rsidRPr="002F17B5" w:rsidRDefault="00144349" w:rsidP="00144349">
      <w:pPr>
        <w:spacing w:after="240"/>
      </w:pPr>
      <w:r w:rsidRPr="002F17B5">
        <w:t>The main parts of the statement of accounts are:</w:t>
      </w:r>
    </w:p>
    <w:p w:rsidR="00144349" w:rsidRPr="002F17B5" w:rsidRDefault="00144349" w:rsidP="00D55D63">
      <w:pPr>
        <w:numPr>
          <w:ilvl w:val="0"/>
          <w:numId w:val="62"/>
        </w:numPr>
        <w:tabs>
          <w:tab w:val="clear" w:pos="360"/>
          <w:tab w:val="num" w:pos="567"/>
        </w:tabs>
        <w:autoSpaceDE/>
        <w:autoSpaceDN/>
        <w:adjustRightInd/>
        <w:spacing w:before="0" w:after="200"/>
        <w:ind w:left="568" w:hanging="284"/>
      </w:pPr>
      <w:r w:rsidRPr="002F17B5">
        <w:rPr>
          <w:b/>
        </w:rPr>
        <w:t>The Independent Auditor's Report</w:t>
      </w:r>
      <w:r w:rsidRPr="002F17B5">
        <w:t xml:space="preserve"> – the external auditor's opinion on our </w:t>
      </w:r>
      <w:r w:rsidR="00CD4CF3" w:rsidRPr="002F17B5">
        <w:t>2013/14</w:t>
      </w:r>
      <w:r w:rsidRPr="002F17B5">
        <w:t xml:space="preserve"> accounts.</w:t>
      </w:r>
    </w:p>
    <w:p w:rsidR="00144349" w:rsidRPr="002F17B5" w:rsidRDefault="00144349" w:rsidP="00D55D63">
      <w:pPr>
        <w:numPr>
          <w:ilvl w:val="0"/>
          <w:numId w:val="62"/>
        </w:numPr>
        <w:tabs>
          <w:tab w:val="clear" w:pos="360"/>
          <w:tab w:val="num" w:pos="567"/>
        </w:tabs>
        <w:autoSpaceDE/>
        <w:autoSpaceDN/>
        <w:adjustRightInd/>
        <w:spacing w:before="0" w:after="200"/>
        <w:ind w:left="568" w:hanging="284"/>
      </w:pPr>
      <w:r w:rsidRPr="002F17B5">
        <w:rPr>
          <w:b/>
        </w:rPr>
        <w:t>The Annual Governance Statement</w:t>
      </w:r>
      <w:r w:rsidRPr="002F17B5">
        <w:t xml:space="preserve"> – assurances on our governance arrangements and the way we manage our affairs.</w:t>
      </w:r>
    </w:p>
    <w:p w:rsidR="00144349" w:rsidRPr="002F17B5" w:rsidRDefault="00144349" w:rsidP="00D55D63">
      <w:pPr>
        <w:numPr>
          <w:ilvl w:val="0"/>
          <w:numId w:val="62"/>
        </w:numPr>
        <w:tabs>
          <w:tab w:val="clear" w:pos="360"/>
          <w:tab w:val="num" w:pos="567"/>
        </w:tabs>
        <w:autoSpaceDE/>
        <w:autoSpaceDN/>
        <w:adjustRightInd/>
        <w:spacing w:before="0" w:after="200"/>
        <w:ind w:left="568" w:hanging="284"/>
        <w:rPr>
          <w:b/>
        </w:rPr>
      </w:pPr>
      <w:r w:rsidRPr="002F17B5">
        <w:rPr>
          <w:b/>
        </w:rPr>
        <w:t xml:space="preserve">The Movement in Reserves Statement </w:t>
      </w:r>
      <w:r w:rsidRPr="002F17B5">
        <w:t>– shows the movement in the year on the different reserves held by the council, analysed into 'usable reserves' (</w:t>
      </w:r>
      <w:r w:rsidR="00B8583B" w:rsidRPr="002F17B5">
        <w:t>i.e.</w:t>
      </w:r>
      <w:r w:rsidRPr="002F17B5">
        <w:t xml:space="preserve"> those that can be applied to fund expenditure or reduce local taxation) and other reserves.  The surplus or deficit on the provision of services line shows the true economic cost of providing the council's services, more details of which are shown in the comprehensive income and expenditure statement. These are different from the statutory amounts required to be charged to the County Fund balance for council tax setting purposes.  The net increase/ decrease before transfer to earmarked reserves line shows the statutory County Fund balance before any discretionary transfers to or from earmarked reserves undertaken by the council.</w:t>
      </w:r>
    </w:p>
    <w:p w:rsidR="00144349" w:rsidRPr="002F17B5" w:rsidRDefault="00144349" w:rsidP="00D55D63">
      <w:pPr>
        <w:numPr>
          <w:ilvl w:val="0"/>
          <w:numId w:val="62"/>
        </w:numPr>
        <w:tabs>
          <w:tab w:val="clear" w:pos="360"/>
          <w:tab w:val="num" w:pos="567"/>
        </w:tabs>
        <w:autoSpaceDE/>
        <w:autoSpaceDN/>
        <w:adjustRightInd/>
        <w:spacing w:before="0" w:after="200"/>
        <w:ind w:left="568" w:hanging="284"/>
      </w:pPr>
      <w:r w:rsidRPr="002F17B5">
        <w:rPr>
          <w:b/>
        </w:rPr>
        <w:t>The Comprehensive Income and Expenditure Statement</w:t>
      </w:r>
      <w:r w:rsidRPr="002F17B5">
        <w:t xml:space="preserve"> –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rsidR="00144349" w:rsidRPr="002F17B5" w:rsidRDefault="00144349" w:rsidP="00D55D63">
      <w:pPr>
        <w:numPr>
          <w:ilvl w:val="0"/>
          <w:numId w:val="62"/>
        </w:numPr>
        <w:tabs>
          <w:tab w:val="clear" w:pos="360"/>
          <w:tab w:val="num" w:pos="567"/>
        </w:tabs>
        <w:autoSpaceDE/>
        <w:autoSpaceDN/>
        <w:adjustRightInd/>
        <w:spacing w:before="0" w:after="200"/>
        <w:ind w:left="568" w:hanging="284"/>
      </w:pPr>
      <w:r w:rsidRPr="002F17B5">
        <w:rPr>
          <w:b/>
        </w:rPr>
        <w:t>The Balance Sheet</w:t>
      </w:r>
      <w:r w:rsidRPr="002F17B5">
        <w:t xml:space="preserve"> – shows the value as at the </w:t>
      </w:r>
      <w:r w:rsidR="002848E5">
        <w:t>b</w:t>
      </w:r>
      <w:r w:rsidRPr="002F17B5">
        <w:t xml:space="preserve">alance </w:t>
      </w:r>
      <w:r w:rsidR="002848E5">
        <w:t>s</w:t>
      </w:r>
      <w:r w:rsidRPr="002F17B5">
        <w:t>heet date of the assets and liabilities recognised by the council.  The net assets of the county council are matched by the reserves held.  Reserves are reported in two categories, usable and unusable.</w:t>
      </w:r>
    </w:p>
    <w:p w:rsidR="00144349" w:rsidRPr="002F17B5" w:rsidRDefault="00144349" w:rsidP="00D55D63">
      <w:pPr>
        <w:numPr>
          <w:ilvl w:val="0"/>
          <w:numId w:val="62"/>
        </w:numPr>
        <w:tabs>
          <w:tab w:val="clear" w:pos="360"/>
          <w:tab w:val="num" w:pos="567"/>
        </w:tabs>
        <w:autoSpaceDE/>
        <w:autoSpaceDN/>
        <w:adjustRightInd/>
        <w:spacing w:before="0" w:after="200"/>
        <w:ind w:left="568" w:hanging="284"/>
      </w:pPr>
      <w:r w:rsidRPr="002F17B5">
        <w:rPr>
          <w:b/>
        </w:rPr>
        <w:t xml:space="preserve">The </w:t>
      </w:r>
      <w:proofErr w:type="spellStart"/>
      <w:r w:rsidRPr="002F17B5">
        <w:rPr>
          <w:b/>
        </w:rPr>
        <w:t>Cashflow</w:t>
      </w:r>
      <w:proofErr w:type="spellEnd"/>
      <w:r w:rsidRPr="002F17B5">
        <w:rPr>
          <w:b/>
        </w:rPr>
        <w:t xml:space="preserve"> Statement </w:t>
      </w:r>
      <w:r w:rsidRPr="002F17B5">
        <w:t xml:space="preserve">– shows the changes in cash and cash equivalents of the council during the reporting period.  </w:t>
      </w:r>
    </w:p>
    <w:p w:rsidR="00B70B4B" w:rsidRPr="002F17B5" w:rsidRDefault="00B70B4B" w:rsidP="00D55D63">
      <w:pPr>
        <w:numPr>
          <w:ilvl w:val="0"/>
          <w:numId w:val="62"/>
        </w:numPr>
        <w:tabs>
          <w:tab w:val="clear" w:pos="360"/>
          <w:tab w:val="num" w:pos="567"/>
        </w:tabs>
        <w:autoSpaceDE/>
        <w:autoSpaceDN/>
        <w:adjustRightInd/>
        <w:spacing w:before="0" w:after="200"/>
        <w:ind w:left="568" w:hanging="284"/>
      </w:pPr>
      <w:r w:rsidRPr="002F17B5">
        <w:rPr>
          <w:b/>
        </w:rPr>
        <w:t>The Notes to the Accounts</w:t>
      </w:r>
      <w:r w:rsidRPr="002F17B5">
        <w:t xml:space="preserve"> – supporting information which sets out further details and explanations of many entries within the financial statements listed above</w:t>
      </w:r>
    </w:p>
    <w:p w:rsidR="00144349" w:rsidRPr="002F17B5" w:rsidRDefault="00B70B4B" w:rsidP="00D55D63">
      <w:pPr>
        <w:numPr>
          <w:ilvl w:val="0"/>
          <w:numId w:val="62"/>
        </w:numPr>
        <w:tabs>
          <w:tab w:val="clear" w:pos="360"/>
          <w:tab w:val="num" w:pos="567"/>
        </w:tabs>
        <w:autoSpaceDE/>
        <w:autoSpaceDN/>
        <w:adjustRightInd/>
        <w:spacing w:before="0" w:after="200"/>
        <w:ind w:left="568" w:hanging="284"/>
      </w:pPr>
      <w:r w:rsidRPr="002F17B5">
        <w:rPr>
          <w:b/>
        </w:rPr>
        <w:t>T</w:t>
      </w:r>
      <w:r w:rsidR="00144349" w:rsidRPr="002F17B5">
        <w:rPr>
          <w:b/>
        </w:rPr>
        <w:t>he Pension Fund Accounts</w:t>
      </w:r>
      <w:r w:rsidR="00144349" w:rsidRPr="002F17B5">
        <w:t xml:space="preserve"> – a summary of pension fund performance over the year and the net assets of the pension fund at the end of the year. The pension fund accounts are separate from those of the county council, and are included in this statement for information only. </w:t>
      </w:r>
      <w:r w:rsidR="00234D53" w:rsidRPr="00234D53">
        <w:t>A Pension Fund annual report will be published for members of the fund, which will include these accounts.</w:t>
      </w:r>
    </w:p>
    <w:p w:rsidR="00144349" w:rsidRDefault="00144349" w:rsidP="00144349">
      <w:pPr>
        <w:pStyle w:val="Heading2"/>
      </w:pPr>
      <w:r w:rsidRPr="002F17B5">
        <w:lastRenderedPageBreak/>
        <w:t xml:space="preserve">Revenue spending in </w:t>
      </w:r>
      <w:r w:rsidR="00CD4CF3" w:rsidRPr="002F17B5">
        <w:t>2013/14</w:t>
      </w:r>
    </w:p>
    <w:p w:rsidR="00D5312A" w:rsidRPr="00D5312A" w:rsidRDefault="00D5312A" w:rsidP="00D5312A">
      <w:pPr>
        <w:rPr>
          <w:sz w:val="12"/>
        </w:rPr>
      </w:pPr>
    </w:p>
    <w:p w:rsidR="00EA7BD7" w:rsidRPr="00D25B29" w:rsidRDefault="00130A49" w:rsidP="00130A49">
      <w:pPr>
        <w:pStyle w:val="Body1"/>
        <w:jc w:val="both"/>
        <w:rPr>
          <w:rFonts w:cs="Arial"/>
          <w:sz w:val="12"/>
          <w:szCs w:val="24"/>
        </w:rPr>
      </w:pPr>
      <w:r w:rsidRPr="002F17B5">
        <w:rPr>
          <w:rFonts w:cs="Arial"/>
          <w:szCs w:val="24"/>
        </w:rPr>
        <w:t>The overall financial health of the county council at the end of the 2013/14 financial year continues to be strong. However, over 2014/15 to 2017/18 the county council is facing a c</w:t>
      </w:r>
      <w:r w:rsidR="001F21F5">
        <w:rPr>
          <w:rFonts w:cs="Arial"/>
          <w:szCs w:val="24"/>
        </w:rPr>
        <w:t>onsiderable financial challenge</w:t>
      </w:r>
      <w:r w:rsidRPr="002F17B5">
        <w:rPr>
          <w:rFonts w:cs="Arial"/>
          <w:szCs w:val="24"/>
        </w:rPr>
        <w:t xml:space="preserve"> including</w:t>
      </w:r>
      <w:r w:rsidR="001F21F5">
        <w:rPr>
          <w:rFonts w:cs="Arial"/>
          <w:szCs w:val="24"/>
        </w:rPr>
        <w:t xml:space="preserve"> reducing resources, as well as</w:t>
      </w:r>
      <w:r w:rsidRPr="002F17B5">
        <w:rPr>
          <w:rFonts w:cs="Arial"/>
          <w:szCs w:val="24"/>
        </w:rPr>
        <w:t xml:space="preserve"> cost pressures from the continuing increase in demand for council services, in particular those services delivering social care to older people and children as well as increases in contract prices, pay and related costs.</w:t>
      </w:r>
    </w:p>
    <w:p w:rsidR="00130A49" w:rsidRPr="002F17B5" w:rsidRDefault="00130A49" w:rsidP="00130A49">
      <w:pPr>
        <w:pStyle w:val="Body1"/>
        <w:jc w:val="both"/>
        <w:rPr>
          <w:rFonts w:cs="Arial"/>
          <w:szCs w:val="24"/>
        </w:rPr>
      </w:pPr>
      <w:r w:rsidRPr="002F17B5">
        <w:rPr>
          <w:rFonts w:cs="Arial"/>
          <w:szCs w:val="24"/>
        </w:rPr>
        <w:t>Despite the difficult environment the council has continued to demonstrate:</w:t>
      </w:r>
    </w:p>
    <w:p w:rsidR="00130A49" w:rsidRPr="002F17B5" w:rsidRDefault="00130A49" w:rsidP="009A4C35">
      <w:pPr>
        <w:numPr>
          <w:ilvl w:val="0"/>
          <w:numId w:val="67"/>
        </w:numPr>
        <w:autoSpaceDE/>
        <w:autoSpaceDN/>
        <w:adjustRightInd/>
        <w:spacing w:before="0" w:after="200"/>
        <w:ind w:left="714" w:hanging="357"/>
        <w:outlineLvl w:val="0"/>
        <w:rPr>
          <w:rFonts w:eastAsia="Arial Unicode MS" w:cs="Arial"/>
          <w:u w:color="000000"/>
        </w:rPr>
      </w:pPr>
      <w:r w:rsidRPr="002F17B5">
        <w:rPr>
          <w:rFonts w:eastAsia="Arial Unicode MS" w:cs="Arial"/>
          <w:u w:color="000000"/>
        </w:rPr>
        <w:t>Strong financial management, through managing the costs of demand led services within budget and demonstrating the ability to bring forecast service overspends back within budget.</w:t>
      </w:r>
    </w:p>
    <w:p w:rsidR="00130A49" w:rsidRPr="002F17B5" w:rsidRDefault="00130A49" w:rsidP="009A4C35">
      <w:pPr>
        <w:numPr>
          <w:ilvl w:val="0"/>
          <w:numId w:val="67"/>
        </w:numPr>
        <w:autoSpaceDE/>
        <w:autoSpaceDN/>
        <w:adjustRightInd/>
        <w:spacing w:before="0" w:after="200"/>
        <w:ind w:left="714" w:hanging="357"/>
        <w:outlineLvl w:val="0"/>
        <w:rPr>
          <w:rFonts w:eastAsia="Arial Unicode MS" w:cs="Arial"/>
          <w:u w:color="000000"/>
        </w:rPr>
      </w:pPr>
      <w:r w:rsidRPr="002F17B5">
        <w:rPr>
          <w:rFonts w:eastAsia="Arial Unicode MS" w:cs="Arial"/>
          <w:u w:color="000000"/>
        </w:rPr>
        <w:t>Strong delivery arrangements through achieving the delivery of savings early throughout the three year budget.</w:t>
      </w:r>
    </w:p>
    <w:p w:rsidR="00130A49" w:rsidRPr="002F17B5" w:rsidRDefault="00130A49" w:rsidP="009A4C35">
      <w:pPr>
        <w:numPr>
          <w:ilvl w:val="0"/>
          <w:numId w:val="67"/>
        </w:numPr>
        <w:autoSpaceDE/>
        <w:autoSpaceDN/>
        <w:adjustRightInd/>
        <w:spacing w:before="0" w:after="200"/>
        <w:ind w:left="714" w:hanging="357"/>
        <w:outlineLvl w:val="0"/>
        <w:rPr>
          <w:rFonts w:eastAsia="Arial Unicode MS" w:cs="Arial"/>
          <w:u w:color="000000"/>
        </w:rPr>
      </w:pPr>
      <w:r w:rsidRPr="002F17B5">
        <w:rPr>
          <w:rFonts w:eastAsia="Arial Unicode MS" w:cs="Arial"/>
          <w:u w:color="000000"/>
        </w:rPr>
        <w:t>Innovation through the successful implementation of the treasury management strategy, and</w:t>
      </w:r>
    </w:p>
    <w:p w:rsidR="00130A49" w:rsidRDefault="00130A49" w:rsidP="009A4C35">
      <w:pPr>
        <w:numPr>
          <w:ilvl w:val="0"/>
          <w:numId w:val="67"/>
        </w:numPr>
        <w:autoSpaceDE/>
        <w:autoSpaceDN/>
        <w:adjustRightInd/>
        <w:spacing w:before="0" w:after="200"/>
        <w:ind w:left="714" w:hanging="357"/>
        <w:outlineLvl w:val="0"/>
        <w:rPr>
          <w:rFonts w:eastAsia="Arial Unicode MS" w:cs="Arial"/>
          <w:u w:color="000000"/>
        </w:rPr>
      </w:pPr>
      <w:r w:rsidRPr="002F17B5">
        <w:rPr>
          <w:rFonts w:eastAsia="Arial Unicode MS" w:cs="Arial"/>
          <w:u w:color="000000"/>
        </w:rPr>
        <w:t>Flexibility through redeploying resources to address the county council's priorities.</w:t>
      </w:r>
    </w:p>
    <w:p w:rsidR="00EA7BD7" w:rsidRPr="00EA7BD7" w:rsidRDefault="00EA7BD7" w:rsidP="00EA7BD7">
      <w:pPr>
        <w:autoSpaceDE/>
        <w:autoSpaceDN/>
        <w:adjustRightInd/>
        <w:spacing w:before="0" w:after="200"/>
        <w:ind w:left="714"/>
        <w:outlineLvl w:val="0"/>
        <w:rPr>
          <w:rFonts w:eastAsia="Arial Unicode MS" w:cs="Arial"/>
          <w:sz w:val="2"/>
          <w:u w:color="000000"/>
        </w:rPr>
      </w:pPr>
    </w:p>
    <w:p w:rsidR="00EA7BD7" w:rsidRPr="00D25B29" w:rsidRDefault="00130A49" w:rsidP="00130A49">
      <w:pPr>
        <w:pStyle w:val="Body1"/>
        <w:jc w:val="both"/>
        <w:rPr>
          <w:rFonts w:cs="Arial"/>
          <w:sz w:val="14"/>
          <w:szCs w:val="24"/>
        </w:rPr>
      </w:pPr>
      <w:r w:rsidRPr="002F17B5">
        <w:rPr>
          <w:rFonts w:cs="Arial"/>
          <w:szCs w:val="24"/>
        </w:rPr>
        <w:t>All of these are characteristic of organisations with well managed finances. At the same time the county council is maintaining a strong balance sheet and has set resources aside to mitigate identified risks.</w:t>
      </w:r>
    </w:p>
    <w:p w:rsidR="00130A49" w:rsidRPr="002F17B5" w:rsidRDefault="00130A49" w:rsidP="00130A49">
      <w:pPr>
        <w:pStyle w:val="default0"/>
        <w:jc w:val="both"/>
        <w:rPr>
          <w:rFonts w:ascii="Arial" w:eastAsia="Arial Unicode MS" w:hAnsi="Arial" w:cs="Arial"/>
          <w:u w:color="000000"/>
        </w:rPr>
      </w:pPr>
      <w:r w:rsidRPr="002F17B5">
        <w:rPr>
          <w:rFonts w:ascii="Arial" w:eastAsia="Arial Unicode MS" w:hAnsi="Arial" w:cs="Arial"/>
          <w:u w:color="000000"/>
        </w:rPr>
        <w:t>The final position in respect of spending on the revenue budget was an underspend of £3.1m largely arising in the following areas:</w:t>
      </w:r>
    </w:p>
    <w:p w:rsidR="00130A49" w:rsidRPr="002F17B5" w:rsidRDefault="00130A49" w:rsidP="00130A49">
      <w:pPr>
        <w:pStyle w:val="default0"/>
        <w:jc w:val="both"/>
        <w:rPr>
          <w:rFonts w:ascii="Arial" w:eastAsia="Arial Unicode MS" w:hAnsi="Arial" w:cs="Arial"/>
          <w:sz w:val="16"/>
          <w:u w:color="000000"/>
        </w:rPr>
      </w:pPr>
    </w:p>
    <w:p w:rsidR="00130A49" w:rsidRPr="002F17B5" w:rsidRDefault="00EA7BD7" w:rsidP="009A4C35">
      <w:pPr>
        <w:pStyle w:val="default0"/>
        <w:numPr>
          <w:ilvl w:val="0"/>
          <w:numId w:val="68"/>
        </w:numPr>
        <w:jc w:val="both"/>
        <w:rPr>
          <w:rFonts w:ascii="Arial" w:eastAsia="Arial Unicode MS" w:hAnsi="Arial" w:cs="Arial"/>
          <w:u w:color="000000"/>
        </w:rPr>
      </w:pPr>
      <w:r>
        <w:rPr>
          <w:rFonts w:ascii="Arial" w:eastAsia="Arial Unicode MS" w:hAnsi="Arial" w:cs="Arial"/>
          <w:u w:color="000000"/>
        </w:rPr>
        <w:t>An underspend of £3.75</w:t>
      </w:r>
      <w:r w:rsidR="00130A49" w:rsidRPr="002F17B5">
        <w:rPr>
          <w:rFonts w:ascii="Arial" w:eastAsia="Arial Unicode MS" w:hAnsi="Arial" w:cs="Arial"/>
          <w:u w:color="000000"/>
        </w:rPr>
        <w:t>m in the Environment directorate mainly due to efficiencies achieved within the waste disposal budget, the retendering of subsidised bus services as contracts came up for review and the reduced usage of concessionary travel.</w:t>
      </w:r>
    </w:p>
    <w:p w:rsidR="00130A49" w:rsidRPr="002F17B5" w:rsidRDefault="00130A49" w:rsidP="00130A49">
      <w:pPr>
        <w:pStyle w:val="default0"/>
        <w:jc w:val="both"/>
        <w:rPr>
          <w:rFonts w:ascii="Arial" w:eastAsia="Arial Unicode MS" w:hAnsi="Arial" w:cs="Arial"/>
          <w:sz w:val="20"/>
          <w:u w:color="000000"/>
        </w:rPr>
      </w:pPr>
    </w:p>
    <w:p w:rsidR="00130A49" w:rsidRPr="002F17B5" w:rsidRDefault="00EA7BD7" w:rsidP="009A4C35">
      <w:pPr>
        <w:pStyle w:val="default0"/>
        <w:numPr>
          <w:ilvl w:val="0"/>
          <w:numId w:val="68"/>
        </w:numPr>
        <w:jc w:val="both"/>
        <w:rPr>
          <w:rFonts w:ascii="Arial" w:eastAsia="Arial Unicode MS" w:hAnsi="Arial" w:cs="Arial"/>
          <w:u w:color="000000"/>
        </w:rPr>
      </w:pPr>
      <w:r>
        <w:rPr>
          <w:rFonts w:ascii="Arial" w:eastAsia="Arial Unicode MS" w:hAnsi="Arial" w:cs="Arial"/>
          <w:u w:color="000000"/>
        </w:rPr>
        <w:t>Corporate spending was £3.11</w:t>
      </w:r>
      <w:r w:rsidR="00130A49" w:rsidRPr="002F17B5">
        <w:rPr>
          <w:rFonts w:ascii="Arial" w:eastAsia="Arial Unicode MS" w:hAnsi="Arial" w:cs="Arial"/>
          <w:u w:color="000000"/>
        </w:rPr>
        <w:t>m less than budget, the maj</w:t>
      </w:r>
      <w:r>
        <w:rPr>
          <w:rFonts w:ascii="Arial" w:eastAsia="Arial Unicode MS" w:hAnsi="Arial" w:cs="Arial"/>
          <w:u w:color="000000"/>
        </w:rPr>
        <w:t>ority of which relates to £2.09</w:t>
      </w:r>
      <w:r w:rsidR="00130A49" w:rsidRPr="002F17B5">
        <w:rPr>
          <w:rFonts w:ascii="Arial" w:eastAsia="Arial Unicode MS" w:hAnsi="Arial" w:cs="Arial"/>
          <w:u w:color="000000"/>
        </w:rPr>
        <w:t>m underspend on the Care and Urgent Needs Support Scheme.</w:t>
      </w:r>
    </w:p>
    <w:p w:rsidR="00130A49" w:rsidRPr="002F17B5" w:rsidRDefault="00130A49" w:rsidP="00130A49">
      <w:pPr>
        <w:pStyle w:val="ListParagraph"/>
        <w:rPr>
          <w:rFonts w:eastAsia="Arial Unicode MS"/>
          <w:sz w:val="20"/>
          <w:u w:color="000000"/>
        </w:rPr>
      </w:pPr>
    </w:p>
    <w:p w:rsidR="00130A49" w:rsidRPr="002F17B5" w:rsidRDefault="00130A49" w:rsidP="009A4C35">
      <w:pPr>
        <w:pStyle w:val="ListParagraph"/>
        <w:numPr>
          <w:ilvl w:val="0"/>
          <w:numId w:val="68"/>
        </w:numPr>
        <w:contextualSpacing w:val="0"/>
      </w:pPr>
      <w:r w:rsidRPr="002F17B5">
        <w:t>Lancashire County Commercial Group (LCCG) has de</w:t>
      </w:r>
      <w:r w:rsidR="00EA7BD7">
        <w:t>livered an underspend of £1.43</w:t>
      </w:r>
      <w:r w:rsidRPr="002F17B5">
        <w:t xml:space="preserve">m due to ongoing operational efficiencies within the services, the implementation of restructures within services and a small increase in external income. </w:t>
      </w:r>
    </w:p>
    <w:p w:rsidR="00233576" w:rsidRPr="002F17B5" w:rsidRDefault="00233576" w:rsidP="00233576">
      <w:pPr>
        <w:rPr>
          <w:sz w:val="4"/>
        </w:rPr>
      </w:pPr>
    </w:p>
    <w:p w:rsidR="00130A49" w:rsidRPr="002F17B5" w:rsidRDefault="001F21F5" w:rsidP="009A4C35">
      <w:pPr>
        <w:pStyle w:val="ListParagraph"/>
        <w:numPr>
          <w:ilvl w:val="0"/>
          <w:numId w:val="68"/>
        </w:numPr>
        <w:adjustRightInd/>
        <w:spacing w:after="200" w:line="276" w:lineRule="auto"/>
        <w:rPr>
          <w:rFonts w:cstheme="minorBidi"/>
        </w:rPr>
      </w:pPr>
      <w:r>
        <w:rPr>
          <w:rFonts w:cstheme="minorBidi"/>
        </w:rPr>
        <w:t>W</w:t>
      </w:r>
      <w:r w:rsidR="00130A49" w:rsidRPr="002F17B5">
        <w:rPr>
          <w:rFonts w:cstheme="minorBidi"/>
        </w:rPr>
        <w:t>ork has been ongoing to ensure that the various control an</w:t>
      </w:r>
      <w:r w:rsidR="00C74D27" w:rsidRPr="002F17B5">
        <w:rPr>
          <w:rFonts w:cstheme="minorBidi"/>
        </w:rPr>
        <w:t>d suspense accounts within the c</w:t>
      </w:r>
      <w:r w:rsidR="00130A49" w:rsidRPr="002F17B5">
        <w:rPr>
          <w:rFonts w:cstheme="minorBidi"/>
        </w:rPr>
        <w:t>ouncil's balance sheet are fully reconciled in line with good practi</w:t>
      </w:r>
      <w:r w:rsidR="00EA7BD7">
        <w:rPr>
          <w:rFonts w:cstheme="minorBidi"/>
        </w:rPr>
        <w:t>ce. This work has enabled £3.97</w:t>
      </w:r>
      <w:r w:rsidR="00130A49" w:rsidRPr="002F17B5">
        <w:rPr>
          <w:rFonts w:cstheme="minorBidi"/>
        </w:rPr>
        <w:t xml:space="preserve">m to be released into the revenue account in 2013/14. </w:t>
      </w:r>
    </w:p>
    <w:p w:rsidR="00130A49" w:rsidRPr="002F17B5" w:rsidRDefault="00130A49" w:rsidP="00130A49">
      <w:pPr>
        <w:pStyle w:val="ListParagraph"/>
        <w:spacing w:after="200" w:line="276" w:lineRule="auto"/>
        <w:rPr>
          <w:rFonts w:cstheme="minorBidi"/>
        </w:rPr>
      </w:pPr>
    </w:p>
    <w:p w:rsidR="00130A49" w:rsidRPr="00D25B29" w:rsidRDefault="00130A49" w:rsidP="009A4C35">
      <w:pPr>
        <w:pStyle w:val="ListParagraph"/>
        <w:numPr>
          <w:ilvl w:val="0"/>
          <w:numId w:val="68"/>
        </w:numPr>
        <w:adjustRightInd/>
        <w:spacing w:after="200" w:line="276" w:lineRule="auto"/>
        <w:contextualSpacing w:val="0"/>
        <w:rPr>
          <w:rFonts w:eastAsia="Arial Unicode MS"/>
          <w:u w:color="000000"/>
        </w:rPr>
      </w:pPr>
      <w:r w:rsidRPr="002F17B5">
        <w:t>The 2013/14 ca</w:t>
      </w:r>
      <w:r w:rsidR="00EA7BD7">
        <w:t>pital financing outturn is £1.53</w:t>
      </w:r>
      <w:r w:rsidRPr="002F17B5">
        <w:t>m under budget reflecting the continuation of the successful approach to maintaining a low risk of default within the investment portfolio together with keeping borrowing periods relatively short</w:t>
      </w:r>
      <w:r w:rsidR="00EA7BD7">
        <w:t>,</w:t>
      </w:r>
      <w:r w:rsidRPr="002F17B5">
        <w:t xml:space="preserve"> taking advantage of current market conditions. </w:t>
      </w:r>
    </w:p>
    <w:p w:rsidR="00D25B29" w:rsidRPr="00D25B29" w:rsidRDefault="00D25B29" w:rsidP="00D25B29">
      <w:pPr>
        <w:pStyle w:val="ListParagraph"/>
        <w:rPr>
          <w:rFonts w:eastAsia="Arial Unicode MS"/>
          <w:u w:color="000000"/>
        </w:rPr>
      </w:pPr>
    </w:p>
    <w:p w:rsidR="00EA7BD7" w:rsidRPr="00D611AF" w:rsidRDefault="006C0508" w:rsidP="00D611AF">
      <w:pPr>
        <w:pStyle w:val="ListParagraph"/>
        <w:numPr>
          <w:ilvl w:val="0"/>
          <w:numId w:val="68"/>
        </w:numPr>
        <w:rPr>
          <w:rFonts w:cs="Arial"/>
        </w:rPr>
      </w:pPr>
      <w:r w:rsidRPr="00D611AF">
        <w:rPr>
          <w:rFonts w:cs="Arial"/>
        </w:rPr>
        <w:t>There was a negative variance of £10.42m in relation to the various budgets for S</w:t>
      </w:r>
      <w:r w:rsidR="00130A49" w:rsidRPr="00D611AF">
        <w:rPr>
          <w:rFonts w:cs="Arial"/>
        </w:rPr>
        <w:t>trategi</w:t>
      </w:r>
      <w:r w:rsidRPr="00D611AF">
        <w:rPr>
          <w:rFonts w:cs="Arial"/>
        </w:rPr>
        <w:t>c P</w:t>
      </w:r>
      <w:r w:rsidR="00130A49" w:rsidRPr="00D611AF">
        <w:rPr>
          <w:rFonts w:cs="Arial"/>
        </w:rPr>
        <w:t>artnership</w:t>
      </w:r>
      <w:r w:rsidRPr="00D611AF">
        <w:rPr>
          <w:rFonts w:cs="Arial"/>
        </w:rPr>
        <w:t xml:space="preserve"> Services. The most significant cause of this was a shortfall in the targeted procurement saving of £6.4m. </w:t>
      </w:r>
      <w:r w:rsidR="00130A49" w:rsidRPr="00D611AF">
        <w:rPr>
          <w:rFonts w:cs="Arial"/>
        </w:rPr>
        <w:t xml:space="preserve"> </w:t>
      </w:r>
    </w:p>
    <w:p w:rsidR="00516464" w:rsidRPr="00EA7BD7" w:rsidRDefault="00516464" w:rsidP="00516464">
      <w:pPr>
        <w:rPr>
          <w:sz w:val="12"/>
        </w:rPr>
      </w:pPr>
    </w:p>
    <w:p w:rsidR="00D25B29" w:rsidRPr="00D25B29" w:rsidRDefault="006C0508" w:rsidP="00EA7BD7">
      <w:pPr>
        <w:spacing w:after="320" w:line="276" w:lineRule="auto"/>
        <w:contextualSpacing/>
        <w:rPr>
          <w:sz w:val="2"/>
        </w:rPr>
      </w:pPr>
      <w:r>
        <w:rPr>
          <w:rFonts w:cs="Arial"/>
        </w:rPr>
        <w:t>T</w:t>
      </w:r>
      <w:r w:rsidR="00C74D27" w:rsidRPr="002F17B5">
        <w:rPr>
          <w:rFonts w:cs="Arial"/>
        </w:rPr>
        <w:t>he basis of the county council's strategic p</w:t>
      </w:r>
      <w:r w:rsidR="00130A49" w:rsidRPr="002F17B5">
        <w:rPr>
          <w:rFonts w:cs="Arial"/>
        </w:rPr>
        <w:t>artnership arrangement has now been renegotiated and these issues are reflected within the financial strategy going forward.</w:t>
      </w:r>
    </w:p>
    <w:p w:rsidR="00EA7BD7" w:rsidRDefault="00130A49" w:rsidP="00130A49">
      <w:pPr>
        <w:pStyle w:val="default0"/>
        <w:jc w:val="both"/>
        <w:rPr>
          <w:rFonts w:ascii="Arial" w:eastAsia="Arial Unicode MS" w:hAnsi="Arial" w:cs="Arial"/>
          <w:u w:color="000000"/>
        </w:rPr>
      </w:pPr>
      <w:r w:rsidRPr="002F17B5">
        <w:rPr>
          <w:rFonts w:ascii="Arial" w:eastAsia="Arial Unicode MS" w:hAnsi="Arial" w:cs="Arial"/>
          <w:u w:color="000000"/>
        </w:rPr>
        <w:t>This position on service spending together with the availability of one off government grant resources of £8.6m</w:t>
      </w:r>
      <w:r w:rsidR="00C74D27" w:rsidRPr="002F17B5">
        <w:rPr>
          <w:rFonts w:ascii="Arial" w:eastAsia="Arial Unicode MS" w:hAnsi="Arial" w:cs="Arial"/>
          <w:u w:color="000000"/>
        </w:rPr>
        <w:t xml:space="preserve"> has allowed the c</w:t>
      </w:r>
      <w:r w:rsidRPr="002F17B5">
        <w:rPr>
          <w:rFonts w:ascii="Arial" w:eastAsia="Arial Unicode MS" w:hAnsi="Arial" w:cs="Arial"/>
          <w:u w:color="000000"/>
        </w:rPr>
        <w:t>ouncil to end</w:t>
      </w:r>
      <w:r w:rsidR="00C74D27" w:rsidRPr="002F17B5">
        <w:rPr>
          <w:rFonts w:ascii="Arial" w:eastAsia="Arial Unicode MS" w:hAnsi="Arial" w:cs="Arial"/>
          <w:u w:color="000000"/>
        </w:rPr>
        <w:t xml:space="preserve"> the year with the County Fund b</w:t>
      </w:r>
      <w:r w:rsidRPr="002F17B5">
        <w:rPr>
          <w:rFonts w:ascii="Arial" w:eastAsia="Arial Unicode MS" w:hAnsi="Arial" w:cs="Arial"/>
          <w:u w:color="000000"/>
        </w:rPr>
        <w:t>alance unchanged at £36m</w:t>
      </w:r>
      <w:r w:rsidR="001F21F5">
        <w:rPr>
          <w:rFonts w:ascii="Arial" w:eastAsia="Arial Unicode MS" w:hAnsi="Arial" w:cs="Arial"/>
          <w:u w:color="000000"/>
        </w:rPr>
        <w:t xml:space="preserve"> to</w:t>
      </w:r>
      <w:r w:rsidRPr="002F17B5">
        <w:rPr>
          <w:rFonts w:ascii="Arial" w:eastAsia="Arial Unicode MS" w:hAnsi="Arial" w:cs="Arial"/>
          <w:u w:color="000000"/>
        </w:rPr>
        <w:t xml:space="preserve"> set aside resources of £1m to </w:t>
      </w:r>
      <w:r w:rsidR="00C74D27" w:rsidRPr="002F17B5">
        <w:rPr>
          <w:rFonts w:ascii="Arial" w:eastAsia="Arial Unicode MS" w:hAnsi="Arial" w:cs="Arial"/>
          <w:u w:color="000000"/>
        </w:rPr>
        <w:t>address priority issues around welfare r</w:t>
      </w:r>
      <w:r w:rsidRPr="002F17B5">
        <w:rPr>
          <w:rFonts w:ascii="Arial" w:eastAsia="Arial Unicode MS" w:hAnsi="Arial" w:cs="Arial"/>
          <w:u w:color="000000"/>
        </w:rPr>
        <w:t>eform and</w:t>
      </w:r>
      <w:r w:rsidR="001F21F5">
        <w:rPr>
          <w:rFonts w:ascii="Arial" w:eastAsia="Arial Unicode MS" w:hAnsi="Arial" w:cs="Arial"/>
          <w:u w:color="000000"/>
        </w:rPr>
        <w:t xml:space="preserve"> to</w:t>
      </w:r>
      <w:r w:rsidR="00EA7BD7">
        <w:rPr>
          <w:rFonts w:ascii="Arial" w:eastAsia="Arial Unicode MS" w:hAnsi="Arial" w:cs="Arial"/>
          <w:u w:color="000000"/>
        </w:rPr>
        <w:t xml:space="preserve"> provide £99.2</w:t>
      </w:r>
      <w:r w:rsidRPr="002F17B5">
        <w:rPr>
          <w:rFonts w:ascii="Arial" w:eastAsia="Arial Unicode MS" w:hAnsi="Arial" w:cs="Arial"/>
          <w:u w:color="000000"/>
        </w:rPr>
        <w:t>m in the Downsizing Reserve to meet the costs of reshaping the organisation to meet the financial challenges ahead.</w:t>
      </w:r>
      <w:r w:rsidR="00296E92" w:rsidRPr="002F17B5">
        <w:rPr>
          <w:rFonts w:ascii="Arial" w:eastAsia="Arial Unicode MS" w:hAnsi="Arial" w:cs="Arial"/>
          <w:u w:color="000000"/>
        </w:rPr>
        <w:t xml:space="preserve">  </w:t>
      </w:r>
      <w:r w:rsidR="001F21F5" w:rsidRPr="001F21F5">
        <w:rPr>
          <w:rFonts w:ascii="Arial" w:eastAsia="Arial Unicode MS" w:hAnsi="Arial" w:cs="Arial"/>
          <w:u w:color="000000"/>
        </w:rPr>
        <w:t xml:space="preserve">Setting the Downsizing Reserve </w:t>
      </w:r>
      <w:r w:rsidR="001F21F5">
        <w:rPr>
          <w:rFonts w:ascii="Arial" w:eastAsia="Arial Unicode MS" w:hAnsi="Arial" w:cs="Arial"/>
          <w:u w:color="000000"/>
        </w:rPr>
        <w:t>at this level ensures that the c</w:t>
      </w:r>
      <w:r w:rsidR="001F21F5" w:rsidRPr="001F21F5">
        <w:rPr>
          <w:rFonts w:ascii="Arial" w:eastAsia="Arial Unicode MS" w:hAnsi="Arial" w:cs="Arial"/>
          <w:u w:color="000000"/>
        </w:rPr>
        <w:t>ouncil has sufficient resource set aside to meet the costs of the Voluntary Severance programme</w:t>
      </w:r>
      <w:r w:rsidR="001F21F5">
        <w:rPr>
          <w:rFonts w:ascii="Arial" w:eastAsia="Arial Unicode MS" w:hAnsi="Arial" w:cs="Arial"/>
          <w:u w:color="000000"/>
        </w:rPr>
        <w:t>,</w:t>
      </w:r>
      <w:r w:rsidR="001F21F5" w:rsidRPr="001F21F5">
        <w:rPr>
          <w:rFonts w:ascii="Arial" w:eastAsia="Arial Unicode MS" w:hAnsi="Arial" w:cs="Arial"/>
          <w:u w:color="000000"/>
        </w:rPr>
        <w:t xml:space="preserve"> currently identified "invest to save" proposals</w:t>
      </w:r>
      <w:r w:rsidR="001F21F5">
        <w:rPr>
          <w:rFonts w:ascii="Arial" w:eastAsia="Arial Unicode MS" w:hAnsi="Arial" w:cs="Arial"/>
          <w:u w:color="000000"/>
        </w:rPr>
        <w:t>;</w:t>
      </w:r>
      <w:r w:rsidR="001F21F5" w:rsidRPr="001F21F5">
        <w:rPr>
          <w:rFonts w:ascii="Arial" w:eastAsia="Arial Unicode MS" w:hAnsi="Arial" w:cs="Arial"/>
          <w:u w:color="000000"/>
        </w:rPr>
        <w:t xml:space="preserve"> with some capacity to finance further such proposals and/or kick start elements of the organisational reshaping process which is fundamental to the delivery of the financial strategy going forward.</w:t>
      </w:r>
    </w:p>
    <w:p w:rsidR="007A0611" w:rsidRDefault="007A0611" w:rsidP="00130A49">
      <w:pPr>
        <w:pStyle w:val="default0"/>
        <w:jc w:val="both"/>
        <w:rPr>
          <w:rFonts w:ascii="Arial" w:eastAsia="Arial Unicode MS" w:hAnsi="Arial" w:cs="Arial"/>
          <w:u w:color="000000"/>
        </w:rPr>
      </w:pPr>
    </w:p>
    <w:p w:rsidR="007A0611" w:rsidRDefault="007A0611" w:rsidP="00130A49">
      <w:pPr>
        <w:pStyle w:val="default0"/>
        <w:jc w:val="both"/>
        <w:rPr>
          <w:rFonts w:ascii="Arial" w:eastAsia="Arial Unicode MS" w:hAnsi="Arial" w:cs="Arial"/>
          <w:u w:color="000000"/>
        </w:rPr>
      </w:pPr>
    </w:p>
    <w:p w:rsidR="00130A49" w:rsidRDefault="00130A49" w:rsidP="00130A49">
      <w:pPr>
        <w:pStyle w:val="Heading2"/>
      </w:pPr>
      <w:r w:rsidRPr="002F17B5">
        <w:t xml:space="preserve">Capital spending in 2013/14 </w:t>
      </w:r>
    </w:p>
    <w:p w:rsidR="00D851CE" w:rsidRPr="00D851CE" w:rsidRDefault="00D851CE" w:rsidP="00D851CE"/>
    <w:p w:rsidR="00130A49" w:rsidRPr="002F17B5" w:rsidRDefault="00130A49" w:rsidP="00130A49">
      <w:pPr>
        <w:pStyle w:val="Default"/>
        <w:jc w:val="both"/>
        <w:rPr>
          <w:rFonts w:ascii="Arial" w:hAnsi="Arial" w:cs="Arial"/>
        </w:rPr>
      </w:pPr>
      <w:r w:rsidRPr="002F17B5">
        <w:rPr>
          <w:rFonts w:ascii="Arial" w:hAnsi="Arial" w:cs="Arial"/>
        </w:rPr>
        <w:t xml:space="preserve">The total of the county councils capital spending in 2013/14 was £139.4 million. This reflects the county council's investment in assets which gives a long-term benefit to the residents of Lancashire such as schools, roads, libraries and social care facilities for adults and children. Projects included: </w:t>
      </w:r>
    </w:p>
    <w:p w:rsidR="007A0611" w:rsidRPr="007A0611" w:rsidRDefault="007A0611" w:rsidP="007A0611">
      <w:pPr>
        <w:pStyle w:val="ListParagraph"/>
        <w:adjustRightInd/>
        <w:rPr>
          <w:rFonts w:eastAsia="Arial Unicode MS"/>
          <w:szCs w:val="20"/>
          <w:u w:color="000000"/>
        </w:rPr>
      </w:pPr>
    </w:p>
    <w:p w:rsidR="002A028C" w:rsidRPr="002F17B5" w:rsidRDefault="002A028C" w:rsidP="009A4C35">
      <w:pPr>
        <w:pStyle w:val="ListParagraph"/>
        <w:numPr>
          <w:ilvl w:val="0"/>
          <w:numId w:val="73"/>
        </w:numPr>
        <w:adjustRightInd/>
        <w:rPr>
          <w:rFonts w:eastAsia="Arial Unicode MS"/>
          <w:szCs w:val="20"/>
          <w:u w:color="000000"/>
        </w:rPr>
      </w:pPr>
      <w:r w:rsidRPr="002F17B5">
        <w:t xml:space="preserve">The major </w:t>
      </w:r>
      <w:r w:rsidR="00107352" w:rsidRPr="002F17B5">
        <w:t>refurbishment of</w:t>
      </w:r>
      <w:r w:rsidRPr="002F17B5">
        <w:t xml:space="preserve"> Crossways and </w:t>
      </w:r>
      <w:proofErr w:type="spellStart"/>
      <w:r w:rsidRPr="002F17B5">
        <w:t>Whiteledge</w:t>
      </w:r>
      <w:proofErr w:type="spellEnd"/>
      <w:r w:rsidRPr="002F17B5">
        <w:t xml:space="preserve"> day centres were completed</w:t>
      </w:r>
      <w:r w:rsidR="00107352">
        <w:t>.</w:t>
      </w:r>
      <w:r w:rsidRPr="002F17B5">
        <w:t xml:space="preserve"> </w:t>
      </w:r>
    </w:p>
    <w:p w:rsidR="002A028C" w:rsidRPr="002F17B5" w:rsidRDefault="002A028C" w:rsidP="009A4C35">
      <w:pPr>
        <w:pStyle w:val="ListParagraph"/>
        <w:numPr>
          <w:ilvl w:val="0"/>
          <w:numId w:val="73"/>
        </w:numPr>
        <w:adjustRightInd/>
        <w:rPr>
          <w:rFonts w:eastAsia="Arial Unicode MS"/>
          <w:szCs w:val="20"/>
          <w:u w:color="000000"/>
        </w:rPr>
      </w:pPr>
      <w:r w:rsidRPr="002F17B5">
        <w:t>Completion of two minor regeneration of l</w:t>
      </w:r>
      <w:r w:rsidR="00EA7BD7">
        <w:t>ibraries and commencement of</w:t>
      </w:r>
      <w:r w:rsidRPr="002F17B5">
        <w:t xml:space="preserve"> design work on the next phase of the Libraries Regeneration Programme</w:t>
      </w:r>
      <w:r w:rsidR="00107352">
        <w:t>.</w:t>
      </w:r>
    </w:p>
    <w:p w:rsidR="002A028C" w:rsidRPr="002F17B5" w:rsidRDefault="002A028C" w:rsidP="009A4C35">
      <w:pPr>
        <w:pStyle w:val="ListParagraph"/>
        <w:numPr>
          <w:ilvl w:val="0"/>
          <w:numId w:val="73"/>
        </w:numPr>
        <w:adjustRightInd/>
        <w:rPr>
          <w:rFonts w:eastAsia="Arial Unicode MS"/>
          <w:szCs w:val="20"/>
          <w:u w:color="000000"/>
        </w:rPr>
      </w:pPr>
      <w:r w:rsidRPr="002F17B5">
        <w:rPr>
          <w:rFonts w:eastAsia="Arial Unicode MS"/>
          <w:u w:color="000000"/>
        </w:rPr>
        <w:t>The completion of the Fleetwood Primary Capital Programme</w:t>
      </w:r>
      <w:r w:rsidR="00107352">
        <w:rPr>
          <w:rFonts w:eastAsia="Arial Unicode MS"/>
          <w:u w:color="000000"/>
        </w:rPr>
        <w:t>.</w:t>
      </w:r>
    </w:p>
    <w:p w:rsidR="002A028C" w:rsidRPr="002F17B5" w:rsidRDefault="002A028C" w:rsidP="009A4C35">
      <w:pPr>
        <w:pStyle w:val="ListParagraph"/>
        <w:numPr>
          <w:ilvl w:val="0"/>
          <w:numId w:val="73"/>
        </w:numPr>
        <w:adjustRightInd/>
        <w:rPr>
          <w:rFonts w:eastAsia="Arial Unicode MS"/>
          <w:szCs w:val="20"/>
          <w:u w:color="000000"/>
        </w:rPr>
      </w:pPr>
      <w:r w:rsidRPr="002F17B5">
        <w:rPr>
          <w:rFonts w:eastAsia="Arial Unicode MS"/>
          <w:u w:color="000000"/>
        </w:rPr>
        <w:t>Delivery of the Secondary Sc</w:t>
      </w:r>
      <w:r w:rsidR="00EA7BD7">
        <w:rPr>
          <w:rFonts w:eastAsia="Arial Unicode MS"/>
          <w:u w:color="000000"/>
        </w:rPr>
        <w:t>hools Investment Programme at ten</w:t>
      </w:r>
      <w:r w:rsidRPr="002F17B5">
        <w:rPr>
          <w:rFonts w:eastAsia="Arial Unicode MS"/>
          <w:u w:color="000000"/>
        </w:rPr>
        <w:t xml:space="preserve"> schools</w:t>
      </w:r>
      <w:r w:rsidR="00107352">
        <w:rPr>
          <w:rFonts w:eastAsia="Arial Unicode MS"/>
          <w:u w:color="000000"/>
        </w:rPr>
        <w:t>.</w:t>
      </w:r>
    </w:p>
    <w:p w:rsidR="002A028C" w:rsidRPr="002F17B5" w:rsidRDefault="002A028C" w:rsidP="009A4C35">
      <w:pPr>
        <w:pStyle w:val="ListParagraph"/>
        <w:numPr>
          <w:ilvl w:val="0"/>
          <w:numId w:val="73"/>
        </w:numPr>
        <w:adjustRightInd/>
        <w:rPr>
          <w:rFonts w:eastAsia="Arial Unicode MS"/>
          <w:szCs w:val="20"/>
          <w:u w:color="000000"/>
        </w:rPr>
      </w:pPr>
      <w:r w:rsidRPr="002F17B5">
        <w:rPr>
          <w:rFonts w:eastAsia="Arial Unicode MS"/>
          <w:u w:color="000000"/>
        </w:rPr>
        <w:t>The completion of major work at Lancaster</w:t>
      </w:r>
      <w:r w:rsidR="00EA7BD7">
        <w:rPr>
          <w:rFonts w:eastAsia="Arial Unicode MS"/>
          <w:u w:color="000000"/>
        </w:rPr>
        <w:t>,</w:t>
      </w:r>
      <w:r w:rsidRPr="002F17B5">
        <w:rPr>
          <w:rFonts w:eastAsia="Arial Unicode MS"/>
          <w:u w:color="000000"/>
        </w:rPr>
        <w:t xml:space="preserve"> </w:t>
      </w:r>
      <w:proofErr w:type="spellStart"/>
      <w:r w:rsidRPr="002F17B5">
        <w:rPr>
          <w:rFonts w:eastAsia="Arial Unicode MS"/>
          <w:u w:color="000000"/>
        </w:rPr>
        <w:t>Bowerham</w:t>
      </w:r>
      <w:proofErr w:type="spellEnd"/>
      <w:r w:rsidRPr="002F17B5">
        <w:rPr>
          <w:rFonts w:eastAsia="Arial Unicode MS"/>
          <w:u w:color="000000"/>
        </w:rPr>
        <w:t xml:space="preserve">, Lytham Hall Primary </w:t>
      </w:r>
      <w:r w:rsidR="00107352" w:rsidRPr="002F17B5">
        <w:rPr>
          <w:rFonts w:eastAsia="Arial Unicode MS"/>
          <w:u w:color="000000"/>
        </w:rPr>
        <w:t>and Chorley</w:t>
      </w:r>
      <w:r w:rsidR="00C82461">
        <w:rPr>
          <w:rFonts w:eastAsia="Arial Unicode MS"/>
          <w:u w:color="000000"/>
        </w:rPr>
        <w:t xml:space="preserve"> Trinity CE/Methodist </w:t>
      </w:r>
      <w:r w:rsidR="00B8583B">
        <w:rPr>
          <w:rFonts w:eastAsia="Arial Unicode MS"/>
          <w:u w:color="000000"/>
        </w:rPr>
        <w:t>School</w:t>
      </w:r>
      <w:r w:rsidRPr="002F17B5">
        <w:rPr>
          <w:rFonts w:eastAsia="Arial Unicode MS"/>
          <w:u w:color="000000"/>
        </w:rPr>
        <w:t xml:space="preserve"> to meet basic need requirements</w:t>
      </w:r>
      <w:r w:rsidR="00107352">
        <w:rPr>
          <w:rFonts w:eastAsia="Arial Unicode MS"/>
          <w:u w:color="000000"/>
        </w:rPr>
        <w:t>.</w:t>
      </w:r>
    </w:p>
    <w:p w:rsidR="002A028C" w:rsidRPr="002F17B5" w:rsidRDefault="002A028C" w:rsidP="009A4C35">
      <w:pPr>
        <w:pStyle w:val="ListParagraph"/>
        <w:numPr>
          <w:ilvl w:val="0"/>
          <w:numId w:val="73"/>
        </w:numPr>
        <w:adjustRightInd/>
        <w:rPr>
          <w:rFonts w:eastAsia="Arial Unicode MS"/>
          <w:szCs w:val="20"/>
          <w:u w:color="000000"/>
        </w:rPr>
      </w:pPr>
      <w:r w:rsidRPr="002F17B5">
        <w:rPr>
          <w:rFonts w:eastAsia="Arial Unicode MS"/>
          <w:u w:color="000000"/>
        </w:rPr>
        <w:t>Conclusion of the phase 1 and 2 programmes of condition projects at over 70 schools.</w:t>
      </w:r>
    </w:p>
    <w:p w:rsidR="002A028C" w:rsidRPr="002F17B5" w:rsidRDefault="002A028C" w:rsidP="009A4C35">
      <w:pPr>
        <w:pStyle w:val="ListParagraph"/>
        <w:numPr>
          <w:ilvl w:val="0"/>
          <w:numId w:val="73"/>
        </w:numPr>
        <w:adjustRightInd/>
        <w:rPr>
          <w:rFonts w:eastAsia="Arial Unicode MS"/>
          <w:szCs w:val="20"/>
          <w:u w:color="000000"/>
        </w:rPr>
      </w:pPr>
      <w:r w:rsidRPr="002F17B5">
        <w:rPr>
          <w:rFonts w:eastAsia="Arial Unicode MS"/>
          <w:u w:color="000000"/>
        </w:rPr>
        <w:t>Near completion of the major extension scheme at Windermere Tower Wood Outdoor Education Centre.</w:t>
      </w:r>
    </w:p>
    <w:p w:rsidR="002A028C" w:rsidRPr="002F17B5" w:rsidRDefault="002A028C" w:rsidP="009A4C35">
      <w:pPr>
        <w:pStyle w:val="ListParagraph"/>
        <w:numPr>
          <w:ilvl w:val="0"/>
          <w:numId w:val="73"/>
        </w:numPr>
        <w:adjustRightInd/>
        <w:rPr>
          <w:rFonts w:eastAsia="Arial Unicode MS"/>
          <w:szCs w:val="20"/>
          <w:u w:color="000000"/>
        </w:rPr>
      </w:pPr>
      <w:r w:rsidRPr="002F17B5">
        <w:rPr>
          <w:rFonts w:eastAsia="Arial Unicode MS"/>
          <w:u w:color="000000"/>
        </w:rPr>
        <w:t xml:space="preserve">Completion of Burnley Youth Zone and various Youth Satellite projects throughout the </w:t>
      </w:r>
      <w:r w:rsidR="00EA7BD7">
        <w:rPr>
          <w:rFonts w:eastAsia="Arial Unicode MS"/>
          <w:u w:color="000000"/>
        </w:rPr>
        <w:t>c</w:t>
      </w:r>
      <w:r w:rsidRPr="002F17B5">
        <w:rPr>
          <w:rFonts w:eastAsia="Arial Unicode MS"/>
          <w:u w:color="000000"/>
        </w:rPr>
        <w:t>ounty.</w:t>
      </w:r>
    </w:p>
    <w:p w:rsidR="002A028C" w:rsidRPr="002F17B5" w:rsidRDefault="002A028C" w:rsidP="009A4C35">
      <w:pPr>
        <w:pStyle w:val="ListParagraph"/>
        <w:numPr>
          <w:ilvl w:val="0"/>
          <w:numId w:val="73"/>
        </w:numPr>
        <w:adjustRightInd/>
        <w:rPr>
          <w:rFonts w:eastAsia="Arial Unicode MS"/>
          <w:szCs w:val="20"/>
          <w:u w:color="000000"/>
        </w:rPr>
      </w:pPr>
      <w:r w:rsidRPr="002F17B5">
        <w:t>Of the</w:t>
      </w:r>
      <w:r w:rsidR="001F21F5">
        <w:t xml:space="preserve"> new transport projects approved in 2013/14,</w:t>
      </w:r>
      <w:r w:rsidRPr="002F17B5">
        <w:t xml:space="preserve"> 343 transport schemes were completed.  </w:t>
      </w:r>
    </w:p>
    <w:p w:rsidR="002A028C" w:rsidRPr="002F17B5" w:rsidRDefault="002A028C" w:rsidP="009A4C35">
      <w:pPr>
        <w:pStyle w:val="ListParagraph"/>
        <w:numPr>
          <w:ilvl w:val="0"/>
          <w:numId w:val="73"/>
        </w:numPr>
        <w:adjustRightInd/>
        <w:rPr>
          <w:rFonts w:eastAsia="Arial Unicode MS"/>
          <w:szCs w:val="20"/>
          <w:u w:color="000000"/>
        </w:rPr>
      </w:pPr>
      <w:r w:rsidRPr="002F17B5">
        <w:rPr>
          <w:iCs/>
        </w:rPr>
        <w:t>Over 61,000 potholes were identified by Highway Safety Inspections during 2013/14, of which 97% were repaired within 30 days</w:t>
      </w:r>
      <w:r w:rsidR="00107352">
        <w:rPr>
          <w:iCs/>
        </w:rPr>
        <w:t>.</w:t>
      </w:r>
    </w:p>
    <w:p w:rsidR="002A028C" w:rsidRPr="008C3487" w:rsidRDefault="002A028C" w:rsidP="009A4C35">
      <w:pPr>
        <w:pStyle w:val="ListParagraph"/>
        <w:numPr>
          <w:ilvl w:val="0"/>
          <w:numId w:val="73"/>
        </w:numPr>
        <w:adjustRightInd/>
        <w:rPr>
          <w:iCs/>
        </w:rPr>
      </w:pPr>
      <w:r w:rsidRPr="008C3487">
        <w:rPr>
          <w:iCs/>
        </w:rPr>
        <w:t xml:space="preserve">The </w:t>
      </w:r>
      <w:proofErr w:type="spellStart"/>
      <w:r w:rsidRPr="008C3487">
        <w:rPr>
          <w:iCs/>
        </w:rPr>
        <w:t>Heysham</w:t>
      </w:r>
      <w:proofErr w:type="spellEnd"/>
      <w:r w:rsidRPr="008C3487">
        <w:rPr>
          <w:iCs/>
        </w:rPr>
        <w:t xml:space="preserve"> to M6 link road was approved by the Secretary of State and construction work start</w:t>
      </w:r>
      <w:r w:rsidR="00EA7BD7" w:rsidRPr="008C3487">
        <w:rPr>
          <w:iCs/>
        </w:rPr>
        <w:t>ed in January 2014, with £17.5</w:t>
      </w:r>
      <w:r w:rsidRPr="008C3487">
        <w:rPr>
          <w:iCs/>
        </w:rPr>
        <w:t xml:space="preserve">m being spent in year.  </w:t>
      </w:r>
    </w:p>
    <w:p w:rsidR="007A0611" w:rsidRDefault="002A028C" w:rsidP="006E641D">
      <w:pPr>
        <w:pStyle w:val="ListParagraph"/>
        <w:numPr>
          <w:ilvl w:val="0"/>
          <w:numId w:val="73"/>
        </w:numPr>
        <w:autoSpaceDE/>
        <w:autoSpaceDN/>
        <w:adjustRightInd/>
        <w:spacing w:before="0"/>
        <w:jc w:val="left"/>
      </w:pPr>
      <w:r w:rsidRPr="007A0611">
        <w:rPr>
          <w:iCs/>
        </w:rPr>
        <w:t>The construction work to re</w:t>
      </w:r>
      <w:r w:rsidR="00234D53" w:rsidRPr="007A0611">
        <w:rPr>
          <w:iCs/>
        </w:rPr>
        <w:t xml:space="preserve">store Crook </w:t>
      </w:r>
      <w:proofErr w:type="spellStart"/>
      <w:r w:rsidR="00234D53" w:rsidRPr="007A0611">
        <w:rPr>
          <w:iCs/>
        </w:rPr>
        <w:t>O'</w:t>
      </w:r>
      <w:r w:rsidR="00E07286" w:rsidRPr="007A0611">
        <w:rPr>
          <w:iCs/>
        </w:rPr>
        <w:t>Lune</w:t>
      </w:r>
      <w:proofErr w:type="spellEnd"/>
      <w:r w:rsidR="00E07286" w:rsidRPr="007A0611">
        <w:rPr>
          <w:iCs/>
        </w:rPr>
        <w:t xml:space="preserve"> Bridge</w:t>
      </w:r>
      <w:r w:rsidR="00EA7BD7" w:rsidRPr="007A0611">
        <w:rPr>
          <w:iCs/>
        </w:rPr>
        <w:t xml:space="preserve"> was</w:t>
      </w:r>
      <w:r w:rsidRPr="007A0611">
        <w:rPr>
          <w:iCs/>
        </w:rPr>
        <w:t xml:space="preserve"> complete</w:t>
      </w:r>
      <w:r w:rsidR="00E07286" w:rsidRPr="007A0611">
        <w:rPr>
          <w:iCs/>
        </w:rPr>
        <w:t>d in 2013/</w:t>
      </w:r>
      <w:r w:rsidRPr="007A0611">
        <w:rPr>
          <w:iCs/>
        </w:rPr>
        <w:t xml:space="preserve">14. </w:t>
      </w:r>
    </w:p>
    <w:p w:rsidR="007A0611" w:rsidRDefault="00EA7BD7" w:rsidP="007A0611">
      <w:pPr>
        <w:pStyle w:val="ListParagraph"/>
        <w:numPr>
          <w:ilvl w:val="0"/>
          <w:numId w:val="73"/>
        </w:numPr>
        <w:autoSpaceDE/>
        <w:autoSpaceDN/>
        <w:adjustRightInd/>
        <w:spacing w:before="0"/>
        <w:jc w:val="left"/>
      </w:pPr>
      <w:r>
        <w:t>£25.3</w:t>
      </w:r>
      <w:r w:rsidR="00E07286">
        <w:t>m was spent during 2013/</w:t>
      </w:r>
      <w:r w:rsidR="002A028C" w:rsidRPr="002F17B5">
        <w:t xml:space="preserve">14 on maintenance of highways. </w:t>
      </w:r>
    </w:p>
    <w:p w:rsidR="00233576" w:rsidRPr="007A0611" w:rsidRDefault="002A028C" w:rsidP="007A0611">
      <w:pPr>
        <w:pStyle w:val="ListParagraph"/>
        <w:numPr>
          <w:ilvl w:val="0"/>
          <w:numId w:val="73"/>
        </w:numPr>
        <w:autoSpaceDE/>
        <w:autoSpaceDN/>
        <w:adjustRightInd/>
        <w:spacing w:before="0"/>
        <w:jc w:val="left"/>
      </w:pPr>
      <w:r w:rsidRPr="002F17B5">
        <w:t>Expenditure on the Growing Places Fund which promotes economic deve</w:t>
      </w:r>
      <w:r w:rsidR="00EA7BD7">
        <w:t>lopment initiatives within the c</w:t>
      </w:r>
      <w:r w:rsidRPr="002F17B5">
        <w:t>ounty</w:t>
      </w:r>
    </w:p>
    <w:p w:rsidR="002A028C" w:rsidRPr="002F17B5" w:rsidRDefault="002A028C" w:rsidP="009A4C35">
      <w:pPr>
        <w:pStyle w:val="ListParagraph"/>
        <w:numPr>
          <w:ilvl w:val="0"/>
          <w:numId w:val="73"/>
        </w:numPr>
        <w:autoSpaceDE/>
        <w:autoSpaceDN/>
        <w:adjustRightInd/>
        <w:spacing w:before="0"/>
        <w:jc w:val="left"/>
      </w:pPr>
      <w:r w:rsidRPr="002F17B5">
        <w:lastRenderedPageBreak/>
        <w:t>Continuation of work to replace ISSIS and</w:t>
      </w:r>
      <w:r w:rsidR="00E07286">
        <w:t xml:space="preserve"> develop the Resolution Service</w:t>
      </w:r>
    </w:p>
    <w:p w:rsidR="007A0611" w:rsidRDefault="002A028C" w:rsidP="007A0611">
      <w:pPr>
        <w:pStyle w:val="ListParagraph"/>
        <w:numPr>
          <w:ilvl w:val="0"/>
          <w:numId w:val="73"/>
        </w:numPr>
        <w:autoSpaceDE/>
        <w:autoSpaceDN/>
        <w:adjustRightInd/>
        <w:spacing w:before="0"/>
        <w:jc w:val="left"/>
      </w:pPr>
      <w:r w:rsidRPr="002F17B5">
        <w:t>Continued implementation of the Office Accommodation Strategy principally with work carried out on the County H</w:t>
      </w:r>
      <w:r w:rsidR="00E07286">
        <w:t>all Christ Church complex</w:t>
      </w:r>
    </w:p>
    <w:p w:rsidR="00D25B29" w:rsidRPr="007A0611" w:rsidRDefault="002A028C" w:rsidP="007A0611">
      <w:pPr>
        <w:pStyle w:val="ListParagraph"/>
        <w:numPr>
          <w:ilvl w:val="0"/>
          <w:numId w:val="73"/>
        </w:numPr>
        <w:autoSpaceDE/>
        <w:autoSpaceDN/>
        <w:adjustRightInd/>
        <w:spacing w:before="0"/>
        <w:jc w:val="left"/>
      </w:pPr>
      <w:r w:rsidRPr="007A0611">
        <w:rPr>
          <w:rFonts w:eastAsia="Arial Unicode MS" w:cs="Arial"/>
          <w:szCs w:val="20"/>
          <w:u w:color="000000"/>
        </w:rPr>
        <w:t>Expenditure on economic development activities including the implementat</w:t>
      </w:r>
      <w:r w:rsidR="00657CCB" w:rsidRPr="007A0611">
        <w:rPr>
          <w:rFonts w:eastAsia="Arial Unicode MS" w:cs="Arial"/>
          <w:szCs w:val="20"/>
          <w:u w:color="000000"/>
        </w:rPr>
        <w:t>ion of Superfast Broadband</w:t>
      </w:r>
    </w:p>
    <w:p w:rsidR="007A0611" w:rsidRDefault="007A0611" w:rsidP="00130A49">
      <w:pPr>
        <w:pStyle w:val="Default"/>
        <w:jc w:val="both"/>
        <w:rPr>
          <w:rFonts w:ascii="Arial" w:hAnsi="Arial" w:cs="Arial"/>
        </w:rPr>
      </w:pPr>
    </w:p>
    <w:p w:rsidR="00630492" w:rsidRDefault="00630492" w:rsidP="00130A49">
      <w:pPr>
        <w:pStyle w:val="Default"/>
        <w:jc w:val="both"/>
        <w:rPr>
          <w:rFonts w:ascii="Arial" w:hAnsi="Arial" w:cs="Arial"/>
        </w:rPr>
      </w:pPr>
      <w:r w:rsidRPr="002F17B5">
        <w:rPr>
          <w:rFonts w:ascii="Arial" w:hAnsi="Arial" w:cs="Arial"/>
        </w:rPr>
        <w:t>The expenditure was funded from government grants, capital receipts, other income and revenue contributions.</w:t>
      </w:r>
    </w:p>
    <w:p w:rsidR="007A0611" w:rsidRDefault="007A0611" w:rsidP="006958AC">
      <w:pPr>
        <w:pStyle w:val="Default"/>
        <w:jc w:val="both"/>
        <w:rPr>
          <w:rFonts w:ascii="Arial" w:hAnsi="Arial" w:cs="Arial"/>
        </w:rPr>
      </w:pPr>
    </w:p>
    <w:p w:rsidR="00130A49" w:rsidRDefault="00130A49" w:rsidP="006958AC">
      <w:pPr>
        <w:pStyle w:val="Default"/>
        <w:jc w:val="both"/>
        <w:rPr>
          <w:rFonts w:ascii="Arial" w:hAnsi="Arial" w:cs="Arial"/>
        </w:rPr>
      </w:pPr>
      <w:r w:rsidRPr="002F17B5">
        <w:rPr>
          <w:rFonts w:ascii="Arial" w:hAnsi="Arial" w:cs="Arial"/>
        </w:rPr>
        <w:t>The total loan debt built up over the years to finance capital expenditure and still outstanding at the end of 2013/14 was £</w:t>
      </w:r>
      <w:r w:rsidR="00B20FE7" w:rsidRPr="002F17B5">
        <w:rPr>
          <w:rFonts w:ascii="Arial" w:hAnsi="Arial" w:cs="Arial"/>
        </w:rPr>
        <w:t>8</w:t>
      </w:r>
      <w:r w:rsidR="007738D0" w:rsidRPr="002F17B5">
        <w:rPr>
          <w:rFonts w:ascii="Arial" w:hAnsi="Arial" w:cs="Arial"/>
        </w:rPr>
        <w:t>14.8</w:t>
      </w:r>
      <w:r w:rsidRPr="002F17B5">
        <w:rPr>
          <w:rFonts w:ascii="Arial" w:hAnsi="Arial" w:cs="Arial"/>
        </w:rPr>
        <w:t>million</w:t>
      </w:r>
      <w:r w:rsidR="00862AFA" w:rsidRPr="002F17B5">
        <w:rPr>
          <w:rFonts w:ascii="Arial" w:hAnsi="Arial" w:cs="Arial"/>
        </w:rPr>
        <w:t>, excluding</w:t>
      </w:r>
      <w:r w:rsidR="00E07286">
        <w:rPr>
          <w:rFonts w:ascii="Arial" w:hAnsi="Arial" w:cs="Arial"/>
        </w:rPr>
        <w:t xml:space="preserve"> debt on</w:t>
      </w:r>
      <w:r w:rsidR="00B20FE7" w:rsidRPr="002F17B5">
        <w:rPr>
          <w:rFonts w:ascii="Arial" w:hAnsi="Arial" w:cs="Arial"/>
        </w:rPr>
        <w:t xml:space="preserve"> PFI</w:t>
      </w:r>
      <w:r w:rsidR="00E07286">
        <w:rPr>
          <w:rFonts w:ascii="Arial" w:hAnsi="Arial" w:cs="Arial"/>
        </w:rPr>
        <w:t xml:space="preserve"> projects</w:t>
      </w:r>
      <w:r w:rsidR="00862AFA" w:rsidRPr="002F17B5">
        <w:rPr>
          <w:rFonts w:ascii="Arial" w:hAnsi="Arial" w:cs="Arial"/>
        </w:rPr>
        <w:t>. A large share</w:t>
      </w:r>
      <w:r w:rsidRPr="002F17B5">
        <w:rPr>
          <w:rFonts w:ascii="Arial" w:hAnsi="Arial" w:cs="Arial"/>
        </w:rPr>
        <w:t xml:space="preserve"> </w:t>
      </w:r>
      <w:r w:rsidR="00862AFA" w:rsidRPr="002F17B5">
        <w:rPr>
          <w:rFonts w:ascii="Arial" w:hAnsi="Arial" w:cs="Arial"/>
        </w:rPr>
        <w:t xml:space="preserve">of this debt </w:t>
      </w:r>
      <w:r w:rsidRPr="002F17B5">
        <w:rPr>
          <w:rFonts w:ascii="Arial" w:hAnsi="Arial" w:cs="Arial"/>
        </w:rPr>
        <w:t>is with the Public Works Loan Board (PWLB). The average rate of interest paid on all th</w:t>
      </w:r>
      <w:r w:rsidR="00862AFA" w:rsidRPr="002F17B5">
        <w:rPr>
          <w:rFonts w:ascii="Arial" w:hAnsi="Arial" w:cs="Arial"/>
        </w:rPr>
        <w:t>is</w:t>
      </w:r>
      <w:r w:rsidRPr="002F17B5">
        <w:rPr>
          <w:rFonts w:ascii="Arial" w:hAnsi="Arial" w:cs="Arial"/>
        </w:rPr>
        <w:t xml:space="preserve"> debt in </w:t>
      </w:r>
      <w:r w:rsidR="00B20FE7" w:rsidRPr="002F17B5">
        <w:rPr>
          <w:rFonts w:ascii="Arial" w:hAnsi="Arial" w:cs="Arial"/>
        </w:rPr>
        <w:t>2013/14 was 2.48</w:t>
      </w:r>
      <w:r w:rsidRPr="002F17B5">
        <w:rPr>
          <w:rFonts w:ascii="Arial" w:hAnsi="Arial" w:cs="Arial"/>
        </w:rPr>
        <w:t>% compared with an</w:t>
      </w:r>
      <w:r w:rsidR="00B20FE7" w:rsidRPr="002F17B5">
        <w:rPr>
          <w:rFonts w:ascii="Arial" w:hAnsi="Arial" w:cs="Arial"/>
        </w:rPr>
        <w:t xml:space="preserve"> average rate for 2012/13 of 2.45</w:t>
      </w:r>
      <w:r w:rsidRPr="002F17B5">
        <w:rPr>
          <w:rFonts w:ascii="Arial" w:hAnsi="Arial" w:cs="Arial"/>
        </w:rPr>
        <w:t xml:space="preserve">%. </w:t>
      </w:r>
    </w:p>
    <w:p w:rsidR="00EA7BD7" w:rsidRDefault="00EA7BD7" w:rsidP="006958AC">
      <w:pPr>
        <w:pStyle w:val="Default"/>
        <w:jc w:val="both"/>
        <w:rPr>
          <w:rFonts w:ascii="Arial" w:hAnsi="Arial" w:cs="Arial"/>
          <w:sz w:val="2"/>
        </w:rPr>
      </w:pPr>
    </w:p>
    <w:p w:rsidR="00D25B29" w:rsidRPr="00D25B29" w:rsidRDefault="00D25B29" w:rsidP="006958AC">
      <w:pPr>
        <w:pStyle w:val="Default"/>
        <w:jc w:val="both"/>
        <w:rPr>
          <w:rFonts w:ascii="Arial" w:hAnsi="Arial" w:cs="Arial"/>
          <w:sz w:val="2"/>
        </w:rPr>
      </w:pPr>
    </w:p>
    <w:p w:rsidR="007A0611" w:rsidRDefault="007A0611" w:rsidP="00130A49">
      <w:pPr>
        <w:pStyle w:val="Default"/>
        <w:jc w:val="both"/>
        <w:rPr>
          <w:rFonts w:ascii="Arial" w:hAnsi="Arial" w:cs="Arial"/>
        </w:rPr>
      </w:pPr>
    </w:p>
    <w:p w:rsidR="00130A49" w:rsidRPr="002F17B5" w:rsidRDefault="005D3E0E" w:rsidP="00130A49">
      <w:pPr>
        <w:pStyle w:val="Default"/>
        <w:jc w:val="both"/>
        <w:rPr>
          <w:rFonts w:ascii="Arial" w:hAnsi="Arial" w:cs="Arial"/>
          <w:b/>
          <w:bCs/>
          <w:sz w:val="22"/>
          <w:szCs w:val="22"/>
        </w:rPr>
      </w:pPr>
      <w:r w:rsidRPr="002F17B5">
        <w:rPr>
          <w:rFonts w:ascii="Arial" w:hAnsi="Arial" w:cs="Arial"/>
        </w:rPr>
        <w:t xml:space="preserve">The graph </w:t>
      </w:r>
      <w:r w:rsidR="007A0611">
        <w:rPr>
          <w:rFonts w:ascii="Arial" w:hAnsi="Arial" w:cs="Arial"/>
        </w:rPr>
        <w:t>below</w:t>
      </w:r>
      <w:r w:rsidRPr="002F17B5">
        <w:rPr>
          <w:rFonts w:ascii="Arial" w:hAnsi="Arial" w:cs="Arial"/>
        </w:rPr>
        <w:t xml:space="preserve"> shows our major areas of capital spending during the year</w:t>
      </w:r>
      <w:r w:rsidR="00130A49" w:rsidRPr="002F17B5">
        <w:rPr>
          <w:rFonts w:ascii="Arial" w:hAnsi="Arial" w:cs="Arial"/>
          <w:b/>
          <w:bCs/>
          <w:sz w:val="22"/>
          <w:szCs w:val="22"/>
        </w:rPr>
        <w:t xml:space="preserve">. </w:t>
      </w:r>
    </w:p>
    <w:p w:rsidR="00C82461" w:rsidRPr="002F17B5" w:rsidRDefault="00C82461" w:rsidP="00130A49">
      <w:pPr>
        <w:pStyle w:val="Default"/>
        <w:jc w:val="both"/>
        <w:rPr>
          <w:rFonts w:ascii="Arial" w:hAnsi="Arial" w:cs="Arial"/>
          <w:b/>
          <w:bCs/>
          <w:sz w:val="22"/>
          <w:szCs w:val="22"/>
        </w:rPr>
      </w:pPr>
    </w:p>
    <w:p w:rsidR="00130A49" w:rsidRPr="002F17B5" w:rsidRDefault="007A0611" w:rsidP="00130A49">
      <w:pPr>
        <w:rPr>
          <w:b/>
        </w:rPr>
      </w:pPr>
      <w:r>
        <w:rPr>
          <w:b/>
          <w:noProof/>
          <w:lang w:eastAsia="en-GB"/>
        </w:rPr>
        <mc:AlternateContent>
          <mc:Choice Requires="wps">
            <w:drawing>
              <wp:anchor distT="0" distB="0" distL="114300" distR="114300" simplePos="0" relativeHeight="251663360" behindDoc="0" locked="0" layoutInCell="1" allowOverlap="1" wp14:anchorId="7A1D717D" wp14:editId="5697B162">
                <wp:simplePos x="0" y="0"/>
                <wp:positionH relativeFrom="column">
                  <wp:posOffset>2217156</wp:posOffset>
                </wp:positionH>
                <wp:positionV relativeFrom="paragraph">
                  <wp:posOffset>2517750</wp:posOffset>
                </wp:positionV>
                <wp:extent cx="440690" cy="269240"/>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B0F" w:rsidRDefault="004A4B0F" w:rsidP="00130A49">
                            <w: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1D717D" id="Text Box 6" o:spid="_x0000_s1027" type="#_x0000_t202" style="position:absolute;left:0;text-align:left;margin-left:174.6pt;margin-top:198.25pt;width:34.7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" stroked="f">
                <v:textbox>
                  <w:txbxContent>
                    <w:p w:rsidR="004A4B0F" w:rsidRDefault="004A4B0F" w:rsidP="00130A49">
                      <w:r>
                        <w:t>£m</w:t>
                      </w:r>
                    </w:p>
                  </w:txbxContent>
                </v:textbox>
              </v:shape>
            </w:pict>
          </mc:Fallback>
        </mc:AlternateContent>
      </w:r>
      <w:r w:rsidR="00C82461" w:rsidRPr="00C82461">
        <w:rPr>
          <w:noProof/>
          <w:lang w:eastAsia="en-GB"/>
        </w:rPr>
        <w:t xml:space="preserve"> </w:t>
      </w:r>
      <w:r w:rsidR="00C82461">
        <w:rPr>
          <w:noProof/>
          <w:lang w:eastAsia="en-GB"/>
        </w:rPr>
        <w:drawing>
          <wp:inline distT="0" distB="0" distL="0" distR="0" wp14:anchorId="2A39EB68" wp14:editId="0B08C4BC">
            <wp:extent cx="6296025" cy="28194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0A49" w:rsidRPr="002F17B5" w:rsidRDefault="00130A49" w:rsidP="00130A49">
      <w:pPr>
        <w:pStyle w:val="Default"/>
        <w:jc w:val="left"/>
        <w:rPr>
          <w:rFonts w:ascii="Arial" w:hAnsi="Arial" w:cs="Arial"/>
        </w:rPr>
      </w:pPr>
    </w:p>
    <w:p w:rsidR="00130A49" w:rsidRPr="002F17B5" w:rsidRDefault="00130A49" w:rsidP="009A4282">
      <w:r w:rsidRPr="002F17B5">
        <w:rPr>
          <w:rFonts w:cs="Arial"/>
        </w:rPr>
        <w:t xml:space="preserve">Full details of spending, income and budget variances are set out in the county council's end of year report 2013/14 to Cabinet on </w:t>
      </w:r>
      <w:r w:rsidR="009A4282" w:rsidRPr="002F17B5">
        <w:rPr>
          <w:rFonts w:cs="Arial"/>
        </w:rPr>
        <w:t>5 June</w:t>
      </w:r>
      <w:r w:rsidRPr="002F17B5">
        <w:rPr>
          <w:rFonts w:cs="Arial"/>
        </w:rPr>
        <w:t xml:space="preserve"> 201</w:t>
      </w:r>
      <w:r w:rsidR="009A4282" w:rsidRPr="002F17B5">
        <w:rPr>
          <w:rFonts w:cs="Arial"/>
        </w:rPr>
        <w:t>4</w:t>
      </w:r>
      <w:r w:rsidRPr="002F17B5">
        <w:rPr>
          <w:rFonts w:cs="Arial"/>
        </w:rPr>
        <w:t xml:space="preserve">. This is available on our website:  </w:t>
      </w:r>
      <w:hyperlink r:id="rId13" w:history="1">
        <w:r w:rsidR="009A4282" w:rsidRPr="002F17B5">
          <w:rPr>
            <w:rStyle w:val="Hyperlink"/>
            <w:rFonts w:cs="Arial"/>
          </w:rPr>
          <w:t>http://council.lancashire.gov.uk/ieListDocuments.aspx?CId=122&amp;MId=3457</w:t>
        </w:r>
      </w:hyperlink>
    </w:p>
    <w:p w:rsidR="00107352" w:rsidRPr="002F17B5" w:rsidRDefault="00107352" w:rsidP="00130A49">
      <w:pPr>
        <w:pStyle w:val="Body1"/>
        <w:ind w:left="-426" w:firstLine="426"/>
        <w:jc w:val="both"/>
        <w:rPr>
          <w:rFonts w:cs="Arial"/>
          <w:b/>
        </w:rPr>
      </w:pPr>
    </w:p>
    <w:p w:rsidR="00130A49" w:rsidRPr="00D851CE" w:rsidRDefault="00130A49" w:rsidP="00D851CE">
      <w:pPr>
        <w:pStyle w:val="Heading2"/>
      </w:pPr>
      <w:r w:rsidRPr="00D851CE">
        <w:t>Schools Spending</w:t>
      </w:r>
    </w:p>
    <w:p w:rsidR="00130A49" w:rsidRPr="002F17B5" w:rsidRDefault="00130A49" w:rsidP="00130A49">
      <w:pPr>
        <w:contextualSpacing/>
        <w:rPr>
          <w:rFonts w:cs="Arial"/>
        </w:rPr>
      </w:pPr>
      <w:r w:rsidRPr="002F17B5">
        <w:rPr>
          <w:rFonts w:cs="Arial"/>
        </w:rPr>
        <w:t>Collectively</w:t>
      </w:r>
      <w:r w:rsidR="00B4083A">
        <w:rPr>
          <w:rFonts w:cs="Arial"/>
        </w:rPr>
        <w:t>,</w:t>
      </w:r>
      <w:r w:rsidRPr="002F17B5">
        <w:rPr>
          <w:rFonts w:cs="Arial"/>
        </w:rPr>
        <w:t xml:space="preserve"> the schools funded via the </w:t>
      </w:r>
      <w:r w:rsidR="00C74D27" w:rsidRPr="002F17B5">
        <w:rPr>
          <w:rFonts w:cs="Arial"/>
        </w:rPr>
        <w:t>c</w:t>
      </w:r>
      <w:r w:rsidRPr="002F17B5">
        <w:rPr>
          <w:rFonts w:cs="Arial"/>
        </w:rPr>
        <w:t xml:space="preserve">ounty </w:t>
      </w:r>
      <w:r w:rsidR="00C74D27" w:rsidRPr="002F17B5">
        <w:rPr>
          <w:rFonts w:cs="Arial"/>
        </w:rPr>
        <w:t>c</w:t>
      </w:r>
      <w:r w:rsidR="00B4083A">
        <w:rPr>
          <w:rFonts w:cs="Arial"/>
        </w:rPr>
        <w:t>ouncil</w:t>
      </w:r>
      <w:r w:rsidRPr="002F17B5">
        <w:rPr>
          <w:rFonts w:cs="Arial"/>
        </w:rPr>
        <w:t xml:space="preserve"> increased their accumulat</w:t>
      </w:r>
      <w:r w:rsidR="00B4083A">
        <w:rPr>
          <w:rFonts w:cs="Arial"/>
        </w:rPr>
        <w:t>ed individual reserves by £4.38</w:t>
      </w:r>
      <w:r w:rsidRPr="002F17B5">
        <w:rPr>
          <w:rFonts w:cs="Arial"/>
        </w:rPr>
        <w:t>m.</w:t>
      </w:r>
    </w:p>
    <w:p w:rsidR="00130A49" w:rsidRPr="002F17B5" w:rsidRDefault="00130A49" w:rsidP="00130A49">
      <w:pPr>
        <w:contextualSpacing/>
        <w:rPr>
          <w:rFonts w:cs="Arial"/>
          <w:szCs w:val="20"/>
        </w:rPr>
      </w:pPr>
    </w:p>
    <w:p w:rsidR="00130A49" w:rsidRPr="002F17B5" w:rsidRDefault="00130A49" w:rsidP="00130A49">
      <w:pPr>
        <w:contextualSpacing/>
        <w:rPr>
          <w:rFonts w:cs="Arial"/>
        </w:rPr>
      </w:pPr>
      <w:r w:rsidRPr="002F17B5">
        <w:rPr>
          <w:rFonts w:cs="Arial"/>
        </w:rPr>
        <w:t>The implementation of the previously agreed claw back policy in relation to schools with excessive balances which will affect</w:t>
      </w:r>
      <w:r w:rsidR="00B4083A">
        <w:rPr>
          <w:rFonts w:cs="Arial"/>
        </w:rPr>
        <w:t xml:space="preserve"> 41 schools and result in £0.24</w:t>
      </w:r>
      <w:r w:rsidRPr="002F17B5">
        <w:rPr>
          <w:rFonts w:cs="Arial"/>
        </w:rPr>
        <w:t>m being recycled within the schools budget.</w:t>
      </w:r>
    </w:p>
    <w:p w:rsidR="00130A49" w:rsidRPr="002F17B5" w:rsidRDefault="00130A49" w:rsidP="00130A49">
      <w:pPr>
        <w:contextualSpacing/>
        <w:rPr>
          <w:rFonts w:cs="Arial"/>
        </w:rPr>
      </w:pPr>
    </w:p>
    <w:p w:rsidR="00D851CE" w:rsidRDefault="00D851CE" w:rsidP="00130A49">
      <w:pPr>
        <w:contextualSpacing/>
        <w:rPr>
          <w:rFonts w:cs="Arial"/>
        </w:rPr>
      </w:pPr>
    </w:p>
    <w:p w:rsidR="00D851CE" w:rsidRDefault="00D851CE" w:rsidP="00130A49">
      <w:pPr>
        <w:contextualSpacing/>
        <w:rPr>
          <w:rFonts w:cs="Arial"/>
        </w:rPr>
      </w:pPr>
    </w:p>
    <w:p w:rsidR="00D851CE" w:rsidRDefault="00D851CE" w:rsidP="00130A49">
      <w:pPr>
        <w:contextualSpacing/>
        <w:rPr>
          <w:rFonts w:cs="Arial"/>
        </w:rPr>
      </w:pPr>
    </w:p>
    <w:p w:rsidR="00D851CE" w:rsidRDefault="00D851CE" w:rsidP="00130A49">
      <w:pPr>
        <w:contextualSpacing/>
        <w:rPr>
          <w:rFonts w:cs="Arial"/>
        </w:rPr>
      </w:pPr>
    </w:p>
    <w:p w:rsidR="00D851CE" w:rsidRDefault="00D851CE" w:rsidP="00130A49">
      <w:pPr>
        <w:contextualSpacing/>
        <w:rPr>
          <w:rFonts w:cs="Arial"/>
        </w:rPr>
      </w:pPr>
    </w:p>
    <w:p w:rsidR="00D851CE" w:rsidRDefault="00D851CE" w:rsidP="00130A49">
      <w:pPr>
        <w:contextualSpacing/>
        <w:rPr>
          <w:rFonts w:cs="Arial"/>
        </w:rPr>
      </w:pPr>
    </w:p>
    <w:p w:rsidR="00130A49" w:rsidRPr="002F17B5" w:rsidRDefault="00130A49" w:rsidP="00130A49">
      <w:pPr>
        <w:contextualSpacing/>
        <w:rPr>
          <w:rFonts w:cs="Arial"/>
        </w:rPr>
      </w:pPr>
      <w:r w:rsidRPr="002F17B5">
        <w:rPr>
          <w:rFonts w:cs="Arial"/>
        </w:rPr>
        <w:t>The overall picture on individual schools balances is shown below:</w:t>
      </w:r>
    </w:p>
    <w:p w:rsidR="00130A49" w:rsidRPr="002F17B5" w:rsidRDefault="00130A49" w:rsidP="00130A49">
      <w:pPr>
        <w:rPr>
          <w:rFonts w:cs="Arial"/>
          <w:sz w:val="16"/>
          <w:szCs w:val="20"/>
        </w:rPr>
      </w:pPr>
    </w:p>
    <w:tbl>
      <w:tblPr>
        <w:tblW w:w="8540" w:type="dxa"/>
        <w:jc w:val="center"/>
        <w:tblLayout w:type="fixed"/>
        <w:tblLook w:val="01E0" w:firstRow="1" w:lastRow="1" w:firstColumn="1" w:lastColumn="1" w:noHBand="0" w:noVBand="0"/>
      </w:tblPr>
      <w:tblGrid>
        <w:gridCol w:w="3039"/>
        <w:gridCol w:w="1694"/>
        <w:gridCol w:w="1842"/>
        <w:gridCol w:w="1965"/>
      </w:tblGrid>
      <w:tr w:rsidR="00130A49" w:rsidRPr="002F17B5" w:rsidTr="00240E9F">
        <w:trPr>
          <w:jc w:val="center"/>
        </w:trPr>
        <w:tc>
          <w:tcPr>
            <w:tcW w:w="3039" w:type="dxa"/>
            <w:shd w:val="clear" w:color="auto" w:fill="FFFFFF" w:themeFill="background1"/>
          </w:tcPr>
          <w:p w:rsidR="00130A49" w:rsidRPr="002F17B5" w:rsidRDefault="00130A49" w:rsidP="00130A49">
            <w:pPr>
              <w:rPr>
                <w:rFonts w:cs="Arial"/>
                <w:szCs w:val="20"/>
              </w:rPr>
            </w:pPr>
          </w:p>
        </w:tc>
        <w:tc>
          <w:tcPr>
            <w:tcW w:w="1694" w:type="dxa"/>
            <w:shd w:val="clear" w:color="auto" w:fill="FFFFFF" w:themeFill="background1"/>
          </w:tcPr>
          <w:p w:rsidR="00130A49" w:rsidRPr="002F17B5" w:rsidRDefault="00130A49" w:rsidP="00130A49">
            <w:pPr>
              <w:ind w:left="-108" w:right="-108"/>
              <w:jc w:val="center"/>
              <w:rPr>
                <w:rFonts w:cs="Arial"/>
                <w:b/>
                <w:szCs w:val="20"/>
              </w:rPr>
            </w:pPr>
            <w:r w:rsidRPr="002F17B5">
              <w:rPr>
                <w:rFonts w:cs="Arial"/>
                <w:b/>
                <w:szCs w:val="20"/>
              </w:rPr>
              <w:t>Balance at 1 April 2013</w:t>
            </w:r>
          </w:p>
        </w:tc>
        <w:tc>
          <w:tcPr>
            <w:tcW w:w="1842" w:type="dxa"/>
            <w:shd w:val="clear" w:color="auto" w:fill="FFFFFF" w:themeFill="background1"/>
          </w:tcPr>
          <w:p w:rsidR="00130A49" w:rsidRPr="002F17B5" w:rsidRDefault="00130A49" w:rsidP="00130A49">
            <w:pPr>
              <w:jc w:val="center"/>
              <w:rPr>
                <w:rFonts w:cs="Arial"/>
                <w:b/>
                <w:szCs w:val="20"/>
              </w:rPr>
            </w:pPr>
            <w:r w:rsidRPr="002F17B5">
              <w:rPr>
                <w:rFonts w:cs="Arial"/>
                <w:b/>
                <w:szCs w:val="20"/>
              </w:rPr>
              <w:t xml:space="preserve">Net change in balances </w:t>
            </w:r>
          </w:p>
        </w:tc>
        <w:tc>
          <w:tcPr>
            <w:tcW w:w="1965" w:type="dxa"/>
            <w:shd w:val="clear" w:color="auto" w:fill="FFFFFF" w:themeFill="background1"/>
          </w:tcPr>
          <w:p w:rsidR="00130A49" w:rsidRPr="002F17B5" w:rsidRDefault="00130A49" w:rsidP="00130A49">
            <w:pPr>
              <w:jc w:val="center"/>
              <w:rPr>
                <w:rFonts w:cs="Arial"/>
                <w:b/>
                <w:szCs w:val="20"/>
              </w:rPr>
            </w:pPr>
            <w:r w:rsidRPr="002F17B5">
              <w:rPr>
                <w:rFonts w:cs="Arial"/>
                <w:b/>
                <w:szCs w:val="20"/>
              </w:rPr>
              <w:t>Balances at</w:t>
            </w:r>
          </w:p>
          <w:p w:rsidR="00130A49" w:rsidRPr="002F17B5" w:rsidRDefault="00130A49" w:rsidP="00130A49">
            <w:pPr>
              <w:jc w:val="center"/>
              <w:rPr>
                <w:rFonts w:cs="Arial"/>
                <w:b/>
                <w:szCs w:val="20"/>
              </w:rPr>
            </w:pPr>
            <w:r w:rsidRPr="002F17B5">
              <w:rPr>
                <w:rFonts w:cs="Arial"/>
                <w:b/>
                <w:szCs w:val="20"/>
              </w:rPr>
              <w:t>31 March 2014</w:t>
            </w:r>
          </w:p>
        </w:tc>
      </w:tr>
      <w:tr w:rsidR="00130A49" w:rsidRPr="002F17B5" w:rsidTr="00240E9F">
        <w:trPr>
          <w:jc w:val="center"/>
        </w:trPr>
        <w:tc>
          <w:tcPr>
            <w:tcW w:w="3039" w:type="dxa"/>
            <w:shd w:val="clear" w:color="auto" w:fill="FFFFFF" w:themeFill="background1"/>
          </w:tcPr>
          <w:p w:rsidR="00130A49" w:rsidRPr="002F17B5" w:rsidRDefault="00130A49" w:rsidP="00130A49">
            <w:pPr>
              <w:rPr>
                <w:rFonts w:cs="Arial"/>
                <w:szCs w:val="20"/>
              </w:rPr>
            </w:pPr>
          </w:p>
        </w:tc>
        <w:tc>
          <w:tcPr>
            <w:tcW w:w="1694" w:type="dxa"/>
            <w:shd w:val="clear" w:color="auto" w:fill="FFFFFF" w:themeFill="background1"/>
          </w:tcPr>
          <w:p w:rsidR="00130A49" w:rsidRPr="002F17B5" w:rsidRDefault="00130A49" w:rsidP="00130A49">
            <w:pPr>
              <w:jc w:val="center"/>
              <w:rPr>
                <w:rFonts w:cs="Arial"/>
                <w:b/>
                <w:szCs w:val="20"/>
              </w:rPr>
            </w:pPr>
            <w:r w:rsidRPr="002F17B5">
              <w:rPr>
                <w:rFonts w:cs="Arial"/>
                <w:b/>
                <w:szCs w:val="20"/>
              </w:rPr>
              <w:t>£m</w:t>
            </w:r>
          </w:p>
        </w:tc>
        <w:tc>
          <w:tcPr>
            <w:tcW w:w="1842" w:type="dxa"/>
            <w:shd w:val="clear" w:color="auto" w:fill="FFFFFF" w:themeFill="background1"/>
          </w:tcPr>
          <w:p w:rsidR="00130A49" w:rsidRPr="002F17B5" w:rsidRDefault="00130A49" w:rsidP="00130A49">
            <w:pPr>
              <w:jc w:val="center"/>
              <w:rPr>
                <w:rFonts w:cs="Arial"/>
                <w:b/>
                <w:szCs w:val="20"/>
              </w:rPr>
            </w:pPr>
            <w:r w:rsidRPr="002F17B5">
              <w:rPr>
                <w:rFonts w:cs="Arial"/>
                <w:b/>
                <w:szCs w:val="20"/>
              </w:rPr>
              <w:t>£m</w:t>
            </w:r>
          </w:p>
        </w:tc>
        <w:tc>
          <w:tcPr>
            <w:tcW w:w="1965" w:type="dxa"/>
            <w:shd w:val="clear" w:color="auto" w:fill="FFFFFF" w:themeFill="background1"/>
          </w:tcPr>
          <w:p w:rsidR="00130A49" w:rsidRPr="002F17B5" w:rsidRDefault="00130A49" w:rsidP="00130A49">
            <w:pPr>
              <w:jc w:val="center"/>
              <w:rPr>
                <w:rFonts w:cs="Arial"/>
                <w:b/>
                <w:szCs w:val="20"/>
              </w:rPr>
            </w:pPr>
            <w:r w:rsidRPr="002F17B5">
              <w:rPr>
                <w:rFonts w:cs="Arial"/>
                <w:b/>
                <w:szCs w:val="20"/>
              </w:rPr>
              <w:t>£m</w:t>
            </w:r>
          </w:p>
        </w:tc>
      </w:tr>
      <w:tr w:rsidR="00130A49" w:rsidRPr="002F17B5" w:rsidTr="00240E9F">
        <w:trPr>
          <w:jc w:val="center"/>
        </w:trPr>
        <w:tc>
          <w:tcPr>
            <w:tcW w:w="3039" w:type="dxa"/>
          </w:tcPr>
          <w:p w:rsidR="00130A49" w:rsidRPr="002F17B5" w:rsidRDefault="00130A49" w:rsidP="00130A49">
            <w:pPr>
              <w:rPr>
                <w:rFonts w:cs="Arial"/>
                <w:szCs w:val="20"/>
              </w:rPr>
            </w:pPr>
            <w:r w:rsidRPr="002F17B5">
              <w:rPr>
                <w:rFonts w:cs="Arial"/>
                <w:szCs w:val="20"/>
              </w:rPr>
              <w:t>Nursery</w:t>
            </w:r>
          </w:p>
        </w:tc>
        <w:tc>
          <w:tcPr>
            <w:tcW w:w="1694" w:type="dxa"/>
          </w:tcPr>
          <w:p w:rsidR="00130A49" w:rsidRPr="002F17B5" w:rsidRDefault="006D4B54" w:rsidP="0019010D">
            <w:pPr>
              <w:ind w:right="317"/>
              <w:jc w:val="right"/>
              <w:rPr>
                <w:rFonts w:cs="Arial"/>
                <w:szCs w:val="20"/>
              </w:rPr>
            </w:pPr>
            <w:r w:rsidRPr="002F17B5">
              <w:rPr>
                <w:rFonts w:cs="Arial"/>
                <w:szCs w:val="20"/>
              </w:rPr>
              <w:t>1.5</w:t>
            </w:r>
          </w:p>
        </w:tc>
        <w:tc>
          <w:tcPr>
            <w:tcW w:w="1842" w:type="dxa"/>
          </w:tcPr>
          <w:p w:rsidR="00130A49" w:rsidRPr="002F17B5" w:rsidRDefault="00C74D27" w:rsidP="0019010D">
            <w:pPr>
              <w:ind w:right="397"/>
              <w:jc w:val="right"/>
              <w:rPr>
                <w:rFonts w:cs="Arial"/>
                <w:szCs w:val="20"/>
              </w:rPr>
            </w:pPr>
            <w:r w:rsidRPr="002F17B5">
              <w:rPr>
                <w:rFonts w:cs="Arial"/>
                <w:szCs w:val="20"/>
              </w:rPr>
              <w:t>(</w:t>
            </w:r>
            <w:r w:rsidR="006D4B54" w:rsidRPr="002F17B5">
              <w:rPr>
                <w:rFonts w:cs="Arial"/>
                <w:szCs w:val="20"/>
              </w:rPr>
              <w:t>0.5</w:t>
            </w:r>
            <w:r w:rsidRPr="002F17B5">
              <w:rPr>
                <w:rFonts w:cs="Arial"/>
                <w:szCs w:val="20"/>
              </w:rPr>
              <w:t>)</w:t>
            </w:r>
          </w:p>
        </w:tc>
        <w:tc>
          <w:tcPr>
            <w:tcW w:w="1965" w:type="dxa"/>
          </w:tcPr>
          <w:p w:rsidR="001D73DF" w:rsidRPr="002F17B5" w:rsidRDefault="006D4B54">
            <w:pPr>
              <w:ind w:right="318"/>
              <w:jc w:val="right"/>
              <w:rPr>
                <w:rFonts w:cs="Arial"/>
                <w:szCs w:val="20"/>
              </w:rPr>
            </w:pPr>
            <w:r w:rsidRPr="002F17B5">
              <w:rPr>
                <w:rFonts w:cs="Arial"/>
                <w:szCs w:val="20"/>
              </w:rPr>
              <w:t>1.0</w:t>
            </w:r>
          </w:p>
        </w:tc>
      </w:tr>
      <w:tr w:rsidR="00130A49" w:rsidRPr="002F17B5" w:rsidTr="00240E9F">
        <w:trPr>
          <w:jc w:val="center"/>
        </w:trPr>
        <w:tc>
          <w:tcPr>
            <w:tcW w:w="3039" w:type="dxa"/>
          </w:tcPr>
          <w:p w:rsidR="00130A49" w:rsidRPr="002F17B5" w:rsidRDefault="00130A49" w:rsidP="00130A49">
            <w:pPr>
              <w:rPr>
                <w:rFonts w:cs="Arial"/>
                <w:szCs w:val="20"/>
              </w:rPr>
            </w:pPr>
            <w:r w:rsidRPr="002F17B5">
              <w:rPr>
                <w:rFonts w:cs="Arial"/>
                <w:szCs w:val="20"/>
              </w:rPr>
              <w:t>Primary</w:t>
            </w:r>
          </w:p>
        </w:tc>
        <w:tc>
          <w:tcPr>
            <w:tcW w:w="1694" w:type="dxa"/>
          </w:tcPr>
          <w:p w:rsidR="00130A49" w:rsidRPr="002F17B5" w:rsidRDefault="006D4B54" w:rsidP="0019010D">
            <w:pPr>
              <w:ind w:right="317"/>
              <w:jc w:val="right"/>
              <w:rPr>
                <w:rFonts w:cs="Arial"/>
                <w:szCs w:val="20"/>
              </w:rPr>
            </w:pPr>
            <w:r w:rsidRPr="002F17B5">
              <w:rPr>
                <w:rFonts w:cs="Arial"/>
                <w:szCs w:val="20"/>
              </w:rPr>
              <w:t>33.6</w:t>
            </w:r>
          </w:p>
        </w:tc>
        <w:tc>
          <w:tcPr>
            <w:tcW w:w="1842" w:type="dxa"/>
          </w:tcPr>
          <w:p w:rsidR="00130A49" w:rsidRPr="002F17B5" w:rsidRDefault="00C74D27" w:rsidP="0019010D">
            <w:pPr>
              <w:ind w:right="397"/>
              <w:jc w:val="right"/>
              <w:rPr>
                <w:rFonts w:cs="Arial"/>
                <w:szCs w:val="20"/>
              </w:rPr>
            </w:pPr>
            <w:r w:rsidRPr="002F17B5">
              <w:rPr>
                <w:rFonts w:cs="Arial"/>
                <w:szCs w:val="20"/>
              </w:rPr>
              <w:t>(</w:t>
            </w:r>
            <w:r w:rsidR="006D4B54" w:rsidRPr="002F17B5">
              <w:rPr>
                <w:rFonts w:cs="Arial"/>
                <w:szCs w:val="20"/>
              </w:rPr>
              <w:t>1.5</w:t>
            </w:r>
            <w:r w:rsidRPr="002F17B5">
              <w:rPr>
                <w:rFonts w:cs="Arial"/>
                <w:szCs w:val="20"/>
              </w:rPr>
              <w:t>)</w:t>
            </w:r>
          </w:p>
        </w:tc>
        <w:tc>
          <w:tcPr>
            <w:tcW w:w="1965" w:type="dxa"/>
          </w:tcPr>
          <w:p w:rsidR="001D73DF" w:rsidRPr="002F17B5" w:rsidRDefault="006D4B54">
            <w:pPr>
              <w:ind w:right="318"/>
              <w:jc w:val="right"/>
              <w:rPr>
                <w:rFonts w:cs="Arial"/>
                <w:szCs w:val="20"/>
              </w:rPr>
            </w:pPr>
            <w:r w:rsidRPr="002F17B5">
              <w:rPr>
                <w:rFonts w:cs="Arial"/>
                <w:szCs w:val="20"/>
              </w:rPr>
              <w:t>32.1</w:t>
            </w:r>
          </w:p>
        </w:tc>
      </w:tr>
      <w:tr w:rsidR="00130A49" w:rsidRPr="002F17B5" w:rsidTr="00240E9F">
        <w:trPr>
          <w:jc w:val="center"/>
        </w:trPr>
        <w:tc>
          <w:tcPr>
            <w:tcW w:w="3039" w:type="dxa"/>
          </w:tcPr>
          <w:p w:rsidR="00130A49" w:rsidRPr="002F17B5" w:rsidRDefault="00130A49" w:rsidP="00130A49">
            <w:pPr>
              <w:rPr>
                <w:rFonts w:cs="Arial"/>
                <w:szCs w:val="20"/>
              </w:rPr>
            </w:pPr>
            <w:r w:rsidRPr="002F17B5">
              <w:rPr>
                <w:rFonts w:cs="Arial"/>
                <w:szCs w:val="20"/>
              </w:rPr>
              <w:t>Secondary</w:t>
            </w:r>
          </w:p>
        </w:tc>
        <w:tc>
          <w:tcPr>
            <w:tcW w:w="1694" w:type="dxa"/>
          </w:tcPr>
          <w:p w:rsidR="00130A49" w:rsidRPr="002F17B5" w:rsidRDefault="00130A49" w:rsidP="0019010D">
            <w:pPr>
              <w:ind w:right="317"/>
              <w:jc w:val="right"/>
              <w:rPr>
                <w:rFonts w:cs="Arial"/>
                <w:szCs w:val="20"/>
              </w:rPr>
            </w:pPr>
            <w:r w:rsidRPr="002F17B5">
              <w:rPr>
                <w:rFonts w:cs="Arial"/>
                <w:szCs w:val="20"/>
              </w:rPr>
              <w:t>11.</w:t>
            </w:r>
            <w:r w:rsidR="006D4B54" w:rsidRPr="002F17B5">
              <w:rPr>
                <w:rFonts w:cs="Arial"/>
                <w:szCs w:val="20"/>
              </w:rPr>
              <w:t>1</w:t>
            </w:r>
          </w:p>
        </w:tc>
        <w:tc>
          <w:tcPr>
            <w:tcW w:w="1842" w:type="dxa"/>
          </w:tcPr>
          <w:p w:rsidR="00130A49" w:rsidRPr="002F17B5" w:rsidRDefault="006D4B54" w:rsidP="0019010D">
            <w:pPr>
              <w:ind w:right="397"/>
              <w:jc w:val="right"/>
              <w:rPr>
                <w:rFonts w:cs="Arial"/>
                <w:szCs w:val="20"/>
              </w:rPr>
            </w:pPr>
            <w:r w:rsidRPr="002F17B5">
              <w:rPr>
                <w:rFonts w:cs="Arial"/>
                <w:szCs w:val="20"/>
              </w:rPr>
              <w:t>4.5</w:t>
            </w:r>
          </w:p>
        </w:tc>
        <w:tc>
          <w:tcPr>
            <w:tcW w:w="1965" w:type="dxa"/>
          </w:tcPr>
          <w:p w:rsidR="001D73DF" w:rsidRPr="002F17B5" w:rsidRDefault="006D4B54">
            <w:pPr>
              <w:ind w:right="318"/>
              <w:jc w:val="right"/>
              <w:rPr>
                <w:rFonts w:cs="Arial"/>
                <w:szCs w:val="20"/>
              </w:rPr>
            </w:pPr>
            <w:r w:rsidRPr="002F17B5">
              <w:rPr>
                <w:rFonts w:cs="Arial"/>
                <w:szCs w:val="20"/>
              </w:rPr>
              <w:t>15.6</w:t>
            </w:r>
          </w:p>
        </w:tc>
      </w:tr>
      <w:tr w:rsidR="00130A49" w:rsidRPr="002F17B5" w:rsidTr="00240E9F">
        <w:trPr>
          <w:jc w:val="center"/>
        </w:trPr>
        <w:tc>
          <w:tcPr>
            <w:tcW w:w="3039" w:type="dxa"/>
          </w:tcPr>
          <w:p w:rsidR="00130A49" w:rsidRPr="002F17B5" w:rsidRDefault="00130A49" w:rsidP="00130A49">
            <w:pPr>
              <w:rPr>
                <w:rFonts w:cs="Arial"/>
                <w:szCs w:val="20"/>
              </w:rPr>
            </w:pPr>
            <w:r w:rsidRPr="002F17B5">
              <w:rPr>
                <w:rFonts w:cs="Arial"/>
                <w:szCs w:val="20"/>
              </w:rPr>
              <w:t>Special</w:t>
            </w:r>
          </w:p>
        </w:tc>
        <w:tc>
          <w:tcPr>
            <w:tcW w:w="1694" w:type="dxa"/>
          </w:tcPr>
          <w:p w:rsidR="00130A49" w:rsidRPr="002F17B5" w:rsidRDefault="006D4B54" w:rsidP="0019010D">
            <w:pPr>
              <w:ind w:right="317"/>
              <w:jc w:val="right"/>
              <w:rPr>
                <w:rFonts w:cs="Arial"/>
                <w:szCs w:val="20"/>
              </w:rPr>
            </w:pPr>
            <w:r w:rsidRPr="002F17B5">
              <w:rPr>
                <w:rFonts w:cs="Arial"/>
                <w:szCs w:val="20"/>
              </w:rPr>
              <w:t>5.3</w:t>
            </w:r>
          </w:p>
        </w:tc>
        <w:tc>
          <w:tcPr>
            <w:tcW w:w="1842" w:type="dxa"/>
          </w:tcPr>
          <w:p w:rsidR="00130A49" w:rsidRPr="002F17B5" w:rsidRDefault="006D4B54" w:rsidP="0019010D">
            <w:pPr>
              <w:ind w:right="397"/>
              <w:jc w:val="right"/>
              <w:rPr>
                <w:rFonts w:cs="Arial"/>
                <w:szCs w:val="20"/>
              </w:rPr>
            </w:pPr>
            <w:r w:rsidRPr="002F17B5">
              <w:rPr>
                <w:rFonts w:cs="Arial"/>
                <w:szCs w:val="20"/>
              </w:rPr>
              <w:t>0.7</w:t>
            </w:r>
          </w:p>
        </w:tc>
        <w:tc>
          <w:tcPr>
            <w:tcW w:w="1965" w:type="dxa"/>
          </w:tcPr>
          <w:p w:rsidR="001D73DF" w:rsidRPr="002F17B5" w:rsidRDefault="006D4B54">
            <w:pPr>
              <w:ind w:right="318"/>
              <w:jc w:val="right"/>
              <w:rPr>
                <w:rFonts w:cs="Arial"/>
                <w:szCs w:val="20"/>
              </w:rPr>
            </w:pPr>
            <w:r w:rsidRPr="002F17B5">
              <w:rPr>
                <w:rFonts w:cs="Arial"/>
                <w:szCs w:val="20"/>
              </w:rPr>
              <w:t>6.0</w:t>
            </w:r>
          </w:p>
        </w:tc>
      </w:tr>
      <w:tr w:rsidR="00130A49" w:rsidRPr="002F17B5" w:rsidTr="00240E9F">
        <w:trPr>
          <w:jc w:val="center"/>
        </w:trPr>
        <w:tc>
          <w:tcPr>
            <w:tcW w:w="3039" w:type="dxa"/>
          </w:tcPr>
          <w:p w:rsidR="00130A49" w:rsidRPr="002F17B5" w:rsidRDefault="00130A49" w:rsidP="00130A49">
            <w:pPr>
              <w:rPr>
                <w:rFonts w:cs="Arial"/>
                <w:szCs w:val="20"/>
              </w:rPr>
            </w:pPr>
            <w:r w:rsidRPr="002F17B5">
              <w:rPr>
                <w:rFonts w:cs="Arial"/>
                <w:szCs w:val="20"/>
              </w:rPr>
              <w:t>Short stay Primary</w:t>
            </w:r>
          </w:p>
        </w:tc>
        <w:tc>
          <w:tcPr>
            <w:tcW w:w="1694" w:type="dxa"/>
          </w:tcPr>
          <w:p w:rsidR="00130A49" w:rsidRPr="002F17B5" w:rsidRDefault="00130A49" w:rsidP="0019010D">
            <w:pPr>
              <w:ind w:right="317"/>
              <w:jc w:val="right"/>
              <w:rPr>
                <w:rFonts w:cs="Arial"/>
                <w:szCs w:val="20"/>
              </w:rPr>
            </w:pPr>
            <w:r w:rsidRPr="002F17B5">
              <w:rPr>
                <w:rFonts w:cs="Arial"/>
                <w:szCs w:val="20"/>
              </w:rPr>
              <w:t>-</w:t>
            </w:r>
          </w:p>
        </w:tc>
        <w:tc>
          <w:tcPr>
            <w:tcW w:w="1842" w:type="dxa"/>
          </w:tcPr>
          <w:p w:rsidR="00130A49" w:rsidRPr="002F17B5" w:rsidRDefault="006D4B54" w:rsidP="0019010D">
            <w:pPr>
              <w:ind w:right="397"/>
              <w:jc w:val="right"/>
              <w:rPr>
                <w:rFonts w:cs="Arial"/>
                <w:szCs w:val="20"/>
              </w:rPr>
            </w:pPr>
            <w:r w:rsidRPr="002F17B5">
              <w:rPr>
                <w:rFonts w:cs="Arial"/>
                <w:szCs w:val="20"/>
              </w:rPr>
              <w:t>0.3</w:t>
            </w:r>
          </w:p>
        </w:tc>
        <w:tc>
          <w:tcPr>
            <w:tcW w:w="1965" w:type="dxa"/>
          </w:tcPr>
          <w:p w:rsidR="001D73DF" w:rsidRPr="002F17B5" w:rsidRDefault="006D4B54">
            <w:pPr>
              <w:ind w:right="318"/>
              <w:jc w:val="right"/>
              <w:rPr>
                <w:rFonts w:cs="Arial"/>
                <w:szCs w:val="20"/>
              </w:rPr>
            </w:pPr>
            <w:r w:rsidRPr="002F17B5">
              <w:rPr>
                <w:rFonts w:cs="Arial"/>
                <w:szCs w:val="20"/>
              </w:rPr>
              <w:t>0.3</w:t>
            </w:r>
          </w:p>
        </w:tc>
      </w:tr>
      <w:tr w:rsidR="00130A49" w:rsidRPr="002F17B5" w:rsidTr="00020689">
        <w:trPr>
          <w:jc w:val="center"/>
        </w:trPr>
        <w:tc>
          <w:tcPr>
            <w:tcW w:w="3039" w:type="dxa"/>
          </w:tcPr>
          <w:p w:rsidR="00130A49" w:rsidRPr="002F17B5" w:rsidRDefault="00130A49" w:rsidP="00130A49">
            <w:pPr>
              <w:rPr>
                <w:rFonts w:cs="Arial"/>
                <w:szCs w:val="20"/>
              </w:rPr>
            </w:pPr>
            <w:r w:rsidRPr="002F17B5">
              <w:rPr>
                <w:rFonts w:cs="Arial"/>
                <w:szCs w:val="20"/>
              </w:rPr>
              <w:t>Short stay Secondary</w:t>
            </w:r>
          </w:p>
        </w:tc>
        <w:tc>
          <w:tcPr>
            <w:tcW w:w="1694" w:type="dxa"/>
          </w:tcPr>
          <w:p w:rsidR="00130A49" w:rsidRPr="002F17B5" w:rsidRDefault="00130A49" w:rsidP="0019010D">
            <w:pPr>
              <w:ind w:right="317"/>
              <w:jc w:val="right"/>
              <w:rPr>
                <w:rFonts w:cs="Arial"/>
                <w:szCs w:val="20"/>
              </w:rPr>
            </w:pPr>
            <w:r w:rsidRPr="002F17B5">
              <w:rPr>
                <w:rFonts w:cs="Arial"/>
                <w:szCs w:val="20"/>
              </w:rPr>
              <w:t>-</w:t>
            </w:r>
          </w:p>
        </w:tc>
        <w:tc>
          <w:tcPr>
            <w:tcW w:w="1842" w:type="dxa"/>
          </w:tcPr>
          <w:p w:rsidR="00130A49" w:rsidRPr="002F17B5" w:rsidRDefault="006D4B54" w:rsidP="0019010D">
            <w:pPr>
              <w:ind w:right="397"/>
              <w:jc w:val="right"/>
              <w:rPr>
                <w:rFonts w:cs="Arial"/>
                <w:szCs w:val="20"/>
              </w:rPr>
            </w:pPr>
            <w:r w:rsidRPr="002F17B5">
              <w:rPr>
                <w:rFonts w:cs="Arial"/>
                <w:szCs w:val="20"/>
              </w:rPr>
              <w:t>0.9</w:t>
            </w:r>
          </w:p>
        </w:tc>
        <w:tc>
          <w:tcPr>
            <w:tcW w:w="1965" w:type="dxa"/>
          </w:tcPr>
          <w:p w:rsidR="001D73DF" w:rsidRPr="002F17B5" w:rsidRDefault="006D4B54">
            <w:pPr>
              <w:ind w:right="318"/>
              <w:jc w:val="right"/>
              <w:rPr>
                <w:rFonts w:cs="Arial"/>
                <w:szCs w:val="20"/>
              </w:rPr>
            </w:pPr>
            <w:r w:rsidRPr="002F17B5">
              <w:rPr>
                <w:rFonts w:cs="Arial"/>
                <w:szCs w:val="20"/>
              </w:rPr>
              <w:t>0.9</w:t>
            </w:r>
          </w:p>
        </w:tc>
      </w:tr>
      <w:tr w:rsidR="00130A49" w:rsidRPr="002F17B5" w:rsidTr="00020689">
        <w:trPr>
          <w:jc w:val="center"/>
        </w:trPr>
        <w:tc>
          <w:tcPr>
            <w:tcW w:w="3039" w:type="dxa"/>
          </w:tcPr>
          <w:p w:rsidR="00130A49" w:rsidRPr="002F17B5" w:rsidRDefault="00130A49" w:rsidP="00130A49">
            <w:pPr>
              <w:rPr>
                <w:rFonts w:cs="Arial"/>
                <w:b/>
                <w:szCs w:val="20"/>
              </w:rPr>
            </w:pPr>
            <w:r w:rsidRPr="002F17B5">
              <w:rPr>
                <w:rFonts w:cs="Arial"/>
                <w:b/>
                <w:szCs w:val="20"/>
              </w:rPr>
              <w:t>Total</w:t>
            </w:r>
          </w:p>
        </w:tc>
        <w:tc>
          <w:tcPr>
            <w:tcW w:w="1694" w:type="dxa"/>
          </w:tcPr>
          <w:p w:rsidR="00130A49" w:rsidRPr="002F17B5" w:rsidRDefault="006D4B54" w:rsidP="0019010D">
            <w:pPr>
              <w:ind w:right="317"/>
              <w:jc w:val="right"/>
              <w:rPr>
                <w:rFonts w:cs="Arial"/>
                <w:b/>
                <w:szCs w:val="20"/>
              </w:rPr>
            </w:pPr>
            <w:r w:rsidRPr="002F17B5">
              <w:rPr>
                <w:rFonts w:cs="Arial"/>
                <w:b/>
                <w:szCs w:val="20"/>
              </w:rPr>
              <w:t>51.5</w:t>
            </w:r>
          </w:p>
        </w:tc>
        <w:tc>
          <w:tcPr>
            <w:tcW w:w="1842" w:type="dxa"/>
          </w:tcPr>
          <w:p w:rsidR="00130A49" w:rsidRPr="002F17B5" w:rsidRDefault="006D4B54" w:rsidP="0019010D">
            <w:pPr>
              <w:ind w:right="397"/>
              <w:jc w:val="right"/>
              <w:rPr>
                <w:rFonts w:cs="Arial"/>
                <w:b/>
                <w:szCs w:val="20"/>
              </w:rPr>
            </w:pPr>
            <w:r w:rsidRPr="002F17B5">
              <w:rPr>
                <w:rFonts w:cs="Arial"/>
                <w:b/>
                <w:szCs w:val="20"/>
              </w:rPr>
              <w:t>4.4</w:t>
            </w:r>
          </w:p>
        </w:tc>
        <w:tc>
          <w:tcPr>
            <w:tcW w:w="1965" w:type="dxa"/>
          </w:tcPr>
          <w:p w:rsidR="001D73DF" w:rsidRPr="002F17B5" w:rsidRDefault="006D4B54">
            <w:pPr>
              <w:ind w:right="318"/>
              <w:jc w:val="right"/>
              <w:rPr>
                <w:rFonts w:cs="Arial"/>
                <w:b/>
                <w:szCs w:val="20"/>
              </w:rPr>
            </w:pPr>
            <w:r w:rsidRPr="002F17B5">
              <w:rPr>
                <w:rFonts w:cs="Arial"/>
                <w:b/>
                <w:szCs w:val="20"/>
              </w:rPr>
              <w:t>55.9</w:t>
            </w:r>
          </w:p>
        </w:tc>
      </w:tr>
    </w:tbl>
    <w:p w:rsidR="00130A49" w:rsidRDefault="00130A49" w:rsidP="00130A49">
      <w:pPr>
        <w:rPr>
          <w:rFonts w:eastAsia="Arial Unicode MS" w:cs="Arial"/>
          <w:u w:color="000000"/>
        </w:rPr>
      </w:pPr>
      <w:r w:rsidRPr="002F17B5">
        <w:rPr>
          <w:rFonts w:eastAsia="Arial Unicode MS" w:cs="Arial"/>
          <w:u w:color="000000"/>
        </w:rPr>
        <w:t>The most significant movement has been in the secondary sector, although in terms of scale relative to budget the movements for short stay schools are more significant, although this is the first year that these schools have had fully delegated budgets and a degree of caution in the management of spending was to be expected.</w:t>
      </w:r>
    </w:p>
    <w:p w:rsidR="00130A49" w:rsidRPr="002F17B5" w:rsidRDefault="00130A49" w:rsidP="00130A49">
      <w:pPr>
        <w:pStyle w:val="default0"/>
        <w:jc w:val="both"/>
        <w:rPr>
          <w:rFonts w:ascii="Arial" w:eastAsia="Arial Unicode MS" w:hAnsi="Arial" w:cs="Arial"/>
          <w:u w:color="000000"/>
        </w:rPr>
      </w:pPr>
    </w:p>
    <w:p w:rsidR="00130A49" w:rsidRPr="002F17B5" w:rsidRDefault="00130A49" w:rsidP="00130A49">
      <w:pPr>
        <w:pStyle w:val="Heading2"/>
        <w:rPr>
          <w:rFonts w:ascii="Arial" w:hAnsi="Arial" w:cs="Arial"/>
          <w:bCs w:val="0"/>
          <w:color w:val="auto"/>
          <w:sz w:val="28"/>
          <w:szCs w:val="28"/>
          <w:u w:val="single"/>
        </w:rPr>
      </w:pPr>
      <w:r w:rsidRPr="002F17B5">
        <w:rPr>
          <w:rFonts w:ascii="Arial" w:hAnsi="Arial" w:cs="Arial"/>
          <w:bCs w:val="0"/>
          <w:color w:val="auto"/>
          <w:sz w:val="28"/>
          <w:szCs w:val="28"/>
          <w:u w:val="single"/>
        </w:rPr>
        <w:t xml:space="preserve">Outlook for the future </w:t>
      </w:r>
    </w:p>
    <w:p w:rsidR="00130A49" w:rsidRPr="002F17B5" w:rsidRDefault="00130A49" w:rsidP="00130A49">
      <w:pPr>
        <w:pStyle w:val="Heading2"/>
        <w:rPr>
          <w:rFonts w:ascii="Arial" w:hAnsi="Arial" w:cs="Arial"/>
          <w:bCs w:val="0"/>
          <w:color w:val="auto"/>
          <w:sz w:val="8"/>
          <w:szCs w:val="28"/>
          <w:u w:val="single"/>
        </w:rPr>
      </w:pPr>
    </w:p>
    <w:p w:rsidR="00130A49" w:rsidRDefault="00130A49" w:rsidP="00130A49">
      <w:pPr>
        <w:pStyle w:val="Body1"/>
        <w:jc w:val="both"/>
        <w:rPr>
          <w:rFonts w:cs="Arial"/>
          <w:szCs w:val="24"/>
        </w:rPr>
      </w:pPr>
      <w:r w:rsidRPr="002F17B5">
        <w:rPr>
          <w:rFonts w:cs="Arial"/>
          <w:szCs w:val="24"/>
        </w:rPr>
        <w:t xml:space="preserve">The overall </w:t>
      </w:r>
      <w:r w:rsidR="00C74D27" w:rsidRPr="002F17B5">
        <w:rPr>
          <w:rFonts w:cs="Arial"/>
          <w:szCs w:val="24"/>
        </w:rPr>
        <w:t>financial health of the county c</w:t>
      </w:r>
      <w:r w:rsidRPr="002F17B5">
        <w:rPr>
          <w:rFonts w:cs="Arial"/>
          <w:szCs w:val="24"/>
        </w:rPr>
        <w:t>ouncil at the end of the 2013/14 financial year continues to be strong. However, over 2014/15</w:t>
      </w:r>
      <w:r w:rsidR="00C74D27" w:rsidRPr="002F17B5">
        <w:rPr>
          <w:rFonts w:cs="Arial"/>
          <w:szCs w:val="24"/>
        </w:rPr>
        <w:t xml:space="preserve"> to 2017/18 the county c</w:t>
      </w:r>
      <w:r w:rsidRPr="002F17B5">
        <w:rPr>
          <w:rFonts w:cs="Arial"/>
          <w:szCs w:val="24"/>
        </w:rPr>
        <w:t>ouncil is facing a considerable financial challenge, including cost pressures from the continuing increase in demand for council services, in particular those services delivering social care to older people and children as well as increases in contract prices, pay and related costs.</w:t>
      </w:r>
    </w:p>
    <w:p w:rsidR="00B4083A" w:rsidRPr="00B4083A" w:rsidRDefault="00EF2C56" w:rsidP="00EF2C56">
      <w:pPr>
        <w:pStyle w:val="Body1"/>
        <w:tabs>
          <w:tab w:val="left" w:pos="3885"/>
        </w:tabs>
        <w:jc w:val="both"/>
        <w:rPr>
          <w:rFonts w:cs="Arial"/>
          <w:sz w:val="2"/>
          <w:szCs w:val="24"/>
        </w:rPr>
      </w:pPr>
      <w:r>
        <w:rPr>
          <w:rFonts w:cs="Arial"/>
          <w:sz w:val="2"/>
          <w:szCs w:val="24"/>
        </w:rPr>
        <w:tab/>
      </w:r>
    </w:p>
    <w:p w:rsidR="00E07286" w:rsidRDefault="00C74D27" w:rsidP="00130A49">
      <w:pPr>
        <w:pStyle w:val="Body1"/>
        <w:jc w:val="both"/>
        <w:rPr>
          <w:rFonts w:cs="Arial"/>
          <w:szCs w:val="24"/>
        </w:rPr>
      </w:pPr>
      <w:r w:rsidRPr="002F17B5">
        <w:rPr>
          <w:rFonts w:cs="Arial"/>
          <w:szCs w:val="24"/>
        </w:rPr>
        <w:t>The c</w:t>
      </w:r>
      <w:r w:rsidR="00130A49" w:rsidRPr="002F17B5">
        <w:rPr>
          <w:rFonts w:cs="Arial"/>
          <w:szCs w:val="24"/>
        </w:rPr>
        <w:t>ouncil is meeting the significant financial challenge it faces by setting a balanced budget for 2014/15 and developing a further three year budget for 2015/16 to 2017/18, including proposals that will deliver a reshaped organisation that will be reduced in size and operate within a significantly reduced resource l</w:t>
      </w:r>
      <w:r w:rsidRPr="002F17B5">
        <w:rPr>
          <w:rFonts w:cs="Arial"/>
          <w:szCs w:val="24"/>
        </w:rPr>
        <w:t>evel</w:t>
      </w:r>
      <w:r w:rsidR="00130A49" w:rsidRPr="002F17B5">
        <w:rPr>
          <w:rFonts w:cs="Arial"/>
          <w:szCs w:val="24"/>
        </w:rPr>
        <w:t xml:space="preserve">. </w:t>
      </w:r>
    </w:p>
    <w:p w:rsidR="00B4083A" w:rsidRPr="00B4083A" w:rsidRDefault="00B4083A" w:rsidP="00130A49">
      <w:pPr>
        <w:pStyle w:val="Body1"/>
        <w:jc w:val="both"/>
        <w:rPr>
          <w:rFonts w:cs="Arial"/>
          <w:sz w:val="2"/>
          <w:szCs w:val="24"/>
        </w:rPr>
      </w:pPr>
    </w:p>
    <w:p w:rsidR="00130A49" w:rsidRPr="002F17B5" w:rsidRDefault="00130A49" w:rsidP="00130A49">
      <w:pPr>
        <w:pStyle w:val="Body1"/>
        <w:jc w:val="both"/>
        <w:rPr>
          <w:rFonts w:cs="Arial"/>
          <w:szCs w:val="24"/>
        </w:rPr>
      </w:pPr>
      <w:r w:rsidRPr="002F17B5">
        <w:rPr>
          <w:rFonts w:cs="Arial"/>
          <w:szCs w:val="24"/>
        </w:rPr>
        <w:t>Taking in</w:t>
      </w:r>
      <w:r w:rsidR="00C74D27" w:rsidRPr="002F17B5">
        <w:rPr>
          <w:rFonts w:cs="Arial"/>
          <w:szCs w:val="24"/>
        </w:rPr>
        <w:t>to account proposals agreed by full c</w:t>
      </w:r>
      <w:r w:rsidRPr="002F17B5">
        <w:rPr>
          <w:rFonts w:cs="Arial"/>
          <w:szCs w:val="24"/>
        </w:rPr>
        <w:t>o</w:t>
      </w:r>
      <w:r w:rsidR="00C74D27" w:rsidRPr="002F17B5">
        <w:rPr>
          <w:rFonts w:cs="Arial"/>
          <w:szCs w:val="24"/>
        </w:rPr>
        <w:t>uncil on 20 February 2014, the c</w:t>
      </w:r>
      <w:r w:rsidRPr="002F17B5">
        <w:rPr>
          <w:rFonts w:cs="Arial"/>
          <w:szCs w:val="24"/>
        </w:rPr>
        <w:t>ouncil still needs to identify further savings of £161m during the period 2015/16 to 2017/</w:t>
      </w:r>
      <w:r w:rsidR="00E07286">
        <w:rPr>
          <w:rFonts w:cs="Arial"/>
          <w:szCs w:val="24"/>
        </w:rPr>
        <w:t>18</w:t>
      </w:r>
      <w:r w:rsidRPr="002F17B5">
        <w:rPr>
          <w:rFonts w:cs="Arial"/>
          <w:szCs w:val="24"/>
        </w:rPr>
        <w:t>. The following areas present further</w:t>
      </w:r>
      <w:r w:rsidR="00C74D27" w:rsidRPr="002F17B5">
        <w:rPr>
          <w:rFonts w:cs="Arial"/>
          <w:szCs w:val="24"/>
        </w:rPr>
        <w:t xml:space="preserve"> significant challenges to the c</w:t>
      </w:r>
      <w:r w:rsidRPr="002F17B5">
        <w:rPr>
          <w:rFonts w:cs="Arial"/>
          <w:szCs w:val="24"/>
        </w:rPr>
        <w:t>ouncil:</w:t>
      </w:r>
    </w:p>
    <w:p w:rsidR="00341FA8" w:rsidRPr="00B4083A" w:rsidRDefault="00341FA8" w:rsidP="00130A49">
      <w:pPr>
        <w:pStyle w:val="Body1"/>
        <w:jc w:val="both"/>
        <w:rPr>
          <w:rFonts w:cs="Arial"/>
          <w:sz w:val="12"/>
          <w:szCs w:val="24"/>
        </w:rPr>
      </w:pPr>
    </w:p>
    <w:p w:rsidR="00130A49" w:rsidRPr="002F17B5" w:rsidRDefault="00130A49" w:rsidP="009A4C35">
      <w:pPr>
        <w:pStyle w:val="Body1"/>
        <w:numPr>
          <w:ilvl w:val="0"/>
          <w:numId w:val="69"/>
        </w:numPr>
        <w:jc w:val="both"/>
        <w:rPr>
          <w:rFonts w:cs="Arial"/>
          <w:szCs w:val="24"/>
        </w:rPr>
      </w:pPr>
      <w:r w:rsidRPr="002F17B5">
        <w:rPr>
          <w:rFonts w:cs="Arial"/>
          <w:szCs w:val="24"/>
        </w:rPr>
        <w:t>In order to deliver further savings of £</w:t>
      </w:r>
      <w:r w:rsidR="00C74D27" w:rsidRPr="002F17B5">
        <w:rPr>
          <w:rFonts w:cs="Arial"/>
          <w:szCs w:val="24"/>
        </w:rPr>
        <w:t>161m in 2015/16 to 2017/18 the c</w:t>
      </w:r>
      <w:r w:rsidRPr="002F17B5">
        <w:rPr>
          <w:rFonts w:cs="Arial"/>
          <w:szCs w:val="24"/>
        </w:rPr>
        <w:t xml:space="preserve">ouncil will need to set aside resources to fund the costs of downsizing and reshaping the organisation. This will include the payment of severance costs and ensuring that an adequate level of </w:t>
      </w:r>
      <w:r w:rsidRPr="002F17B5">
        <w:rPr>
          <w:rFonts w:cs="Arial"/>
          <w:szCs w:val="24"/>
        </w:rPr>
        <w:lastRenderedPageBreak/>
        <w:t>reserves is maintained to ensure services to the most vulnerable members of the community are protected from unforeseen risks.</w:t>
      </w:r>
    </w:p>
    <w:p w:rsidR="0038245D" w:rsidRPr="002F17B5" w:rsidRDefault="0038245D" w:rsidP="0038245D">
      <w:pPr>
        <w:pStyle w:val="Body1"/>
        <w:ind w:left="720"/>
        <w:jc w:val="both"/>
        <w:rPr>
          <w:rFonts w:cs="Arial"/>
          <w:sz w:val="2"/>
          <w:szCs w:val="24"/>
        </w:rPr>
      </w:pPr>
    </w:p>
    <w:p w:rsidR="00130A49" w:rsidRDefault="00130A49" w:rsidP="009A4C35">
      <w:pPr>
        <w:pStyle w:val="Body1"/>
        <w:numPr>
          <w:ilvl w:val="0"/>
          <w:numId w:val="69"/>
        </w:numPr>
        <w:jc w:val="both"/>
        <w:rPr>
          <w:rFonts w:cs="Arial"/>
          <w:szCs w:val="24"/>
        </w:rPr>
      </w:pPr>
      <w:r w:rsidRPr="002F17B5">
        <w:rPr>
          <w:rFonts w:cs="Arial"/>
          <w:szCs w:val="24"/>
        </w:rPr>
        <w:t>Over the period 2014/15 to 2017/18, a significant level of resource (£45m) has been provide</w:t>
      </w:r>
      <w:r w:rsidR="00C74D27" w:rsidRPr="002F17B5">
        <w:rPr>
          <w:rFonts w:cs="Arial"/>
          <w:szCs w:val="24"/>
        </w:rPr>
        <w:t>d for the increased demand for adult social c</w:t>
      </w:r>
      <w:r w:rsidRPr="002F17B5">
        <w:rPr>
          <w:rFonts w:cs="Arial"/>
          <w:szCs w:val="24"/>
        </w:rPr>
        <w:t xml:space="preserve">are. The developing relationship with </w:t>
      </w:r>
      <w:r w:rsidR="00C74D27" w:rsidRPr="002F17B5">
        <w:rPr>
          <w:rFonts w:cs="Arial"/>
          <w:szCs w:val="24"/>
        </w:rPr>
        <w:t>clinical commissioning g</w:t>
      </w:r>
      <w:r w:rsidRPr="002F17B5">
        <w:rPr>
          <w:rFonts w:cs="Arial"/>
          <w:szCs w:val="24"/>
        </w:rPr>
        <w:t>roups and the interaction between the integration and tightening of health and local authority resources presents added risks to this area of the budget.</w:t>
      </w:r>
      <w:r w:rsidR="00E96D2E" w:rsidRPr="002F17B5">
        <w:rPr>
          <w:rFonts w:cs="Arial"/>
          <w:szCs w:val="24"/>
        </w:rPr>
        <w:t xml:space="preserve"> T</w:t>
      </w:r>
      <w:r w:rsidRPr="002F17B5">
        <w:rPr>
          <w:rFonts w:cs="Arial"/>
          <w:szCs w:val="24"/>
        </w:rPr>
        <w:t>here are further net additional costs for between 20 and 30 clients with very substantial needs due to the implementation of the Winterbourne Concordat with the requirement to have full plans in place b</w:t>
      </w:r>
      <w:r w:rsidR="00C74D27" w:rsidRPr="002F17B5">
        <w:rPr>
          <w:rFonts w:cs="Arial"/>
          <w:szCs w:val="24"/>
        </w:rPr>
        <w:t>y 1 June 2014. In addition the c</w:t>
      </w:r>
      <w:r w:rsidRPr="002F17B5">
        <w:rPr>
          <w:rFonts w:cs="Arial"/>
          <w:szCs w:val="24"/>
        </w:rPr>
        <w:t>ouncil faces further pressures due to the increa</w:t>
      </w:r>
      <w:r w:rsidR="00C74D27" w:rsidRPr="002F17B5">
        <w:rPr>
          <w:rFonts w:cs="Arial"/>
          <w:szCs w:val="24"/>
        </w:rPr>
        <w:t>sing numbers and complexity of learning d</w:t>
      </w:r>
      <w:r w:rsidRPr="002F17B5">
        <w:rPr>
          <w:rFonts w:cs="Arial"/>
          <w:szCs w:val="24"/>
        </w:rPr>
        <w:t>isability service users</w:t>
      </w:r>
      <w:r w:rsidR="00837ED8" w:rsidRPr="002F17B5">
        <w:rPr>
          <w:rFonts w:cs="Arial"/>
          <w:szCs w:val="24"/>
        </w:rPr>
        <w:t>' needs</w:t>
      </w:r>
      <w:r w:rsidRPr="002F17B5">
        <w:rPr>
          <w:rFonts w:cs="Arial"/>
          <w:szCs w:val="24"/>
        </w:rPr>
        <w:t>. A lot of work has been undertaken to estimate the level of demand but it is still possible that deman</w:t>
      </w:r>
      <w:r w:rsidR="00C74D27" w:rsidRPr="002F17B5">
        <w:rPr>
          <w:rFonts w:cs="Arial"/>
          <w:szCs w:val="24"/>
        </w:rPr>
        <w:t>d could exceed the budget. The c</w:t>
      </w:r>
      <w:r w:rsidRPr="002F17B5">
        <w:rPr>
          <w:rFonts w:cs="Arial"/>
          <w:szCs w:val="24"/>
        </w:rPr>
        <w:t>ouncil needs to retain sufficient reserves to manage the level of pressure in demand</w:t>
      </w:r>
      <w:r w:rsidR="00837ED8" w:rsidRPr="002F17B5">
        <w:rPr>
          <w:rFonts w:cs="Arial"/>
          <w:szCs w:val="24"/>
        </w:rPr>
        <w:t xml:space="preserve"> over the period to 2017/18</w:t>
      </w:r>
      <w:r w:rsidR="00657CCB">
        <w:rPr>
          <w:rFonts w:cs="Arial"/>
          <w:szCs w:val="24"/>
        </w:rPr>
        <w:t>.</w:t>
      </w:r>
    </w:p>
    <w:p w:rsidR="007A0611" w:rsidRPr="002F17B5" w:rsidRDefault="007A0611" w:rsidP="007A0611">
      <w:pPr>
        <w:pStyle w:val="Body1"/>
        <w:jc w:val="both"/>
        <w:rPr>
          <w:rFonts w:cs="Arial"/>
          <w:szCs w:val="24"/>
        </w:rPr>
      </w:pPr>
    </w:p>
    <w:p w:rsidR="00130A49" w:rsidRPr="002F17B5" w:rsidRDefault="00130A49" w:rsidP="009A4C35">
      <w:pPr>
        <w:pStyle w:val="Body1"/>
        <w:numPr>
          <w:ilvl w:val="0"/>
          <w:numId w:val="69"/>
        </w:numPr>
        <w:jc w:val="both"/>
        <w:rPr>
          <w:rFonts w:cs="Arial"/>
          <w:szCs w:val="24"/>
        </w:rPr>
      </w:pPr>
      <w:r w:rsidRPr="002F17B5">
        <w:rPr>
          <w:rFonts w:cs="Arial"/>
          <w:szCs w:val="24"/>
        </w:rPr>
        <w:t>Despite t</w:t>
      </w:r>
      <w:r w:rsidR="00C74D27" w:rsidRPr="002F17B5">
        <w:rPr>
          <w:rFonts w:cs="Arial"/>
          <w:szCs w:val="24"/>
        </w:rPr>
        <w:t>he low levels of inflation the c</w:t>
      </w:r>
      <w:r w:rsidR="00837ED8" w:rsidRPr="002F17B5">
        <w:rPr>
          <w:rFonts w:cs="Arial"/>
          <w:szCs w:val="24"/>
        </w:rPr>
        <w:t>ouncil has still</w:t>
      </w:r>
      <w:r w:rsidRPr="002F17B5">
        <w:rPr>
          <w:rFonts w:cs="Arial"/>
          <w:szCs w:val="24"/>
        </w:rPr>
        <w:t xml:space="preserve"> to make a provision </w:t>
      </w:r>
      <w:r w:rsidR="00E07286">
        <w:rPr>
          <w:rFonts w:cs="Arial"/>
          <w:szCs w:val="24"/>
        </w:rPr>
        <w:t xml:space="preserve">over the period 2014/15 to 2017/18 </w:t>
      </w:r>
      <w:r w:rsidRPr="002F17B5">
        <w:rPr>
          <w:rFonts w:cs="Arial"/>
          <w:szCs w:val="24"/>
        </w:rPr>
        <w:t>for £79.2m to cover the costs of increased prices due to contractual terms, where the council has no choice but to pay the additional costs due to inflation.</w:t>
      </w:r>
    </w:p>
    <w:p w:rsidR="0038245D" w:rsidRPr="002F17B5" w:rsidRDefault="0038245D" w:rsidP="0038245D">
      <w:pPr>
        <w:pStyle w:val="Body1"/>
        <w:jc w:val="both"/>
        <w:rPr>
          <w:rFonts w:cs="Arial"/>
          <w:sz w:val="2"/>
          <w:szCs w:val="24"/>
        </w:rPr>
      </w:pPr>
    </w:p>
    <w:p w:rsidR="00130A49" w:rsidRDefault="00130A49" w:rsidP="009A4C35">
      <w:pPr>
        <w:pStyle w:val="Body1"/>
        <w:numPr>
          <w:ilvl w:val="0"/>
          <w:numId w:val="69"/>
        </w:numPr>
        <w:jc w:val="both"/>
        <w:rPr>
          <w:rFonts w:cs="Arial"/>
          <w:szCs w:val="24"/>
        </w:rPr>
      </w:pPr>
      <w:r w:rsidRPr="002F17B5">
        <w:rPr>
          <w:rFonts w:cs="Arial"/>
          <w:szCs w:val="24"/>
        </w:rPr>
        <w:t>The new system of local government finance passes responsibility for the management of a number of risks concerned with resource volatility from central government to</w:t>
      </w:r>
      <w:r w:rsidR="00C74D27" w:rsidRPr="002F17B5">
        <w:rPr>
          <w:rFonts w:cs="Arial"/>
          <w:szCs w:val="24"/>
        </w:rPr>
        <w:t xml:space="preserve"> councils. The localisation of council tax s</w:t>
      </w:r>
      <w:r w:rsidRPr="002F17B5">
        <w:rPr>
          <w:rFonts w:cs="Arial"/>
          <w:szCs w:val="24"/>
        </w:rPr>
        <w:t>upport in addition to other welfare reform chan</w:t>
      </w:r>
      <w:r w:rsidR="00C74D27" w:rsidRPr="002F17B5">
        <w:rPr>
          <w:rFonts w:cs="Arial"/>
          <w:szCs w:val="24"/>
        </w:rPr>
        <w:t>ges will have an impact on the council tax b</w:t>
      </w:r>
      <w:r w:rsidRPr="002F17B5">
        <w:rPr>
          <w:rFonts w:cs="Arial"/>
          <w:szCs w:val="24"/>
        </w:rPr>
        <w:t>ase. The impact of business rates appeals presents a continuing risk to income from business rates.</w:t>
      </w:r>
    </w:p>
    <w:p w:rsidR="00D611AF" w:rsidRDefault="00D611AF" w:rsidP="00130A49">
      <w:pPr>
        <w:pStyle w:val="Body1"/>
        <w:ind w:left="360"/>
        <w:jc w:val="both"/>
        <w:rPr>
          <w:rFonts w:cs="Arial"/>
          <w:szCs w:val="24"/>
        </w:rPr>
      </w:pPr>
    </w:p>
    <w:p w:rsidR="00130A49" w:rsidRDefault="00130A49" w:rsidP="00130A49">
      <w:pPr>
        <w:pStyle w:val="Body1"/>
        <w:ind w:left="360"/>
        <w:jc w:val="both"/>
        <w:rPr>
          <w:rFonts w:cs="Arial"/>
          <w:szCs w:val="24"/>
        </w:rPr>
      </w:pPr>
      <w:r w:rsidRPr="002F17B5">
        <w:rPr>
          <w:rFonts w:cs="Arial"/>
          <w:szCs w:val="24"/>
        </w:rPr>
        <w:t>Strong financial management will be</w:t>
      </w:r>
      <w:r w:rsidR="00C74D27" w:rsidRPr="002F17B5">
        <w:rPr>
          <w:rFonts w:cs="Arial"/>
          <w:szCs w:val="24"/>
        </w:rPr>
        <w:t xml:space="preserve"> maintained across the county c</w:t>
      </w:r>
      <w:r w:rsidRPr="002F17B5">
        <w:rPr>
          <w:rFonts w:cs="Arial"/>
          <w:szCs w:val="24"/>
        </w:rPr>
        <w:t xml:space="preserve">ouncil in 2014/15 and beyond in order to ensure that the </w:t>
      </w:r>
      <w:r w:rsidR="00C74D27" w:rsidRPr="002F17B5">
        <w:rPr>
          <w:rFonts w:cs="Arial"/>
          <w:szCs w:val="24"/>
        </w:rPr>
        <w:t>c</w:t>
      </w:r>
      <w:r w:rsidRPr="002F17B5">
        <w:rPr>
          <w:rFonts w:cs="Arial"/>
          <w:szCs w:val="24"/>
        </w:rPr>
        <w:t xml:space="preserve">ounty </w:t>
      </w:r>
      <w:r w:rsidR="00C74D27" w:rsidRPr="002F17B5">
        <w:rPr>
          <w:rFonts w:cs="Arial"/>
          <w:szCs w:val="24"/>
        </w:rPr>
        <w:t>c</w:t>
      </w:r>
      <w:r w:rsidRPr="002F17B5">
        <w:rPr>
          <w:rFonts w:cs="Arial"/>
          <w:szCs w:val="24"/>
        </w:rPr>
        <w:t>ouncil can maintain an effective approach to the financial challenge ahead.</w:t>
      </w:r>
    </w:p>
    <w:p w:rsidR="00D851CE" w:rsidRDefault="00D851CE" w:rsidP="00130A49">
      <w:pPr>
        <w:pStyle w:val="Body1"/>
        <w:ind w:left="360"/>
        <w:jc w:val="both"/>
        <w:rPr>
          <w:rFonts w:cs="Arial"/>
          <w:szCs w:val="24"/>
        </w:rPr>
      </w:pPr>
    </w:p>
    <w:p w:rsidR="00530C22" w:rsidRPr="00630928" w:rsidRDefault="009C4433" w:rsidP="00530C22">
      <w:pPr>
        <w:rPr>
          <w:rFonts w:cs="Arial"/>
          <w:b/>
        </w:rPr>
      </w:pPr>
      <w:r>
        <w:rPr>
          <w:rFonts w:cs="Arial"/>
          <w:b/>
          <w:u w:val="single"/>
        </w:rPr>
        <w:t>Changes in Accounting P</w:t>
      </w:r>
      <w:r w:rsidR="00530C22" w:rsidRPr="00630928">
        <w:rPr>
          <w:rFonts w:cs="Arial"/>
          <w:b/>
          <w:u w:val="single"/>
        </w:rPr>
        <w:t>olicies</w:t>
      </w:r>
    </w:p>
    <w:p w:rsidR="00530C22" w:rsidRPr="00F458BC" w:rsidRDefault="00530C22" w:rsidP="00530C22">
      <w:pPr>
        <w:rPr>
          <w:rFonts w:cs="Arial"/>
          <w:b/>
          <w:sz w:val="12"/>
        </w:rPr>
      </w:pPr>
    </w:p>
    <w:p w:rsidR="00451658" w:rsidRDefault="00451658" w:rsidP="00451658">
      <w:r>
        <w:t>International Accounting Standard IAS19 (Employee Benefits) has been revised (IAS19R) with effect from 1 April 2013; with the most significant impact being around Post-Employment Benefits (Pensions). The changes have impacted on some terminology and resulted in some minor measurement changes. The amendments have meant that a net interest cost has been calc</w:t>
      </w:r>
      <w:r w:rsidR="00B10101">
        <w:t>ulated using one interest rate. P</w:t>
      </w:r>
      <w:r>
        <w:t>reviously two separate interest rate</w:t>
      </w:r>
      <w:r w:rsidR="00B10101">
        <w:t>s were used;</w:t>
      </w:r>
      <w:r>
        <w:t xml:space="preserve"> one for costs and one for expe</w:t>
      </w:r>
      <w:r w:rsidR="00B10101">
        <w:t>cted returns on asset</w:t>
      </w:r>
      <w:r>
        <w:t>. The changes also req</w:t>
      </w:r>
      <w:r w:rsidR="00B10101">
        <w:t xml:space="preserve">uire an </w:t>
      </w:r>
      <w:r>
        <w:t>increase in the number of disclosure notes to the accounts. More detail around these changes can be found in Note 1 Accounting Policies (p) and Note 4</w:t>
      </w:r>
      <w:r w:rsidR="00021105">
        <w:t>1</w:t>
      </w:r>
      <w:r>
        <w:t xml:space="preserve"> (Defined benefits Pension Scheme). </w:t>
      </w:r>
    </w:p>
    <w:p w:rsidR="002D48AF" w:rsidRPr="002F17B5" w:rsidRDefault="002D48AF" w:rsidP="0036687D">
      <w:pPr>
        <w:pStyle w:val="default0"/>
        <w:jc w:val="both"/>
        <w:rPr>
          <w:rFonts w:ascii="Arial" w:eastAsia="Arial Unicode MS" w:hAnsi="Arial" w:cs="Arial"/>
          <w:u w:color="000000"/>
        </w:rPr>
      </w:pPr>
    </w:p>
    <w:p w:rsidR="00D851CE" w:rsidRDefault="00D851CE" w:rsidP="0036687D">
      <w:pPr>
        <w:pStyle w:val="Heading2"/>
        <w:rPr>
          <w:rFonts w:ascii="Arial" w:hAnsi="Arial" w:cs="Arial"/>
          <w:bCs w:val="0"/>
          <w:color w:val="auto"/>
          <w:sz w:val="24"/>
          <w:szCs w:val="24"/>
          <w:u w:val="single"/>
        </w:rPr>
      </w:pPr>
    </w:p>
    <w:p w:rsidR="00D851CE" w:rsidRDefault="00D851CE" w:rsidP="00D851CE"/>
    <w:p w:rsidR="00D851CE" w:rsidRPr="00D851CE" w:rsidRDefault="00D851CE" w:rsidP="00D851CE"/>
    <w:p w:rsidR="0036687D" w:rsidRPr="00F458BC" w:rsidRDefault="0036687D" w:rsidP="0036687D">
      <w:pPr>
        <w:pStyle w:val="Heading2"/>
        <w:rPr>
          <w:rFonts w:ascii="Arial" w:hAnsi="Arial" w:cs="Arial"/>
          <w:bCs w:val="0"/>
          <w:color w:val="auto"/>
          <w:sz w:val="24"/>
          <w:szCs w:val="24"/>
          <w:u w:val="single"/>
        </w:rPr>
      </w:pPr>
      <w:r w:rsidRPr="00F458BC">
        <w:rPr>
          <w:rFonts w:ascii="Arial" w:hAnsi="Arial" w:cs="Arial"/>
          <w:bCs w:val="0"/>
          <w:color w:val="auto"/>
          <w:sz w:val="24"/>
          <w:szCs w:val="24"/>
          <w:u w:val="single"/>
        </w:rPr>
        <w:t>Events after the Balance Sheet Date</w:t>
      </w:r>
    </w:p>
    <w:p w:rsidR="00D25B29" w:rsidRPr="00D25B29" w:rsidRDefault="00D25B29" w:rsidP="00D25B29">
      <w:pPr>
        <w:pStyle w:val="Body1"/>
        <w:jc w:val="both"/>
        <w:rPr>
          <w:rFonts w:cs="Arial"/>
          <w:sz w:val="2"/>
        </w:rPr>
      </w:pPr>
    </w:p>
    <w:p w:rsidR="00D25B29" w:rsidRDefault="00D25B29" w:rsidP="00D25B29">
      <w:pPr>
        <w:pStyle w:val="Body1"/>
        <w:jc w:val="both"/>
        <w:rPr>
          <w:rFonts w:cs="Arial"/>
          <w:szCs w:val="24"/>
        </w:rPr>
      </w:pPr>
      <w:r>
        <w:rPr>
          <w:rFonts w:cs="Arial"/>
          <w:szCs w:val="24"/>
        </w:rPr>
        <w:t xml:space="preserve">The </w:t>
      </w:r>
      <w:r w:rsidR="00D851CE">
        <w:rPr>
          <w:rFonts w:cs="Arial"/>
          <w:szCs w:val="24"/>
        </w:rPr>
        <w:t>event below</w:t>
      </w:r>
      <w:r>
        <w:rPr>
          <w:rFonts w:cs="Arial"/>
          <w:szCs w:val="24"/>
        </w:rPr>
        <w:t xml:space="preserve"> occurred after the balance sheet date:</w:t>
      </w:r>
    </w:p>
    <w:p w:rsidR="008F479A" w:rsidRDefault="008F479A" w:rsidP="009A4C35">
      <w:pPr>
        <w:pStyle w:val="ListParagraph"/>
        <w:numPr>
          <w:ilvl w:val="0"/>
          <w:numId w:val="85"/>
        </w:numPr>
        <w:ind w:left="360"/>
      </w:pPr>
      <w:r>
        <w:t>BT Lancashire Services Limited:</w:t>
      </w:r>
    </w:p>
    <w:p w:rsidR="005B5F3D" w:rsidRDefault="005B5F3D" w:rsidP="00B4083A">
      <w:r w:rsidRPr="002F17B5">
        <w:t>From 1 April 2014 the</w:t>
      </w:r>
      <w:r w:rsidR="00E07286">
        <w:t xml:space="preserve"> strategic</w:t>
      </w:r>
      <w:r w:rsidRPr="002F17B5">
        <w:t xml:space="preserve"> partnership between BT and Lancash</w:t>
      </w:r>
      <w:r w:rsidR="00B10101">
        <w:t xml:space="preserve">ire County Council </w:t>
      </w:r>
      <w:r w:rsidR="00E07286">
        <w:t>change</w:t>
      </w:r>
      <w:r w:rsidR="00B10101">
        <w:t>d</w:t>
      </w:r>
      <w:r w:rsidR="00E07286">
        <w:t>, becoming a</w:t>
      </w:r>
      <w:r w:rsidRPr="002F17B5">
        <w:t xml:space="preserve"> wholly owned BT company and renamed as BT Lan</w:t>
      </w:r>
      <w:r w:rsidR="00657CCB">
        <w:t>cashire Services Limited (BTLS).</w:t>
      </w:r>
    </w:p>
    <w:p w:rsidR="00B4083A" w:rsidRPr="00B4083A" w:rsidRDefault="00B4083A" w:rsidP="005B5F3D">
      <w:pPr>
        <w:spacing w:after="240"/>
        <w:rPr>
          <w:sz w:val="2"/>
        </w:rPr>
      </w:pPr>
    </w:p>
    <w:p w:rsidR="005B5F3D" w:rsidRDefault="005B5F3D" w:rsidP="005B5F3D">
      <w:pPr>
        <w:spacing w:after="240"/>
        <w:rPr>
          <w:rFonts w:cs="Arial"/>
          <w:color w:val="auto"/>
          <w:szCs w:val="20"/>
          <w:lang w:val="en-US"/>
        </w:rPr>
      </w:pPr>
      <w:r w:rsidRPr="002F17B5">
        <w:t>BTLS will focus on utilising BT's technological capabilities to improve the efficiency and quality of; information and communication</w:t>
      </w:r>
      <w:r w:rsidRPr="002F17B5">
        <w:rPr>
          <w:rFonts w:cs="Arial"/>
          <w:color w:val="auto"/>
          <w:szCs w:val="20"/>
          <w:lang w:val="en-US"/>
        </w:rPr>
        <w:t xml:space="preserve"> technology (ICT), revenue, benefits and payroll serv</w:t>
      </w:r>
      <w:r w:rsidR="004E6909">
        <w:rPr>
          <w:rFonts w:cs="Arial"/>
          <w:color w:val="auto"/>
          <w:szCs w:val="20"/>
          <w:lang w:val="en-US"/>
        </w:rPr>
        <w:t>ices. The formation of BTLS has</w:t>
      </w:r>
      <w:r w:rsidR="00384419">
        <w:rPr>
          <w:rFonts w:cs="Arial"/>
          <w:color w:val="auto"/>
          <w:szCs w:val="20"/>
          <w:lang w:val="en-US"/>
        </w:rPr>
        <w:t xml:space="preserve"> le</w:t>
      </w:r>
      <w:r w:rsidR="004E6909">
        <w:rPr>
          <w:rFonts w:cs="Arial"/>
          <w:color w:val="auto"/>
          <w:szCs w:val="20"/>
          <w:lang w:val="en-US"/>
        </w:rPr>
        <w:t>d to a number of services previous</w:t>
      </w:r>
      <w:r w:rsidRPr="002F17B5">
        <w:rPr>
          <w:rFonts w:cs="Arial"/>
          <w:color w:val="auto"/>
          <w:szCs w:val="20"/>
          <w:lang w:val="en-US"/>
        </w:rPr>
        <w:t>ly delivered by OCL to come back in-house to the county council.</w:t>
      </w:r>
    </w:p>
    <w:p w:rsidR="008F479A" w:rsidRDefault="008F479A"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D851CE" w:rsidRDefault="00D851CE" w:rsidP="005B5F3D">
      <w:pPr>
        <w:spacing w:after="240"/>
        <w:rPr>
          <w:rFonts w:cs="Arial"/>
          <w:color w:val="auto"/>
          <w:szCs w:val="20"/>
          <w:lang w:val="en-US"/>
        </w:rPr>
      </w:pPr>
    </w:p>
    <w:p w:rsidR="00E07286" w:rsidRPr="002F17B5" w:rsidRDefault="00E07286" w:rsidP="00144349">
      <w:pPr>
        <w:rPr>
          <w:b/>
        </w:rPr>
      </w:pPr>
    </w:p>
    <w:p w:rsidR="00144349" w:rsidRPr="002F17B5" w:rsidRDefault="00144349" w:rsidP="00144349">
      <w:pPr>
        <w:rPr>
          <w:b/>
        </w:rPr>
      </w:pPr>
    </w:p>
    <w:p w:rsidR="00144349" w:rsidRPr="002F17B5" w:rsidRDefault="00144349" w:rsidP="00144349">
      <w:pPr>
        <w:rPr>
          <w:b/>
        </w:rPr>
      </w:pPr>
      <w:r w:rsidRPr="002F17B5">
        <w:rPr>
          <w:b/>
        </w:rPr>
        <w:t>Gill Kilpatrick CPFA</w:t>
      </w:r>
    </w:p>
    <w:p w:rsidR="00144349" w:rsidRPr="002F17B5" w:rsidRDefault="00144349" w:rsidP="00144349">
      <w:r w:rsidRPr="002F17B5">
        <w:rPr>
          <w:b/>
        </w:rPr>
        <w:t>County Treasurer</w:t>
      </w:r>
    </w:p>
    <w:p w:rsidR="00144349" w:rsidRPr="001F21F5" w:rsidRDefault="00740A97" w:rsidP="00144349">
      <w:pPr>
        <w:rPr>
          <w:b/>
        </w:rPr>
      </w:pPr>
      <w:r w:rsidRPr="00CA35D0">
        <w:rPr>
          <w:b/>
        </w:rPr>
        <w:t>29</w:t>
      </w:r>
      <w:r w:rsidR="00D41FFC" w:rsidRPr="00CA35D0">
        <w:rPr>
          <w:b/>
        </w:rPr>
        <w:t>th</w:t>
      </w:r>
      <w:r w:rsidR="00233576" w:rsidRPr="00CA35D0">
        <w:rPr>
          <w:b/>
        </w:rPr>
        <w:t xml:space="preserve"> </w:t>
      </w:r>
      <w:r w:rsidR="00161415" w:rsidRPr="00CA35D0">
        <w:rPr>
          <w:b/>
        </w:rPr>
        <w:t>September</w:t>
      </w:r>
      <w:r w:rsidR="00233576" w:rsidRPr="00CA35D0">
        <w:rPr>
          <w:b/>
        </w:rPr>
        <w:t xml:space="preserve"> 2014</w:t>
      </w:r>
    </w:p>
    <w:p w:rsidR="00144349" w:rsidRPr="002F17B5" w:rsidRDefault="00144349" w:rsidP="00144349">
      <w:pPr>
        <w:pStyle w:val="Heading2"/>
        <w:rPr>
          <w:color w:val="auto"/>
        </w:rPr>
      </w:pPr>
      <w:r w:rsidRPr="002F17B5">
        <w:br w:type="page"/>
      </w:r>
      <w:r w:rsidRPr="002F17B5">
        <w:rPr>
          <w:color w:val="auto"/>
        </w:rPr>
        <w:lastRenderedPageBreak/>
        <w:t>Independent auditor’s report to the members of Lancashire County Council</w:t>
      </w:r>
    </w:p>
    <w:p w:rsidR="00233576" w:rsidRPr="002F17B5" w:rsidRDefault="00233576">
      <w:pPr>
        <w:autoSpaceDE/>
        <w:autoSpaceDN/>
        <w:adjustRightInd/>
        <w:spacing w:after="20"/>
        <w:jc w:val="right"/>
      </w:pPr>
    </w:p>
    <w:p w:rsidR="00A67D3A" w:rsidRDefault="002C37B3" w:rsidP="00211DAF">
      <w:pPr>
        <w:autoSpaceDE/>
        <w:autoSpaceDN/>
        <w:adjustRightInd/>
        <w:spacing w:after="20"/>
      </w:pPr>
      <w:r w:rsidRPr="002F17B5">
        <w:br w:type="page"/>
      </w:r>
    </w:p>
    <w:p w:rsidR="00A67D3A" w:rsidRDefault="00A67D3A" w:rsidP="00A67D3A">
      <w:r>
        <w:lastRenderedPageBreak/>
        <w:br w:type="page"/>
      </w:r>
    </w:p>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4C2246" w:rsidRDefault="004C2246" w:rsidP="00A67D3A"/>
    <w:p w:rsidR="002C37B3" w:rsidRDefault="002C37B3" w:rsidP="00211DAF">
      <w:pPr>
        <w:autoSpaceDE/>
        <w:autoSpaceDN/>
        <w:adjustRightInd/>
        <w:spacing w:after="20"/>
      </w:pPr>
    </w:p>
    <w:p w:rsidR="00A67D3A" w:rsidRPr="002F17B5" w:rsidRDefault="00A67D3A" w:rsidP="00211DAF">
      <w:pPr>
        <w:autoSpaceDE/>
        <w:autoSpaceDN/>
        <w:adjustRightInd/>
        <w:spacing w:after="20"/>
      </w:pPr>
    </w:p>
    <w:p w:rsidR="00144349" w:rsidRPr="002F17B5" w:rsidRDefault="00144349" w:rsidP="00144349">
      <w:pPr>
        <w:pStyle w:val="Heading1"/>
      </w:pPr>
      <w:r w:rsidRPr="002F17B5">
        <w:lastRenderedPageBreak/>
        <w:t>Statement of responsibilities for the statement of accounts</w:t>
      </w:r>
    </w:p>
    <w:p w:rsidR="00144349" w:rsidRPr="002F17B5" w:rsidRDefault="00824DC9" w:rsidP="00144349">
      <w:pPr>
        <w:pStyle w:val="Heading2"/>
      </w:pPr>
      <w:r w:rsidRPr="002F17B5">
        <w:t>The c</w:t>
      </w:r>
      <w:r w:rsidR="00144349" w:rsidRPr="002F17B5">
        <w:t xml:space="preserve">ounty </w:t>
      </w:r>
      <w:r w:rsidRPr="002F17B5">
        <w:t>council’s r</w:t>
      </w:r>
      <w:r w:rsidR="00144349" w:rsidRPr="002F17B5">
        <w:t>esponsibilities</w:t>
      </w:r>
    </w:p>
    <w:p w:rsidR="00144349" w:rsidRPr="002F17B5" w:rsidRDefault="00144349" w:rsidP="00144349">
      <w:r w:rsidRPr="002F17B5">
        <w:t>We must:</w:t>
      </w:r>
    </w:p>
    <w:p w:rsidR="00144349" w:rsidRPr="002F17B5" w:rsidRDefault="00144349" w:rsidP="006E641D">
      <w:pPr>
        <w:numPr>
          <w:ilvl w:val="0"/>
          <w:numId w:val="2"/>
        </w:numPr>
        <w:autoSpaceDE/>
        <w:autoSpaceDN/>
        <w:adjustRightInd/>
        <w:spacing w:before="0" w:after="0"/>
        <w:jc w:val="left"/>
      </w:pPr>
      <w:r w:rsidRPr="002F17B5">
        <w:t>make arrangements for the proper administration of our financial affairs and ensure that one of our officers has the responsibility for the administration of those affairs.  In the county council, that officer is the county treasurer;</w:t>
      </w:r>
    </w:p>
    <w:p w:rsidR="00144349" w:rsidRPr="002F17B5" w:rsidRDefault="00144349" w:rsidP="006E641D">
      <w:pPr>
        <w:numPr>
          <w:ilvl w:val="0"/>
          <w:numId w:val="2"/>
        </w:numPr>
        <w:autoSpaceDE/>
        <w:autoSpaceDN/>
        <w:adjustRightInd/>
        <w:spacing w:before="0" w:after="0"/>
        <w:jc w:val="left"/>
      </w:pPr>
      <w:r w:rsidRPr="002F17B5">
        <w:t>manage our affairs to secure economic, efficient and effective use of resources and safeguard our assets;</w:t>
      </w:r>
    </w:p>
    <w:p w:rsidR="00144349" w:rsidRPr="002F17B5" w:rsidRDefault="00144349" w:rsidP="00144349">
      <w:pPr>
        <w:numPr>
          <w:ilvl w:val="0"/>
          <w:numId w:val="2"/>
        </w:numPr>
        <w:autoSpaceDE/>
        <w:autoSpaceDN/>
        <w:adjustRightInd/>
        <w:spacing w:before="0" w:after="0"/>
        <w:jc w:val="left"/>
      </w:pPr>
      <w:r w:rsidRPr="002F17B5">
        <w:t>approve the statement of accounts.</w:t>
      </w:r>
    </w:p>
    <w:p w:rsidR="00144349" w:rsidRPr="002F17B5" w:rsidRDefault="00144349" w:rsidP="00144349">
      <w:pPr>
        <w:pStyle w:val="BodyText20"/>
      </w:pPr>
    </w:p>
    <w:p w:rsidR="00144349" w:rsidRPr="002F17B5" w:rsidRDefault="00824DC9" w:rsidP="00144349">
      <w:pPr>
        <w:pStyle w:val="Heading2"/>
      </w:pPr>
      <w:r w:rsidRPr="002F17B5">
        <w:t>The county t</w:t>
      </w:r>
      <w:r w:rsidR="00144349" w:rsidRPr="002F17B5">
        <w:t>reasurer's</w:t>
      </w:r>
      <w:r w:rsidRPr="002F17B5">
        <w:t xml:space="preserve"> r</w:t>
      </w:r>
      <w:r w:rsidR="00144349" w:rsidRPr="002F17B5">
        <w:t>esponsibilities</w:t>
      </w:r>
    </w:p>
    <w:p w:rsidR="00144349" w:rsidRPr="002F17B5" w:rsidRDefault="00144349" w:rsidP="00144349">
      <w:r w:rsidRPr="002F17B5">
        <w:t xml:space="preserve">The county treasurer is responsible for preparing our statement of accounts in line with the Chartered Institute of Public Finance and Accountancy/Local Authority (Scotland) Accounts Advisory Committee Code of Practice on Local Authority Accounting in the United Kingdom. This means presenting a true and fair view of our financial position on the accounting date and our income and expenditure for the year ending </w:t>
      </w:r>
      <w:r w:rsidR="006D01F9" w:rsidRPr="002F17B5">
        <w:t>31 March 2014</w:t>
      </w:r>
      <w:r w:rsidRPr="002F17B5">
        <w:t>.</w:t>
      </w:r>
    </w:p>
    <w:p w:rsidR="00144349" w:rsidRPr="002F17B5" w:rsidRDefault="00144349" w:rsidP="00144349"/>
    <w:p w:rsidR="00144349" w:rsidRPr="002F17B5" w:rsidRDefault="00144349" w:rsidP="00144349">
      <w:r w:rsidRPr="002F17B5">
        <w:t>In preparing this statement of accounts, the county treasurer has:</w:t>
      </w:r>
    </w:p>
    <w:p w:rsidR="00144349" w:rsidRPr="002F17B5" w:rsidRDefault="00144349" w:rsidP="00B4083A">
      <w:pPr>
        <w:numPr>
          <w:ilvl w:val="0"/>
          <w:numId w:val="63"/>
        </w:numPr>
        <w:autoSpaceDE/>
        <w:autoSpaceDN/>
        <w:adjustRightInd/>
        <w:spacing w:before="0" w:after="40"/>
        <w:jc w:val="left"/>
      </w:pPr>
      <w:r w:rsidRPr="002F17B5">
        <w:t>selected suitable accounting policies and applied them consistently;</w:t>
      </w:r>
    </w:p>
    <w:p w:rsidR="00144349" w:rsidRPr="002F17B5" w:rsidRDefault="00144349" w:rsidP="00B4083A">
      <w:pPr>
        <w:numPr>
          <w:ilvl w:val="0"/>
          <w:numId w:val="63"/>
        </w:numPr>
        <w:autoSpaceDE/>
        <w:autoSpaceDN/>
        <w:adjustRightInd/>
        <w:spacing w:before="0" w:after="40"/>
        <w:jc w:val="left"/>
      </w:pPr>
      <w:r w:rsidRPr="002F17B5">
        <w:t>made judgements and estimates that are reasonable and prudent; and</w:t>
      </w:r>
    </w:p>
    <w:p w:rsidR="00144349" w:rsidRPr="002F17B5" w:rsidRDefault="00144349" w:rsidP="00B4083A">
      <w:pPr>
        <w:numPr>
          <w:ilvl w:val="0"/>
          <w:numId w:val="63"/>
        </w:numPr>
        <w:autoSpaceDE/>
        <w:autoSpaceDN/>
        <w:adjustRightInd/>
        <w:spacing w:before="0" w:after="40"/>
        <w:jc w:val="left"/>
      </w:pPr>
      <w:r w:rsidRPr="002F17B5">
        <w:t>complied with the local authority code.</w:t>
      </w:r>
    </w:p>
    <w:p w:rsidR="00144349" w:rsidRPr="002F17B5" w:rsidRDefault="00144349" w:rsidP="00144349">
      <w:pPr>
        <w:rPr>
          <w:b/>
        </w:rPr>
      </w:pPr>
    </w:p>
    <w:p w:rsidR="00144349" w:rsidRPr="002F17B5" w:rsidRDefault="004E6909" w:rsidP="00144349">
      <w:r>
        <w:t>The county treasurer</w:t>
      </w:r>
      <w:r w:rsidR="00144349" w:rsidRPr="002F17B5">
        <w:t xml:space="preserve"> also:</w:t>
      </w:r>
    </w:p>
    <w:p w:rsidR="00144349" w:rsidRPr="002F17B5" w:rsidRDefault="00144349" w:rsidP="00B4083A">
      <w:pPr>
        <w:numPr>
          <w:ilvl w:val="0"/>
          <w:numId w:val="63"/>
        </w:numPr>
        <w:tabs>
          <w:tab w:val="clear" w:pos="360"/>
        </w:tabs>
        <w:autoSpaceDE/>
        <w:autoSpaceDN/>
        <w:adjustRightInd/>
        <w:spacing w:before="0" w:after="40"/>
        <w:jc w:val="left"/>
      </w:pPr>
      <w:r w:rsidRPr="002F17B5">
        <w:t>kept proper, up-to-date accounting records; and</w:t>
      </w:r>
    </w:p>
    <w:p w:rsidR="00144349" w:rsidRPr="002F17B5" w:rsidRDefault="00144349" w:rsidP="00B4083A">
      <w:pPr>
        <w:numPr>
          <w:ilvl w:val="0"/>
          <w:numId w:val="63"/>
        </w:numPr>
        <w:tabs>
          <w:tab w:val="clear" w:pos="360"/>
        </w:tabs>
        <w:autoSpaceDE/>
        <w:autoSpaceDN/>
        <w:adjustRightInd/>
        <w:spacing w:before="0" w:after="40"/>
        <w:jc w:val="left"/>
      </w:pPr>
      <w:r w:rsidRPr="002F17B5">
        <w:t>taken responsible steps to prevent and detect fraud and other risks.</w:t>
      </w:r>
    </w:p>
    <w:p w:rsidR="00144349" w:rsidRPr="002F17B5" w:rsidRDefault="00144349" w:rsidP="00144349">
      <w:pPr>
        <w:spacing w:after="0"/>
        <w:ind w:left="360"/>
      </w:pPr>
    </w:p>
    <w:p w:rsidR="00782AC9" w:rsidRPr="002F17B5" w:rsidRDefault="00782AC9" w:rsidP="00782AC9">
      <w:r w:rsidRPr="002F17B5">
        <w:t xml:space="preserve">This statement of accounts is that upon which the auditor should enter his certificate and opinion.  It presents a true and fair view of the financial position of the county council at 31 March 2014 and its income and expenditure for the year then ended.                                                                                </w:t>
      </w:r>
    </w:p>
    <w:p w:rsidR="00782AC9" w:rsidRPr="002F17B5" w:rsidRDefault="00782AC9" w:rsidP="00782AC9">
      <w:pPr>
        <w:rPr>
          <w:sz w:val="18"/>
        </w:rPr>
      </w:pPr>
    </w:p>
    <w:p w:rsidR="00782AC9" w:rsidRPr="002F17B5" w:rsidRDefault="00782AC9" w:rsidP="00782AC9">
      <w:pPr>
        <w:rPr>
          <w:sz w:val="18"/>
        </w:rPr>
      </w:pPr>
    </w:p>
    <w:p w:rsidR="005B5928" w:rsidRDefault="005B5928" w:rsidP="00782AC9">
      <w:pPr>
        <w:rPr>
          <w:sz w:val="18"/>
        </w:rPr>
      </w:pPr>
    </w:p>
    <w:p w:rsidR="004C2246" w:rsidRDefault="004C2246" w:rsidP="00782AC9">
      <w:pPr>
        <w:rPr>
          <w:sz w:val="18"/>
        </w:rPr>
      </w:pPr>
    </w:p>
    <w:p w:rsidR="004C2246" w:rsidRDefault="004C2246" w:rsidP="00782AC9">
      <w:pPr>
        <w:rPr>
          <w:sz w:val="18"/>
        </w:rPr>
      </w:pPr>
    </w:p>
    <w:p w:rsidR="004C2246" w:rsidRDefault="004C2246" w:rsidP="00782AC9">
      <w:pPr>
        <w:rPr>
          <w:sz w:val="18"/>
        </w:rPr>
      </w:pPr>
    </w:p>
    <w:p w:rsidR="004C2246" w:rsidRPr="002F17B5" w:rsidRDefault="004C2246" w:rsidP="00782AC9">
      <w:pPr>
        <w:rPr>
          <w:sz w:val="18"/>
        </w:rPr>
      </w:pPr>
    </w:p>
    <w:p w:rsidR="005B5928" w:rsidRPr="002F17B5" w:rsidRDefault="005B5928" w:rsidP="00782AC9">
      <w:pPr>
        <w:rPr>
          <w:b/>
        </w:rPr>
      </w:pPr>
    </w:p>
    <w:p w:rsidR="005B5928" w:rsidRPr="002F17B5" w:rsidRDefault="005B5928" w:rsidP="00782AC9">
      <w:pPr>
        <w:rPr>
          <w:b/>
        </w:rPr>
      </w:pPr>
      <w:r w:rsidRPr="002F17B5">
        <w:rPr>
          <w:b/>
        </w:rPr>
        <w:t>Gill Kilpatrick CPFA</w:t>
      </w:r>
    </w:p>
    <w:p w:rsidR="005B5928" w:rsidRPr="002F17B5" w:rsidRDefault="005B5928" w:rsidP="00782AC9">
      <w:pPr>
        <w:rPr>
          <w:b/>
        </w:rPr>
      </w:pPr>
      <w:r w:rsidRPr="002F17B5">
        <w:rPr>
          <w:b/>
        </w:rPr>
        <w:t>County Treasurer</w:t>
      </w:r>
    </w:p>
    <w:p w:rsidR="005B5928" w:rsidRPr="002F17B5" w:rsidRDefault="006E735F" w:rsidP="00782AC9">
      <w:pPr>
        <w:rPr>
          <w:b/>
        </w:rPr>
      </w:pPr>
      <w:r w:rsidRPr="00CA35D0">
        <w:rPr>
          <w:b/>
        </w:rPr>
        <w:t>29</w:t>
      </w:r>
      <w:r w:rsidR="005B5928" w:rsidRPr="00CA35D0">
        <w:rPr>
          <w:b/>
        </w:rPr>
        <w:t xml:space="preserve">th </w:t>
      </w:r>
      <w:r w:rsidRPr="00CA35D0">
        <w:rPr>
          <w:b/>
        </w:rPr>
        <w:t>September</w:t>
      </w:r>
      <w:r w:rsidR="005B5928" w:rsidRPr="00CA35D0">
        <w:rPr>
          <w:b/>
        </w:rPr>
        <w:t xml:space="preserve"> 2014</w:t>
      </w:r>
    </w:p>
    <w:p w:rsidR="0062676D" w:rsidRPr="002F17B5" w:rsidRDefault="0062676D" w:rsidP="0062676D">
      <w:pPr>
        <w:pStyle w:val="Heading1"/>
      </w:pPr>
      <w:r w:rsidRPr="002F17B5">
        <w:lastRenderedPageBreak/>
        <w:t>Annual Governance Statement – Financial Year 2013/14</w:t>
      </w:r>
    </w:p>
    <w:p w:rsidR="00B625C4" w:rsidRPr="00B625C4" w:rsidRDefault="00B625C4" w:rsidP="00B625C4">
      <w:pPr>
        <w:autoSpaceDE/>
        <w:autoSpaceDN/>
        <w:adjustRightInd/>
        <w:spacing w:after="20"/>
        <w:rPr>
          <w:sz w:val="12"/>
        </w:rPr>
      </w:pPr>
    </w:p>
    <w:p w:rsidR="00466754" w:rsidRDefault="00466754" w:rsidP="00466754">
      <w:pPr>
        <w:pStyle w:val="Heading2"/>
      </w:pPr>
      <w:r>
        <w:t xml:space="preserve">The council’s responsibilities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Lancashire County Council is responsible for ensuring that its business is conducted in accordance with the law and proper standards, and that public money is safeguarded and properly accounted for, and used economically, efficiently and effectively. The council also has a duty under the Local Government Act 1999 to make arrangements to secure continuous improvement in the way in which its functions are exercised, having regard to a combination of economy, efficiency and effectiveness.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In discharging this overall responsibility, the council is responsible for putting in place proper arrangements for the governance of its affairs and facilitating the effective exercise of its functions, including arrangements for the management of risk.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council has adopted a code of corporate governance which is consistent with the principles of the CIPFA/SOLACE Framework 'Delivering Good Governance in Local Government'.  The Council will review this code during 2014/15. </w:t>
      </w:r>
    </w:p>
    <w:p w:rsidR="00466754" w:rsidRDefault="00466754" w:rsidP="00466754">
      <w:pPr>
        <w:autoSpaceDE/>
        <w:autoSpaceDN/>
        <w:adjustRightInd/>
        <w:spacing w:after="20"/>
      </w:pPr>
    </w:p>
    <w:p w:rsidR="00CA35D0" w:rsidRDefault="00CA35D0" w:rsidP="00466754">
      <w:pPr>
        <w:pStyle w:val="Heading2"/>
      </w:pPr>
    </w:p>
    <w:p w:rsidR="00466754" w:rsidRDefault="00466754" w:rsidP="00466754">
      <w:pPr>
        <w:pStyle w:val="Heading2"/>
      </w:pPr>
      <w:r>
        <w:t xml:space="preserve">The purpose of the governance framework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governance framework comprises the systems and processes, culture and values by which the council is directed and controlled and its activities through which it accounts to, engages with and leads its communities. It enables the council to monitor the achievement of its strategic objectives and to consider whether those objectives have led to the delivery of appropriate, cost-effective services.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council’s policies, aims and objectives, to evaluate the likelihood of those risks being realised and the impact should they be realised, and to manage them efficiently, effectively and economically.  </w:t>
      </w:r>
    </w:p>
    <w:p w:rsidR="00466754" w:rsidRDefault="00466754" w:rsidP="00466754">
      <w:pPr>
        <w:autoSpaceDE/>
        <w:autoSpaceDN/>
        <w:adjustRightInd/>
        <w:spacing w:after="20"/>
      </w:pPr>
    </w:p>
    <w:p w:rsidR="00466754" w:rsidRDefault="00466754" w:rsidP="00466754">
      <w:pPr>
        <w:autoSpaceDE/>
        <w:autoSpaceDN/>
        <w:adjustRightInd/>
        <w:spacing w:after="20"/>
      </w:pPr>
      <w:r>
        <w:t>The governance framework has been in place at Lancashire County Council for the year ended 31 March 2014 and up to the date of approval of the statement of accounts.</w:t>
      </w:r>
    </w:p>
    <w:p w:rsidR="00466754" w:rsidRDefault="00466754" w:rsidP="00466754">
      <w:pPr>
        <w:autoSpaceDE/>
        <w:autoSpaceDN/>
        <w:adjustRightInd/>
        <w:spacing w:after="20"/>
      </w:pPr>
      <w:r>
        <w:t xml:space="preserve"> </w:t>
      </w: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466754" w:rsidRDefault="00466754" w:rsidP="00466754">
      <w:pPr>
        <w:autoSpaceDE/>
        <w:autoSpaceDN/>
        <w:adjustRightInd/>
        <w:spacing w:after="20"/>
        <w:rPr>
          <w:rFonts w:ascii="Corbel" w:eastAsia="Times New Roman" w:hAnsi="Corbel"/>
          <w:b/>
          <w:bCs/>
          <w:color w:val="D31145"/>
          <w:sz w:val="32"/>
          <w:szCs w:val="26"/>
        </w:rPr>
      </w:pPr>
      <w:r w:rsidRPr="00466754">
        <w:rPr>
          <w:rFonts w:ascii="Corbel" w:eastAsia="Times New Roman" w:hAnsi="Corbel"/>
          <w:b/>
          <w:bCs/>
          <w:color w:val="D31145"/>
          <w:sz w:val="32"/>
          <w:szCs w:val="26"/>
        </w:rPr>
        <w:t>The council’s governance framework</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following paragraphs highlight some of the key elements of the council's governance framework, and areas where work is being undertaken to improve this. </w:t>
      </w:r>
    </w:p>
    <w:p w:rsidR="00466754" w:rsidRDefault="00466754" w:rsidP="00466754">
      <w:pPr>
        <w:autoSpaceDE/>
        <w:autoSpaceDN/>
        <w:adjustRightInd/>
        <w:spacing w:after="20"/>
      </w:pPr>
    </w:p>
    <w:p w:rsidR="00466754" w:rsidRDefault="00466754" w:rsidP="00466754">
      <w:pPr>
        <w:autoSpaceDE/>
        <w:autoSpaceDN/>
        <w:adjustRightInd/>
        <w:spacing w:after="20"/>
      </w:pPr>
    </w:p>
    <w:p w:rsidR="00EF2C56" w:rsidRDefault="00EF2C56" w:rsidP="00466754">
      <w:pPr>
        <w:autoSpaceDE/>
        <w:autoSpaceDN/>
        <w:adjustRightInd/>
        <w:spacing w:after="20"/>
      </w:pPr>
    </w:p>
    <w:p w:rsidR="00466754" w:rsidRPr="00466754" w:rsidRDefault="00466754" w:rsidP="00466754">
      <w:pPr>
        <w:autoSpaceDE/>
        <w:autoSpaceDN/>
        <w:adjustRightInd/>
        <w:spacing w:after="20"/>
        <w:rPr>
          <w:rFonts w:ascii="Corbel" w:eastAsia="Times New Roman" w:hAnsi="Corbel"/>
          <w:b/>
          <w:bCs/>
          <w:color w:val="D31145"/>
          <w:sz w:val="32"/>
          <w:szCs w:val="26"/>
        </w:rPr>
      </w:pPr>
      <w:r w:rsidRPr="00466754">
        <w:rPr>
          <w:rFonts w:ascii="Corbel" w:eastAsia="Times New Roman" w:hAnsi="Corbel"/>
          <w:b/>
          <w:bCs/>
          <w:color w:val="D31145"/>
          <w:sz w:val="32"/>
          <w:szCs w:val="26"/>
        </w:rPr>
        <w:t>Leadership and management</w:t>
      </w:r>
    </w:p>
    <w:p w:rsidR="00466754" w:rsidRDefault="00466754" w:rsidP="00466754">
      <w:pPr>
        <w:autoSpaceDE/>
        <w:autoSpaceDN/>
        <w:adjustRightInd/>
        <w:spacing w:after="20"/>
      </w:pPr>
    </w:p>
    <w:p w:rsidR="00466754" w:rsidRDefault="00466754" w:rsidP="00466754">
      <w:pPr>
        <w:autoSpaceDE/>
        <w:autoSpaceDN/>
        <w:adjustRightInd/>
        <w:spacing w:after="20"/>
      </w:pPr>
      <w:r>
        <w:t>The council has, as required by statute, a head of paid service (the Chief Executive), a monitoring officer (the County Secretary and Solicitor), and a 'section 151 officer' (the County Treasurer). Each role operates in accordance with the relevant statutory and professional guidance.</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On 5 August 2013 the former Chief Executive was suspended in order to facilitate a disciplinary investigation in relation to conduct issues including the process for letting a contract.   Arrangements were immediately put in place to ensure that the council was effectively managed in his absence. The former Chief Executive's contract of employment was subsequently terminated by mutual consent and arrangements were then put in place to appoint a new Chief Executive, the appointment taking effect from 20 February 2014. </w:t>
      </w:r>
    </w:p>
    <w:p w:rsidR="00466754" w:rsidRDefault="00466754" w:rsidP="00466754">
      <w:pPr>
        <w:autoSpaceDE/>
        <w:autoSpaceDN/>
        <w:adjustRightInd/>
        <w:spacing w:after="20"/>
      </w:pPr>
    </w:p>
    <w:p w:rsidR="00466754" w:rsidRDefault="00466754" w:rsidP="00466754">
      <w:pPr>
        <w:autoSpaceDE/>
        <w:autoSpaceDN/>
        <w:adjustRightInd/>
        <w:spacing w:after="20"/>
      </w:pPr>
      <w:r>
        <w:t>The Council has, over the past twelve months, experienced exceptional challenges which have absorbed and diverted a considerable amount of senior leadership time</w:t>
      </w:r>
      <w:r w:rsidR="004A4B0F">
        <w:t>, c</w:t>
      </w:r>
      <w:r>
        <w:t>ircumstances which have impacted upon a number of the issues relevant to the adequacy and effectiveness of the Council's control environment highlighted by the Chief Internal Auditor's Annual Report. Along with the issue referred to</w:t>
      </w:r>
      <w:r w:rsidR="0037015F">
        <w:t xml:space="preserve"> above,</w:t>
      </w:r>
      <w:r>
        <w:t xml:space="preserve"> these challenges include:</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2964DC" w:rsidRDefault="00466754" w:rsidP="00466754">
      <w:pPr>
        <w:autoSpaceDE/>
        <w:autoSpaceDN/>
        <w:adjustRightInd/>
        <w:spacing w:after="20"/>
        <w:rPr>
          <w:rFonts w:ascii="Corbel" w:eastAsia="Times New Roman" w:hAnsi="Corbel"/>
          <w:b/>
          <w:bCs/>
          <w:color w:val="D31145"/>
          <w:sz w:val="32"/>
          <w:szCs w:val="26"/>
        </w:rPr>
      </w:pPr>
      <w:r w:rsidRPr="002964DC">
        <w:rPr>
          <w:rFonts w:ascii="Corbel" w:eastAsia="Times New Roman" w:hAnsi="Corbel"/>
          <w:b/>
          <w:bCs/>
          <w:color w:val="D31145"/>
          <w:sz w:val="32"/>
          <w:szCs w:val="26"/>
        </w:rPr>
        <w:t>Organisational/Service challenges and Budgetary Pressures</w:t>
      </w:r>
    </w:p>
    <w:p w:rsidR="00466754" w:rsidRDefault="00466754" w:rsidP="00466754">
      <w:pPr>
        <w:autoSpaceDE/>
        <w:autoSpaceDN/>
        <w:adjustRightInd/>
        <w:spacing w:after="20"/>
      </w:pPr>
    </w:p>
    <w:p w:rsidR="002964DC" w:rsidRDefault="00466754" w:rsidP="006E641D">
      <w:pPr>
        <w:numPr>
          <w:ilvl w:val="0"/>
          <w:numId w:val="63"/>
        </w:numPr>
        <w:autoSpaceDE/>
        <w:autoSpaceDN/>
        <w:adjustRightInd/>
        <w:spacing w:before="0" w:after="40"/>
        <w:jc w:val="left"/>
      </w:pPr>
      <w:r>
        <w:t>A change of political leadership in May 2013, resulting in a minority Administration and changes of operational policy and direction.</w:t>
      </w:r>
    </w:p>
    <w:p w:rsidR="002964DC" w:rsidRDefault="00466754" w:rsidP="006E641D">
      <w:pPr>
        <w:numPr>
          <w:ilvl w:val="0"/>
          <w:numId w:val="63"/>
        </w:numPr>
        <w:autoSpaceDE/>
        <w:autoSpaceDN/>
        <w:adjustRightInd/>
        <w:spacing w:before="0" w:after="40"/>
        <w:jc w:val="left"/>
      </w:pPr>
      <w:r>
        <w:t>Significantly increased demand for both adults' and children's services continues to impose strains on resources and service delivery. New legislation around adult social care and special educational needs will exacerbate these problems.</w:t>
      </w:r>
    </w:p>
    <w:p w:rsidR="002964DC" w:rsidRDefault="00466754" w:rsidP="006E641D">
      <w:pPr>
        <w:numPr>
          <w:ilvl w:val="0"/>
          <w:numId w:val="63"/>
        </w:numPr>
        <w:autoSpaceDE/>
        <w:autoSpaceDN/>
        <w:adjustRightInd/>
        <w:spacing w:before="0" w:after="40"/>
        <w:jc w:val="left"/>
      </w:pPr>
      <w:r>
        <w:t xml:space="preserve">The need for the Council to achieve reductions in funding of £300 million by 2017/18, requiring a wholesale transformation of the Council's operating model, which can be best summed up as creating a 'new' Lancashire County Council. The development and implementation of this council wide new structure has been led by Management Team and has involved, and will continue to involve, extensive consultation with staff and trade unions. </w:t>
      </w:r>
    </w:p>
    <w:p w:rsidR="00466754" w:rsidRDefault="00466754" w:rsidP="002964DC">
      <w:pPr>
        <w:numPr>
          <w:ilvl w:val="0"/>
          <w:numId w:val="63"/>
        </w:numPr>
        <w:autoSpaceDE/>
        <w:autoSpaceDN/>
        <w:adjustRightInd/>
        <w:spacing w:before="0" w:after="40"/>
        <w:jc w:val="left"/>
      </w:pPr>
      <w:r>
        <w:t>A key element of the 'new' council structure is a voluntary redundancy offer to secure necessary savings on staff costs, with the intention of losing up to 2,500 staff on a voluntary basis. Whilst applications from staff in key service areas such as safeguarding are generally not being approved, the unprecedented number of voluntary redundancies across the council at all officer grades has resulted in an overall reduction in capacity which does not yet reflect the "new", council structure.</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CA35D0" w:rsidRDefault="00CA35D0" w:rsidP="00466754">
      <w:pPr>
        <w:autoSpaceDE/>
        <w:autoSpaceDN/>
        <w:adjustRightInd/>
        <w:spacing w:after="20"/>
        <w:rPr>
          <w:rFonts w:ascii="Corbel" w:eastAsia="Times New Roman" w:hAnsi="Corbel"/>
          <w:b/>
          <w:bCs/>
          <w:color w:val="D31145"/>
          <w:sz w:val="32"/>
          <w:szCs w:val="26"/>
        </w:rPr>
      </w:pPr>
    </w:p>
    <w:p w:rsidR="00CA35D0" w:rsidRDefault="00CA35D0" w:rsidP="00466754">
      <w:pPr>
        <w:autoSpaceDE/>
        <w:autoSpaceDN/>
        <w:adjustRightInd/>
        <w:spacing w:after="20"/>
        <w:rPr>
          <w:rFonts w:ascii="Corbel" w:eastAsia="Times New Roman" w:hAnsi="Corbel"/>
          <w:b/>
          <w:bCs/>
          <w:color w:val="D31145"/>
          <w:sz w:val="32"/>
          <w:szCs w:val="26"/>
        </w:rPr>
      </w:pPr>
    </w:p>
    <w:p w:rsidR="00CA35D0" w:rsidRDefault="00CA35D0" w:rsidP="00466754">
      <w:pPr>
        <w:autoSpaceDE/>
        <w:autoSpaceDN/>
        <w:adjustRightInd/>
        <w:spacing w:after="20"/>
        <w:rPr>
          <w:rFonts w:ascii="Corbel" w:eastAsia="Times New Roman" w:hAnsi="Corbel"/>
          <w:b/>
          <w:bCs/>
          <w:color w:val="D31145"/>
          <w:sz w:val="32"/>
          <w:szCs w:val="26"/>
        </w:rPr>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EF2C56" w:rsidRDefault="00466754" w:rsidP="00466754">
      <w:pPr>
        <w:autoSpaceDE/>
        <w:autoSpaceDN/>
        <w:adjustRightInd/>
        <w:spacing w:after="20"/>
        <w:rPr>
          <w:rFonts w:ascii="Corbel" w:eastAsia="Times New Roman" w:hAnsi="Corbel"/>
          <w:b/>
          <w:bCs/>
          <w:color w:val="D31145"/>
          <w:sz w:val="32"/>
          <w:szCs w:val="26"/>
        </w:rPr>
      </w:pPr>
      <w:r w:rsidRPr="00EF2C56">
        <w:rPr>
          <w:rFonts w:ascii="Corbel" w:eastAsia="Times New Roman" w:hAnsi="Corbel"/>
          <w:b/>
          <w:bCs/>
          <w:color w:val="D31145"/>
          <w:sz w:val="32"/>
          <w:szCs w:val="26"/>
        </w:rPr>
        <w:lastRenderedPageBreak/>
        <w:t xml:space="preserve">Issues relating to the former Strategic Partnership </w:t>
      </w:r>
    </w:p>
    <w:p w:rsidR="00466754" w:rsidRDefault="00466754" w:rsidP="00466754">
      <w:pPr>
        <w:autoSpaceDE/>
        <w:autoSpaceDN/>
        <w:adjustRightInd/>
        <w:spacing w:after="20"/>
      </w:pPr>
    </w:p>
    <w:p w:rsidR="00466754" w:rsidRDefault="00466754" w:rsidP="00EF2C56">
      <w:pPr>
        <w:numPr>
          <w:ilvl w:val="0"/>
          <w:numId w:val="63"/>
        </w:numPr>
        <w:autoSpaceDE/>
        <w:autoSpaceDN/>
        <w:adjustRightInd/>
        <w:spacing w:before="0" w:after="40"/>
        <w:jc w:val="left"/>
      </w:pPr>
      <w:r>
        <w:t xml:space="preserve">Both Cabinet and the Audit and Governance Committee have received detailed reports concerning the failure of One Connect Limited ("OCL") to deliver services to a satisfactory standard and to achieve procurement savings. This has resulted in the successful renegotiation of the council's strategic partnership and contract with BT plc to form a new company wholly owned by BT:  BT Lancashire Services Ltd, and the return to the Council of the majority of services formerly provided by OCL. </w:t>
      </w:r>
    </w:p>
    <w:p w:rsidR="00466754" w:rsidRDefault="00466754" w:rsidP="00EF2C56">
      <w:pPr>
        <w:numPr>
          <w:ilvl w:val="0"/>
          <w:numId w:val="63"/>
        </w:numPr>
        <w:autoSpaceDE/>
        <w:autoSpaceDN/>
        <w:adjustRightInd/>
        <w:spacing w:before="0" w:after="40"/>
        <w:jc w:val="left"/>
      </w:pPr>
      <w:r>
        <w:t>An ongoing police enquiry into a number of issues referred by the Council including the process for letting a contract for the council's fleet services and payments made to the former Chief Executive Officer of OCL.</w:t>
      </w:r>
    </w:p>
    <w:p w:rsidR="00466754" w:rsidRDefault="00466754" w:rsidP="00EF2C56">
      <w:pPr>
        <w:numPr>
          <w:ilvl w:val="0"/>
          <w:numId w:val="63"/>
        </w:numPr>
        <w:autoSpaceDE/>
        <w:autoSpaceDN/>
        <w:adjustRightInd/>
        <w:spacing w:before="0" w:after="40"/>
        <w:jc w:val="left"/>
      </w:pPr>
      <w:r>
        <w:t>The development of a new overarching procurement strategy to replace the procurement arrangements previously undertaken by OCL.</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EF2C56" w:rsidRDefault="00466754" w:rsidP="00466754">
      <w:pPr>
        <w:autoSpaceDE/>
        <w:autoSpaceDN/>
        <w:adjustRightInd/>
        <w:spacing w:after="20"/>
        <w:rPr>
          <w:rFonts w:ascii="Corbel" w:eastAsia="Times New Roman" w:hAnsi="Corbel"/>
          <w:b/>
          <w:bCs/>
          <w:color w:val="D31145"/>
          <w:sz w:val="32"/>
          <w:szCs w:val="26"/>
        </w:rPr>
      </w:pPr>
      <w:r w:rsidRPr="00EF2C56">
        <w:rPr>
          <w:rFonts w:ascii="Corbel" w:eastAsia="Times New Roman" w:hAnsi="Corbel"/>
          <w:b/>
          <w:bCs/>
          <w:color w:val="D31145"/>
          <w:sz w:val="32"/>
          <w:szCs w:val="26"/>
        </w:rPr>
        <w:t xml:space="preserve">Successes </w:t>
      </w:r>
    </w:p>
    <w:p w:rsidR="00466754" w:rsidRDefault="00466754" w:rsidP="00466754">
      <w:pPr>
        <w:autoSpaceDE/>
        <w:autoSpaceDN/>
        <w:adjustRightInd/>
        <w:spacing w:after="20"/>
      </w:pPr>
    </w:p>
    <w:p w:rsidR="00466754" w:rsidRDefault="00466754" w:rsidP="00EF2C56">
      <w:pPr>
        <w:numPr>
          <w:ilvl w:val="0"/>
          <w:numId w:val="63"/>
        </w:numPr>
        <w:autoSpaceDE/>
        <w:autoSpaceDN/>
        <w:adjustRightInd/>
        <w:spacing w:before="0" w:after="40"/>
        <w:jc w:val="left"/>
      </w:pPr>
      <w:r>
        <w:t>The introduction of a new core IT system for both adult and children's social care services.</w:t>
      </w:r>
    </w:p>
    <w:p w:rsidR="00466754" w:rsidRDefault="00466754" w:rsidP="00EF2C56">
      <w:pPr>
        <w:numPr>
          <w:ilvl w:val="0"/>
          <w:numId w:val="63"/>
        </w:numPr>
        <w:autoSpaceDE/>
        <w:autoSpaceDN/>
        <w:adjustRightInd/>
        <w:spacing w:before="0" w:after="40"/>
        <w:jc w:val="left"/>
      </w:pPr>
      <w:r>
        <w:t xml:space="preserve">The renegotiation of the Council's major waste treatment PFI contract, providing for the future delivery of the service by a company owned by the County Council and Blackpool Council and achieving significant cost savings. </w:t>
      </w:r>
    </w:p>
    <w:p w:rsidR="00466754" w:rsidRDefault="00466754" w:rsidP="00EF2C56">
      <w:pPr>
        <w:numPr>
          <w:ilvl w:val="0"/>
          <w:numId w:val="63"/>
        </w:numPr>
        <w:autoSpaceDE/>
        <w:autoSpaceDN/>
        <w:adjustRightInd/>
        <w:spacing w:before="0" w:after="40"/>
        <w:jc w:val="left"/>
      </w:pPr>
      <w:r>
        <w:t xml:space="preserve">The successful delivery of major economic development initiatives for the County including the Preston, South </w:t>
      </w:r>
      <w:proofErr w:type="spellStart"/>
      <w:r>
        <w:t>Ribble</w:t>
      </w:r>
      <w:proofErr w:type="spellEnd"/>
      <w:r>
        <w:t xml:space="preserve"> and Lancashire</w:t>
      </w:r>
      <w:r w:rsidR="004A4B0F">
        <w:t xml:space="preserve"> City Deal</w:t>
      </w:r>
      <w:r>
        <w:t xml:space="preserve">; the Lancashire Growth Deal; and the progressing of the Lancashire Enterprise Zones. </w:t>
      </w:r>
    </w:p>
    <w:p w:rsidR="00466754" w:rsidRDefault="00466754" w:rsidP="00466754">
      <w:pPr>
        <w:autoSpaceDE/>
        <w:autoSpaceDN/>
        <w:adjustRightInd/>
        <w:spacing w:after="20"/>
      </w:pPr>
    </w:p>
    <w:p w:rsidR="00466754" w:rsidRDefault="00466754" w:rsidP="00466754">
      <w:pPr>
        <w:autoSpaceDE/>
        <w:autoSpaceDN/>
        <w:adjustRightInd/>
        <w:spacing w:after="20"/>
      </w:pPr>
      <w:r>
        <w:t>These exceptional challenges and demands, particularly those involving the County Council's former arrangements with OCL, have had a major impact on the work of Executive Directors and Senior Managers and have diverted significant senior management time away from core tasks.</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issues that have emerged over recent months, resulting in the fundamental re-negotiation of the Council's strategic partnership with BT, suggest that the Chief Internal Auditor's opinion for 2012/13, that the Council's system of internal controls was substantial, must now be regarded as debatable in view of the adequacy of controls for which OCL were responsible, as demonstrated in the current Annual Report.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Meanwhile a number of key aspects of the report for 2013/14 which relate to high risk areas of operation can be attributed to failures in the delivery of services by OCL. These have now been addressed by the renegotiation of the Strategic Partnership arrangement with BT and the consequent return of many key services to the Council. The actions taken will result in improved performance and an improved control environment whilst at the same time delivering savings. As the Chief Internal Auditor's Annual Report notes, these issues alone, which correctly identify weaknesses in the Council's control environment that inevitably lead to the conclusion that only limited assurance can be provided in the 2013/14 report.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Other issues identified in the Annual Report for 2013/14 have already been addressed, Executive Directors having reported remedial actions to the Audit and Governance Committee. However, it is important to note that these remedial actions do not form part of the current assurance judgement as whilst action plans have been agreed with Internal Audit, the implementation of them has yet to </w:t>
      </w:r>
      <w:r>
        <w:lastRenderedPageBreak/>
        <w:t xml:space="preserve">be audited to enable the Chief Internal Auditor to satisfy herself that her concerns have been addressed. It is intended that this work will now form part of the Chief Internal Auditor's Audit Plan for 2014/15 and that there will be regular reports to Management Team to ensure that the Council's control environment is sound and applied consistently to ensure the successful delivery of corporate objectives.  </w:t>
      </w:r>
    </w:p>
    <w:p w:rsidR="00EF2C56" w:rsidRDefault="00EF2C56" w:rsidP="00466754">
      <w:pPr>
        <w:autoSpaceDE/>
        <w:autoSpaceDN/>
        <w:adjustRightInd/>
        <w:spacing w:after="20"/>
      </w:pPr>
    </w:p>
    <w:p w:rsidR="00EF2C56" w:rsidRDefault="00EF2C56" w:rsidP="00466754">
      <w:pPr>
        <w:autoSpaceDE/>
        <w:autoSpaceDN/>
        <w:adjustRightInd/>
        <w:spacing w:after="20"/>
      </w:pPr>
    </w:p>
    <w:p w:rsidR="00EF2C56" w:rsidRDefault="00EF2C56" w:rsidP="00466754">
      <w:pPr>
        <w:autoSpaceDE/>
        <w:autoSpaceDN/>
        <w:adjustRightInd/>
        <w:spacing w:after="20"/>
      </w:pPr>
    </w:p>
    <w:p w:rsidR="00466754" w:rsidRPr="00EF2C56" w:rsidRDefault="00466754" w:rsidP="00466754">
      <w:pPr>
        <w:autoSpaceDE/>
        <w:autoSpaceDN/>
        <w:adjustRightInd/>
        <w:spacing w:after="20"/>
        <w:rPr>
          <w:rFonts w:ascii="Corbel" w:eastAsia="Times New Roman" w:hAnsi="Corbel"/>
          <w:b/>
          <w:bCs/>
          <w:color w:val="D31145"/>
          <w:sz w:val="32"/>
          <w:szCs w:val="26"/>
        </w:rPr>
      </w:pPr>
      <w:r w:rsidRPr="00EF2C56">
        <w:rPr>
          <w:rFonts w:ascii="Corbel" w:eastAsia="Times New Roman" w:hAnsi="Corbel"/>
          <w:b/>
          <w:bCs/>
          <w:color w:val="D31145"/>
          <w:sz w:val="32"/>
          <w:szCs w:val="26"/>
        </w:rPr>
        <w:t>Decision-making and conduct</w:t>
      </w:r>
    </w:p>
    <w:p w:rsidR="00466754" w:rsidRDefault="00466754" w:rsidP="00466754">
      <w:pPr>
        <w:autoSpaceDE/>
        <w:autoSpaceDN/>
        <w:adjustRightInd/>
        <w:spacing w:after="20"/>
      </w:pPr>
    </w:p>
    <w:p w:rsidR="00466754" w:rsidRDefault="00466754" w:rsidP="00466754">
      <w:pPr>
        <w:autoSpaceDE/>
        <w:autoSpaceDN/>
        <w:adjustRightInd/>
        <w:spacing w:after="20"/>
      </w:pPr>
      <w:r>
        <w:t>The council operates a leader and cabinet model of executive government with a Cabinet of eight members including the Leader and Deputy Leader of the Council. The responsibilities of the individual Cabinet Members are outlined in the council's constitution. However, Full Council has agreed that a fundamental review be undertaken o</w:t>
      </w:r>
      <w:r w:rsidR="004A4B0F">
        <w:t>f</w:t>
      </w:r>
      <w:r>
        <w:t xml:space="preserve"> the Council's current political governance arrangements to consider whether there is a justifiable case for the adoption of a committee system or a form of "hybrid" model, which has started to be seen in some local authorities, or the retention of the Cabinet model. For that purpose Full Council agreed to establish a cross party member/officer working group which will report back to Full Council in December, identifying possible options tested against a number of design principles and in particular taking into account the impact of the implementation of the Council's new operating structure.</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scheme of delegation to officers is intended to enable decisions to be taken at the most appropriate and effective level. The Scheme of Delegation, along with the council's Financial Regulations, are to be reviewed to ensure that they remain effective.  However, Full Council has approved in principle changes to the current Scheme such that chief officers would have delegated authority to take all decisions within their area of responsibility, other than matters reserved to Cabinet/Cabinet Members/committees. This significant change in approach will be one of the issues looked at in the context of the possible introduction of a new governance model and the Council's new operating structure. </w:t>
      </w:r>
    </w:p>
    <w:p w:rsidR="00466754" w:rsidRDefault="00466754" w:rsidP="00466754">
      <w:pPr>
        <w:autoSpaceDE/>
        <w:autoSpaceDN/>
        <w:adjustRightInd/>
        <w:spacing w:after="20"/>
      </w:pPr>
    </w:p>
    <w:p w:rsidR="00466754" w:rsidRDefault="00466754" w:rsidP="00466754">
      <w:pPr>
        <w:autoSpaceDE/>
        <w:autoSpaceDN/>
        <w:adjustRightInd/>
        <w:spacing w:after="20"/>
      </w:pPr>
      <w:r>
        <w:t>The Council operates a decision making protocol, which is regularly reviewed to ensure the legal and financial probity of decisions of the Council, the executive and committees.  New software has been introduced to support consistency and good governance in decision making. Decision making rules are clearly outlined within the Council's constitution.</w:t>
      </w:r>
    </w:p>
    <w:p w:rsidR="00466754" w:rsidRDefault="00466754" w:rsidP="00466754">
      <w:pPr>
        <w:autoSpaceDE/>
        <w:autoSpaceDN/>
        <w:adjustRightInd/>
        <w:spacing w:after="20"/>
      </w:pPr>
    </w:p>
    <w:p w:rsidR="00466754" w:rsidRDefault="00466754" w:rsidP="00466754">
      <w:pPr>
        <w:autoSpaceDE/>
        <w:autoSpaceDN/>
        <w:adjustRightInd/>
        <w:spacing w:after="20"/>
      </w:pPr>
      <w:r>
        <w:t>The code of conduct for members and the terms of reference of some of the council's committees were revised during 2012/13 to reflect changes to the governance arrangements arising from the Localism Act 2011. The former Standards Committee was disestablished and complaints under the Code are now initially considered under delegated powers and, where necessary, referred to a Conduct Committee.  Councillors and staff are reminded of the requirements on a regular basis. The council also has a protocol for councillor/officer relations.</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CA35D0" w:rsidRDefault="00CA35D0" w:rsidP="00466754">
      <w:pPr>
        <w:autoSpaceDE/>
        <w:autoSpaceDN/>
        <w:adjustRightInd/>
        <w:spacing w:after="20"/>
        <w:rPr>
          <w:rFonts w:ascii="Corbel" w:eastAsia="Times New Roman" w:hAnsi="Corbel"/>
          <w:b/>
          <w:bCs/>
          <w:color w:val="D31145"/>
          <w:sz w:val="32"/>
          <w:szCs w:val="26"/>
        </w:rPr>
      </w:pPr>
    </w:p>
    <w:p w:rsidR="00CA35D0" w:rsidRDefault="00CA35D0" w:rsidP="00466754">
      <w:pPr>
        <w:autoSpaceDE/>
        <w:autoSpaceDN/>
        <w:adjustRightInd/>
        <w:spacing w:after="20"/>
        <w:rPr>
          <w:rFonts w:ascii="Corbel" w:eastAsia="Times New Roman" w:hAnsi="Corbel"/>
          <w:b/>
          <w:bCs/>
          <w:color w:val="D31145"/>
          <w:sz w:val="32"/>
          <w:szCs w:val="26"/>
        </w:rPr>
      </w:pPr>
    </w:p>
    <w:p w:rsidR="00CA35D0" w:rsidRDefault="00CA35D0" w:rsidP="00466754">
      <w:pPr>
        <w:autoSpaceDE/>
        <w:autoSpaceDN/>
        <w:adjustRightInd/>
        <w:spacing w:after="20"/>
        <w:rPr>
          <w:rFonts w:ascii="Corbel" w:eastAsia="Times New Roman" w:hAnsi="Corbel"/>
          <w:b/>
          <w:bCs/>
          <w:color w:val="D31145"/>
          <w:sz w:val="32"/>
          <w:szCs w:val="26"/>
        </w:rPr>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EF2C56" w:rsidRDefault="00466754" w:rsidP="00466754">
      <w:pPr>
        <w:autoSpaceDE/>
        <w:autoSpaceDN/>
        <w:adjustRightInd/>
        <w:spacing w:after="20"/>
        <w:rPr>
          <w:rFonts w:ascii="Corbel" w:eastAsia="Times New Roman" w:hAnsi="Corbel"/>
          <w:b/>
          <w:bCs/>
          <w:color w:val="D31145"/>
          <w:sz w:val="32"/>
          <w:szCs w:val="26"/>
        </w:rPr>
      </w:pPr>
      <w:r w:rsidRPr="00EF2C56">
        <w:rPr>
          <w:rFonts w:ascii="Corbel" w:eastAsia="Times New Roman" w:hAnsi="Corbel"/>
          <w:b/>
          <w:bCs/>
          <w:color w:val="D31145"/>
          <w:sz w:val="32"/>
          <w:szCs w:val="26"/>
        </w:rPr>
        <w:lastRenderedPageBreak/>
        <w:t xml:space="preserve">Arrangements for scrutiny </w:t>
      </w:r>
    </w:p>
    <w:p w:rsidR="00466754" w:rsidRDefault="00466754" w:rsidP="00466754">
      <w:pPr>
        <w:autoSpaceDE/>
        <w:autoSpaceDN/>
        <w:adjustRightInd/>
        <w:spacing w:after="20"/>
      </w:pPr>
    </w:p>
    <w:p w:rsidR="00466754" w:rsidRDefault="00466754" w:rsidP="00466754">
      <w:pPr>
        <w:autoSpaceDE/>
        <w:autoSpaceDN/>
        <w:adjustRightInd/>
        <w:spacing w:after="20"/>
      </w:pPr>
      <w:r>
        <w:t>The council has four scrutiny committees. The Scrutiny Committee</w:t>
      </w:r>
      <w:r w:rsidR="004A4B0F">
        <w:t>,</w:t>
      </w:r>
      <w:r>
        <w:t xml:space="preserve"> whose coverage includes the council's crime and disorder partnership and flood risk management. The Health Scrutiny Committee has the statutory role of scrutinising proposed substantial changes in health service delivery and scrutinising the work of the NHS more generally. The Education Scrutiny Committee scrutinises any issues around education.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Since May 2013 the council has also operated an Executive Scrutiny Committee which considers in advance any key decisions to be taken by Cabinet and Cabinet Members, and all other reports (non-key decisions) to be considered by Cabinet.  As part of the arrangements for this latter Committee a Budget Scrutiny Working Group has also been established to have oversight of the budget setting process. </w:t>
      </w:r>
    </w:p>
    <w:p w:rsidR="00EF2C56" w:rsidRDefault="00EF2C56" w:rsidP="00466754">
      <w:pPr>
        <w:autoSpaceDE/>
        <w:autoSpaceDN/>
        <w:adjustRightInd/>
        <w:spacing w:after="20"/>
      </w:pPr>
    </w:p>
    <w:p w:rsidR="00466754" w:rsidRDefault="00466754" w:rsidP="00466754">
      <w:pPr>
        <w:autoSpaceDE/>
        <w:autoSpaceDN/>
        <w:adjustRightInd/>
        <w:spacing w:after="20"/>
      </w:pPr>
    </w:p>
    <w:p w:rsidR="00466754" w:rsidRPr="00EF2C56" w:rsidRDefault="00466754" w:rsidP="00466754">
      <w:pPr>
        <w:autoSpaceDE/>
        <w:autoSpaceDN/>
        <w:adjustRightInd/>
        <w:spacing w:after="20"/>
        <w:rPr>
          <w:rFonts w:ascii="Corbel" w:eastAsia="Times New Roman" w:hAnsi="Corbel"/>
          <w:b/>
          <w:bCs/>
          <w:color w:val="D31145"/>
          <w:sz w:val="32"/>
          <w:szCs w:val="26"/>
        </w:rPr>
      </w:pPr>
      <w:r w:rsidRPr="00EF2C56">
        <w:rPr>
          <w:rFonts w:ascii="Corbel" w:eastAsia="Times New Roman" w:hAnsi="Corbel"/>
          <w:b/>
          <w:bCs/>
          <w:color w:val="D31145"/>
          <w:sz w:val="32"/>
          <w:szCs w:val="26"/>
        </w:rPr>
        <w:t>Financial arrangements</w:t>
      </w:r>
    </w:p>
    <w:p w:rsidR="00466754" w:rsidRDefault="00466754" w:rsidP="00466754">
      <w:pPr>
        <w:autoSpaceDE/>
        <w:autoSpaceDN/>
        <w:adjustRightInd/>
        <w:spacing w:after="20"/>
      </w:pPr>
    </w:p>
    <w:p w:rsidR="00466754" w:rsidRDefault="00466754" w:rsidP="00466754">
      <w:pPr>
        <w:autoSpaceDE/>
        <w:autoSpaceDN/>
        <w:adjustRightInd/>
        <w:spacing w:after="20"/>
      </w:pPr>
      <w:r>
        <w:t>The council's financial management arrangements conform with the governance requirements of CIPFA's 'Statement on the Role of the Chief Financial Officer in Local Government' (2010).</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County Council's financial arrangements exist within the wider context of UK public sector finance and the local government finance system. The programme of austerity measures instituted by Central Government since 2010 has resulted in a requirement for the County Council to significantly reduce the level of its annual revenue expenditure. The Council's financial planning and management arrangements have maintained robust control of expenditure and enabled resources to be set aside to support the process of adjustment to a lower level of recurrent expenditure. </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EF2C56" w:rsidRDefault="00466754" w:rsidP="00466754">
      <w:pPr>
        <w:autoSpaceDE/>
        <w:autoSpaceDN/>
        <w:adjustRightInd/>
        <w:spacing w:after="20"/>
        <w:rPr>
          <w:rFonts w:ascii="Corbel" w:eastAsia="Times New Roman" w:hAnsi="Corbel"/>
          <w:b/>
          <w:bCs/>
          <w:color w:val="D31145"/>
          <w:sz w:val="32"/>
          <w:szCs w:val="26"/>
        </w:rPr>
      </w:pPr>
      <w:r w:rsidRPr="00EF2C56">
        <w:rPr>
          <w:rFonts w:ascii="Corbel" w:eastAsia="Times New Roman" w:hAnsi="Corbel"/>
          <w:b/>
          <w:bCs/>
          <w:color w:val="D31145"/>
          <w:sz w:val="32"/>
          <w:szCs w:val="26"/>
        </w:rPr>
        <w:t>Communicating and reviewing the Council's vision for communities and service users</w:t>
      </w:r>
    </w:p>
    <w:p w:rsidR="00466754" w:rsidRDefault="00466754" w:rsidP="00466754">
      <w:pPr>
        <w:autoSpaceDE/>
        <w:autoSpaceDN/>
        <w:adjustRightInd/>
        <w:spacing w:after="20"/>
      </w:pPr>
    </w:p>
    <w:p w:rsidR="00466754" w:rsidRDefault="00466754" w:rsidP="00466754">
      <w:pPr>
        <w:autoSpaceDE/>
        <w:autoSpaceDN/>
        <w:adjustRightInd/>
        <w:spacing w:after="20"/>
      </w:pPr>
      <w:r>
        <w:t>The Council's new Administration have developed a Strategic Direction document with the intention that this is an interim statement of Policy, the intention being to develop a Corporate Strategy to sit alongside its budget for the period 2014-2017.</w:t>
      </w:r>
    </w:p>
    <w:p w:rsidR="00466754" w:rsidRDefault="00466754" w:rsidP="00466754">
      <w:pPr>
        <w:autoSpaceDE/>
        <w:autoSpaceDN/>
        <w:adjustRightInd/>
        <w:spacing w:after="20"/>
      </w:pPr>
    </w:p>
    <w:p w:rsidR="00466754" w:rsidRDefault="00466754" w:rsidP="00466754">
      <w:pPr>
        <w:autoSpaceDE/>
        <w:autoSpaceDN/>
        <w:adjustRightInd/>
        <w:spacing w:after="20"/>
      </w:pPr>
      <w:r>
        <w:t>To measure the effectiveness and delivery of the council's ambitions, the Council's Cabinet Committee on Performance Improvement regularly receives Quality of Service reports which review the performance of services against local and national indicators and are considered at meetings of Cabinet, the Chief Executive and Executive Directors. The council's Management Team is currently working to embed more effective performance measures across a wide range of its services.</w:t>
      </w:r>
    </w:p>
    <w:p w:rsidR="00466754" w:rsidRDefault="00466754" w:rsidP="00466754">
      <w:pPr>
        <w:autoSpaceDE/>
        <w:autoSpaceDN/>
        <w:adjustRightInd/>
        <w:spacing w:after="20"/>
      </w:pPr>
    </w:p>
    <w:p w:rsidR="00466754" w:rsidRDefault="00466754" w:rsidP="00466754">
      <w:pPr>
        <w:autoSpaceDE/>
        <w:autoSpaceDN/>
        <w:adjustRightInd/>
        <w:spacing w:after="20"/>
      </w:pPr>
      <w:r>
        <w:t>The council engages with the communities of Lancashire in a number of ways:</w:t>
      </w:r>
    </w:p>
    <w:p w:rsidR="00466754" w:rsidRDefault="00466754" w:rsidP="00466754">
      <w:pPr>
        <w:autoSpaceDE/>
        <w:autoSpaceDN/>
        <w:adjustRightInd/>
        <w:spacing w:after="20"/>
      </w:pPr>
    </w:p>
    <w:p w:rsidR="00466754" w:rsidRDefault="00606281" w:rsidP="00606281">
      <w:pPr>
        <w:numPr>
          <w:ilvl w:val="0"/>
          <w:numId w:val="63"/>
        </w:numPr>
        <w:autoSpaceDE/>
        <w:autoSpaceDN/>
        <w:adjustRightInd/>
        <w:spacing w:before="0" w:after="40"/>
        <w:jc w:val="left"/>
      </w:pPr>
      <w:r>
        <w:t>h</w:t>
      </w:r>
      <w:r w:rsidR="00466754">
        <w:t>igh profile communication campaigns to encourage communities to take up our services or help change behaviours;</w:t>
      </w:r>
    </w:p>
    <w:p w:rsidR="00466754" w:rsidRDefault="00606281" w:rsidP="00606281">
      <w:pPr>
        <w:numPr>
          <w:ilvl w:val="0"/>
          <w:numId w:val="63"/>
        </w:numPr>
        <w:autoSpaceDE/>
        <w:autoSpaceDN/>
        <w:adjustRightInd/>
        <w:spacing w:before="0" w:after="40"/>
        <w:jc w:val="left"/>
      </w:pPr>
      <w:r>
        <w:lastRenderedPageBreak/>
        <w:t>u</w:t>
      </w:r>
      <w:r w:rsidR="00466754">
        <w:t>se of traditional and new media channels to keep residents informed of our activities;</w:t>
      </w:r>
    </w:p>
    <w:p w:rsidR="00466754" w:rsidRDefault="00606281" w:rsidP="00606281">
      <w:pPr>
        <w:numPr>
          <w:ilvl w:val="0"/>
          <w:numId w:val="63"/>
        </w:numPr>
        <w:autoSpaceDE/>
        <w:autoSpaceDN/>
        <w:adjustRightInd/>
        <w:spacing w:before="0" w:after="40"/>
        <w:jc w:val="left"/>
      </w:pPr>
      <w:r>
        <w:t>e</w:t>
      </w:r>
      <w:r w:rsidR="00466754">
        <w:t>ncouraging elected members to use social media;</w:t>
      </w:r>
    </w:p>
    <w:p w:rsidR="00466754" w:rsidRDefault="00606281" w:rsidP="00606281">
      <w:pPr>
        <w:numPr>
          <w:ilvl w:val="0"/>
          <w:numId w:val="63"/>
        </w:numPr>
        <w:autoSpaceDE/>
        <w:autoSpaceDN/>
        <w:adjustRightInd/>
        <w:spacing w:before="0" w:after="40"/>
        <w:jc w:val="left"/>
      </w:pPr>
      <w:r>
        <w:t>w</w:t>
      </w:r>
      <w:r w:rsidR="00466754">
        <w:t xml:space="preserve">ebcasting of council and committee meetings; </w:t>
      </w:r>
    </w:p>
    <w:p w:rsidR="00466754" w:rsidRDefault="00606281" w:rsidP="00606281">
      <w:pPr>
        <w:numPr>
          <w:ilvl w:val="0"/>
          <w:numId w:val="63"/>
        </w:numPr>
        <w:autoSpaceDE/>
        <w:autoSpaceDN/>
        <w:adjustRightInd/>
        <w:spacing w:before="0" w:after="40"/>
        <w:jc w:val="left"/>
      </w:pPr>
      <w:r>
        <w:t>m</w:t>
      </w:r>
      <w:r w:rsidR="00466754">
        <w:t>ember representation on neighbourhood management boards across Lancashire;</w:t>
      </w:r>
    </w:p>
    <w:p w:rsidR="00466754" w:rsidRDefault="00606281" w:rsidP="00606281">
      <w:pPr>
        <w:numPr>
          <w:ilvl w:val="0"/>
          <w:numId w:val="63"/>
        </w:numPr>
        <w:autoSpaceDE/>
        <w:autoSpaceDN/>
        <w:adjustRightInd/>
        <w:spacing w:before="0" w:after="40"/>
        <w:jc w:val="left"/>
      </w:pPr>
      <w:r>
        <w:t>u</w:t>
      </w:r>
      <w:r w:rsidR="00466754">
        <w:t>sing our residents' panel Living in Lancashire to inform priorities and measure service experience;</w:t>
      </w:r>
    </w:p>
    <w:p w:rsidR="00466754" w:rsidRDefault="00606281" w:rsidP="00606281">
      <w:pPr>
        <w:numPr>
          <w:ilvl w:val="0"/>
          <w:numId w:val="63"/>
        </w:numPr>
        <w:autoSpaceDE/>
        <w:autoSpaceDN/>
        <w:adjustRightInd/>
        <w:spacing w:before="0" w:after="40"/>
        <w:jc w:val="left"/>
      </w:pPr>
      <w:r>
        <w:t>t</w:t>
      </w:r>
      <w:r w:rsidR="00466754">
        <w:t xml:space="preserve">alking regularly with service users and communities to understand their service needs; and </w:t>
      </w:r>
    </w:p>
    <w:p w:rsidR="00466754" w:rsidRDefault="00606281" w:rsidP="00606281">
      <w:pPr>
        <w:numPr>
          <w:ilvl w:val="0"/>
          <w:numId w:val="63"/>
        </w:numPr>
        <w:autoSpaceDE/>
        <w:autoSpaceDN/>
        <w:adjustRightInd/>
        <w:spacing w:before="0" w:after="40"/>
        <w:jc w:val="left"/>
      </w:pPr>
      <w:r>
        <w:t>c</w:t>
      </w:r>
      <w:r w:rsidR="00466754">
        <w:t>onsulting on changes we are planning to make.</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606281" w:rsidRDefault="00466754" w:rsidP="00466754">
      <w:pPr>
        <w:autoSpaceDE/>
        <w:autoSpaceDN/>
        <w:adjustRightInd/>
        <w:spacing w:after="20"/>
        <w:rPr>
          <w:rFonts w:ascii="Corbel" w:eastAsia="Times New Roman" w:hAnsi="Corbel"/>
          <w:b/>
          <w:bCs/>
          <w:color w:val="D31145"/>
          <w:sz w:val="32"/>
          <w:szCs w:val="26"/>
        </w:rPr>
      </w:pPr>
      <w:r w:rsidRPr="00606281">
        <w:rPr>
          <w:rFonts w:ascii="Corbel" w:eastAsia="Times New Roman" w:hAnsi="Corbel"/>
          <w:b/>
          <w:bCs/>
          <w:color w:val="D31145"/>
          <w:sz w:val="32"/>
          <w:szCs w:val="26"/>
        </w:rPr>
        <w:t>Whistle-blowing and counter fraud arrangements</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council has a whistle-blowing procedure in place, which has been publicised to staff. Reports on its use and outcomes are presented to the Audit and Governance Committee. The Internal Audit Service undertakes data analysis in areas likely to be susceptible to fraud, supports the biennial National Fraud Initiative data matching exercise, and provides support to managers in investigating allegations of fraud, theft or impropriety. </w:t>
      </w:r>
    </w:p>
    <w:p w:rsidR="00466754" w:rsidRDefault="00466754" w:rsidP="00466754">
      <w:pPr>
        <w:autoSpaceDE/>
        <w:autoSpaceDN/>
        <w:adjustRightInd/>
        <w:spacing w:after="20"/>
      </w:pPr>
    </w:p>
    <w:p w:rsidR="00466754" w:rsidRDefault="00466754" w:rsidP="00466754">
      <w:pPr>
        <w:autoSpaceDE/>
        <w:autoSpaceDN/>
        <w:adjustRightInd/>
        <w:spacing w:after="20"/>
      </w:pPr>
      <w:r>
        <w:t> </w:t>
      </w:r>
    </w:p>
    <w:p w:rsidR="00466754" w:rsidRPr="00606281" w:rsidRDefault="00466754" w:rsidP="00466754">
      <w:pPr>
        <w:autoSpaceDE/>
        <w:autoSpaceDN/>
        <w:adjustRightInd/>
        <w:spacing w:after="20"/>
        <w:rPr>
          <w:rFonts w:ascii="Corbel" w:eastAsia="Times New Roman" w:hAnsi="Corbel"/>
          <w:b/>
          <w:bCs/>
          <w:color w:val="D31145"/>
          <w:sz w:val="32"/>
          <w:szCs w:val="26"/>
        </w:rPr>
      </w:pPr>
      <w:r w:rsidRPr="00606281">
        <w:rPr>
          <w:rFonts w:ascii="Corbel" w:eastAsia="Times New Roman" w:hAnsi="Corbel"/>
          <w:b/>
          <w:bCs/>
          <w:color w:val="D31145"/>
          <w:sz w:val="32"/>
          <w:szCs w:val="26"/>
        </w:rPr>
        <w:t>Audit arrangements</w:t>
      </w:r>
    </w:p>
    <w:p w:rsidR="00466754" w:rsidRDefault="00466754" w:rsidP="00466754">
      <w:pPr>
        <w:autoSpaceDE/>
        <w:autoSpaceDN/>
        <w:adjustRightInd/>
        <w:spacing w:after="20"/>
      </w:pPr>
    </w:p>
    <w:p w:rsidR="00466754" w:rsidRDefault="00466754" w:rsidP="00466754">
      <w:pPr>
        <w:autoSpaceDE/>
        <w:autoSpaceDN/>
        <w:adjustRightInd/>
        <w:spacing w:after="20"/>
      </w:pPr>
      <w:r>
        <w:t>The council has an Audit and Governance Committee which operates in accordance with professional guidance and receives appropriate training. It provides independent oversight of the adequacy of the council's governance, risk management and internal control frameworks, and oversees the financial reporting process.</w:t>
      </w:r>
    </w:p>
    <w:p w:rsidR="00466754" w:rsidRDefault="00466754" w:rsidP="00466754">
      <w:pPr>
        <w:autoSpaceDE/>
        <w:autoSpaceDN/>
        <w:adjustRightInd/>
        <w:spacing w:after="20"/>
      </w:pPr>
    </w:p>
    <w:p w:rsidR="00466754" w:rsidRDefault="00466754" w:rsidP="00466754">
      <w:pPr>
        <w:autoSpaceDE/>
        <w:autoSpaceDN/>
        <w:adjustRightInd/>
        <w:spacing w:after="20"/>
      </w:pPr>
      <w:r>
        <w:t>The council has a well-regarded Internal Audit Service that operates in accordance with professional standards and is a key element of the corporate governance framework.</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Default="00466754" w:rsidP="00466754">
      <w:pPr>
        <w:autoSpaceDE/>
        <w:autoSpaceDN/>
        <w:adjustRightInd/>
        <w:spacing w:after="20"/>
      </w:pPr>
      <w:r w:rsidRPr="00606281">
        <w:rPr>
          <w:rFonts w:ascii="Corbel" w:eastAsia="Times New Roman" w:hAnsi="Corbel"/>
          <w:b/>
          <w:bCs/>
          <w:color w:val="D31145"/>
          <w:sz w:val="32"/>
          <w:szCs w:val="26"/>
        </w:rPr>
        <w:t>Risk management</w:t>
      </w:r>
      <w:r>
        <w:t xml:space="preserve">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council seeks to manage its risks well, and </w:t>
      </w:r>
      <w:r w:rsidR="004A4B0F">
        <w:t>M</w:t>
      </w:r>
      <w:r>
        <w:t xml:space="preserve">anagement </w:t>
      </w:r>
      <w:r w:rsidR="004A4B0F">
        <w:t>T</w:t>
      </w:r>
      <w:r>
        <w:t>eams across the council identify, assess and manage risks effectively. There is good general awareness of risk and the need to demonstrate risk management.</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606281" w:rsidRDefault="00466754" w:rsidP="00466754">
      <w:pPr>
        <w:autoSpaceDE/>
        <w:autoSpaceDN/>
        <w:adjustRightInd/>
        <w:spacing w:after="20"/>
        <w:rPr>
          <w:rFonts w:ascii="Corbel" w:eastAsia="Times New Roman" w:hAnsi="Corbel"/>
          <w:b/>
          <w:bCs/>
          <w:color w:val="D31145"/>
          <w:sz w:val="32"/>
          <w:szCs w:val="26"/>
        </w:rPr>
      </w:pPr>
      <w:r w:rsidRPr="00606281">
        <w:rPr>
          <w:rFonts w:ascii="Corbel" w:eastAsia="Times New Roman" w:hAnsi="Corbel"/>
          <w:b/>
          <w:bCs/>
          <w:color w:val="D31145"/>
          <w:sz w:val="32"/>
          <w:szCs w:val="26"/>
        </w:rPr>
        <w:t>Internal control</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During 2013/14, the Chief Internal Auditor provided reports to the Management Team and their senior Management Teams on progress on strengthening the County Council's internal control framework.  The Chief Internal Auditor has also regularly reported key areas of audit work to the Audit and Governance Committee which has taken an active role in reviewing the Council's internal control effectiveness. </w:t>
      </w:r>
    </w:p>
    <w:p w:rsidR="00466754" w:rsidRDefault="00466754" w:rsidP="00466754">
      <w:pPr>
        <w:autoSpaceDE/>
        <w:autoSpaceDN/>
        <w:adjustRightInd/>
        <w:spacing w:after="20"/>
      </w:pPr>
    </w:p>
    <w:p w:rsidR="007E0E9C" w:rsidRDefault="00466754" w:rsidP="00466754">
      <w:pPr>
        <w:autoSpaceDE/>
        <w:autoSpaceDN/>
        <w:adjustRightInd/>
        <w:spacing w:after="20"/>
      </w:pPr>
      <w:r>
        <w:lastRenderedPageBreak/>
        <w:t xml:space="preserve">In her Annual Report for 2012/13 the Chief Internal Auditor provided a substantial assurance overall that there was a generally sound system of internal control.  In reaching this conclusion she highlighted a number of weaknesses, and the Management Team committed itself to address those </w:t>
      </w:r>
    </w:p>
    <w:p w:rsidR="007E0E9C" w:rsidRDefault="007E0E9C" w:rsidP="00466754">
      <w:pPr>
        <w:autoSpaceDE/>
        <w:autoSpaceDN/>
        <w:adjustRightInd/>
        <w:spacing w:after="20"/>
      </w:pPr>
    </w:p>
    <w:p w:rsidR="00466754" w:rsidRDefault="00466754" w:rsidP="00466754">
      <w:pPr>
        <w:autoSpaceDE/>
        <w:autoSpaceDN/>
        <w:adjustRightInd/>
        <w:spacing w:after="20"/>
      </w:pPr>
      <w:r>
        <w:t>areas and ensure the Council was well governed. In her Annual Report of 2013/14 the Chief Internal Auditor has provided limited assurance overall on the Council's control framework.  In reaching this conclusion she has pointed to a gradual deterioration over recent years of the level of assurance she has been able to provide.  She has pointed to the previous even spread between substantial/full assurance and limited/nil assurance and that the balance has now tipped  to only limited/nil assurance now being provided over the majority of control systems for 2013/14. This change of balance is primarily accounted for by reduced assurance in lower risk areas. In summary:</w:t>
      </w:r>
    </w:p>
    <w:p w:rsidR="00466754" w:rsidRDefault="00466754" w:rsidP="00466754">
      <w:pPr>
        <w:autoSpaceDE/>
        <w:autoSpaceDN/>
        <w:adjustRightInd/>
        <w:spacing w:after="20"/>
      </w:pPr>
    </w:p>
    <w:p w:rsidR="00466754" w:rsidRDefault="00466754" w:rsidP="00606281">
      <w:pPr>
        <w:numPr>
          <w:ilvl w:val="0"/>
          <w:numId w:val="63"/>
        </w:numPr>
        <w:autoSpaceDE/>
        <w:autoSpaceDN/>
        <w:adjustRightInd/>
        <w:spacing w:before="0" w:after="40"/>
        <w:jc w:val="left"/>
      </w:pPr>
      <w:r>
        <w:t>The results of audit assignments for areas of high and moderate risk are almost evenly spread between full/ substantial assurance and limited/ nil assurance; and</w:t>
      </w:r>
    </w:p>
    <w:p w:rsidR="00466754" w:rsidRDefault="00466754" w:rsidP="00606281">
      <w:pPr>
        <w:numPr>
          <w:ilvl w:val="0"/>
          <w:numId w:val="63"/>
        </w:numPr>
        <w:autoSpaceDE/>
        <w:autoSpaceDN/>
        <w:adjustRightInd/>
        <w:spacing w:before="0" w:after="40"/>
        <w:jc w:val="left"/>
      </w:pPr>
      <w:r>
        <w:t>The number of areas of low risk given limited/ no assurance has increased significantly since 2012/13.</w:t>
      </w:r>
    </w:p>
    <w:p w:rsidR="00466754" w:rsidRDefault="00466754" w:rsidP="00466754">
      <w:pPr>
        <w:autoSpaceDE/>
        <w:autoSpaceDN/>
        <w:adjustRightInd/>
        <w:spacing w:after="20"/>
      </w:pPr>
    </w:p>
    <w:p w:rsidR="00CA35D0" w:rsidRDefault="00466754" w:rsidP="00466754">
      <w:pPr>
        <w:autoSpaceDE/>
        <w:autoSpaceDN/>
        <w:adjustRightInd/>
        <w:spacing w:after="20"/>
      </w:pPr>
      <w:r>
        <w:t>The Chief Internal Auditor has recognised that after a number of years in which management and staff resources have been reduced, services restructured, and operating processes redesigned, it is unsurprising that the council's control framework now requires more focussed management attention.</w:t>
      </w:r>
    </w:p>
    <w:p w:rsidR="00CA35D0" w:rsidRDefault="00CA35D0" w:rsidP="00466754">
      <w:pPr>
        <w:autoSpaceDE/>
        <w:autoSpaceDN/>
        <w:adjustRightInd/>
        <w:spacing w:after="20"/>
      </w:pPr>
    </w:p>
    <w:p w:rsidR="00466754" w:rsidRDefault="00466754" w:rsidP="00466754">
      <w:pPr>
        <w:autoSpaceDE/>
        <w:autoSpaceDN/>
        <w:adjustRightInd/>
        <w:spacing w:after="20"/>
      </w:pPr>
      <w:r>
        <w:t>The Chief Internal Auditor has emphasised the exceptional context and circumstances for 2013/14 in her Annual Report. Members of the senior management team, and the council's statutory officers in particular, together wi</w:t>
      </w:r>
      <w:r w:rsidR="004A4B0F">
        <w:t xml:space="preserve">th the Chief Internal Auditor, </w:t>
      </w:r>
      <w:r>
        <w:t>were obliged during 2013/14 to focus their attention on the matters exposed as two of the council's procurement processes were reviewed; the remuneration of the Chief Executive Officer of its joint venture company was discovered; the council's former Chief Executive and all of the senior managers seconded by the council to its joint venture company left the organisation; and the relationship with its strategic partner was renegotiated. The Chief Internal Auditor has concluded that these matters alone indicate fundamental weaknesses in the council's corporate governance arrangements that preclude any more favourable evaluation of the council's risk management, control and governance processes. The Chief Internal Auditor notes that although these events took place in 2013/14, the issues they exposed are rooted in decisions made and actions taken from 2010 onwards.</w:t>
      </w:r>
    </w:p>
    <w:p w:rsidR="00466754" w:rsidRDefault="00466754" w:rsidP="00466754">
      <w:pPr>
        <w:autoSpaceDE/>
        <w:autoSpaceDN/>
        <w:adjustRightInd/>
        <w:spacing w:after="20"/>
      </w:pPr>
    </w:p>
    <w:p w:rsidR="00466754" w:rsidRDefault="00466754" w:rsidP="00466754">
      <w:pPr>
        <w:autoSpaceDE/>
        <w:autoSpaceDN/>
        <w:adjustRightInd/>
        <w:spacing w:after="20"/>
      </w:pPr>
      <w:r>
        <w:t>Each of the issues raised by the Chief Internal Auditor during the year has been discussed with the relevant service managers as well as with members of the council's Management Team. Action plans have been agreed where required and will be followed up by the Audit Service.</w:t>
      </w:r>
    </w:p>
    <w:p w:rsidR="00466754" w:rsidRDefault="00466754" w:rsidP="00466754">
      <w:pPr>
        <w:autoSpaceDE/>
        <w:autoSpaceDN/>
        <w:adjustRightInd/>
        <w:spacing w:after="20"/>
      </w:pPr>
    </w:p>
    <w:p w:rsidR="00466754" w:rsidRDefault="00466754" w:rsidP="00466754">
      <w:pPr>
        <w:autoSpaceDE/>
        <w:autoSpaceDN/>
        <w:adjustRightInd/>
        <w:spacing w:after="20"/>
      </w:pPr>
      <w:r>
        <w:t>The Audit Service undertook work to ascertain progress in implementing agreed recommendations resulting from earlier years' reviews. Whilst some progress has been made to implement the action plans as agreed, the Council's major restructuring; the work associated with making significant cost savings, and the loss of management capacity, has meant that not all remedial actions have completed within the timescales intended. The Audit and Governance Committee has noted a number of these delays and received direct feedback fr</w:t>
      </w:r>
      <w:r w:rsidR="004A4B0F">
        <w:t>o</w:t>
      </w:r>
      <w:r>
        <w:t xml:space="preserve">m the relevant Executive Directors. </w:t>
      </w:r>
    </w:p>
    <w:p w:rsidR="00466754" w:rsidRDefault="00466754" w:rsidP="00466754">
      <w:pPr>
        <w:autoSpaceDE/>
        <w:autoSpaceDN/>
        <w:adjustRightInd/>
        <w:spacing w:after="20"/>
      </w:pPr>
    </w:p>
    <w:p w:rsidR="00466754" w:rsidRPr="00606281" w:rsidRDefault="00466754" w:rsidP="00466754">
      <w:pPr>
        <w:autoSpaceDE/>
        <w:autoSpaceDN/>
        <w:adjustRightInd/>
        <w:spacing w:after="20"/>
        <w:rPr>
          <w:rFonts w:ascii="Corbel" w:eastAsia="Times New Roman" w:hAnsi="Corbel"/>
          <w:b/>
          <w:bCs/>
          <w:color w:val="D31145"/>
          <w:sz w:val="32"/>
          <w:szCs w:val="26"/>
        </w:rPr>
      </w:pPr>
      <w:r w:rsidRPr="00606281">
        <w:rPr>
          <w:rFonts w:ascii="Corbel" w:eastAsia="Times New Roman" w:hAnsi="Corbel"/>
          <w:b/>
          <w:bCs/>
          <w:color w:val="D31145"/>
          <w:sz w:val="32"/>
          <w:szCs w:val="26"/>
        </w:rPr>
        <w:lastRenderedPageBreak/>
        <w:t xml:space="preserve">Key Issues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Set out below are key issues that have arisen from internal </w:t>
      </w:r>
      <w:r w:rsidR="00606281">
        <w:t xml:space="preserve">audit work. </w:t>
      </w:r>
      <w:r>
        <w:t xml:space="preserve">The Chief Internal Auditor has acknowledged that the council's Management Team is taking these issues very seriously. </w:t>
      </w:r>
    </w:p>
    <w:p w:rsidR="00466754" w:rsidRDefault="00466754" w:rsidP="00466754">
      <w:pPr>
        <w:autoSpaceDE/>
        <w:autoSpaceDN/>
        <w:adjustRightInd/>
        <w:spacing w:after="20"/>
      </w:pPr>
    </w:p>
    <w:p w:rsidR="00466754" w:rsidRDefault="00466754" w:rsidP="00466754">
      <w:pPr>
        <w:autoSpaceDE/>
        <w:autoSpaceDN/>
        <w:adjustRightInd/>
        <w:spacing w:after="20"/>
      </w:pPr>
      <w:r>
        <w:t>The Audit and Governance Committee is aware of issues around information governance and that these have been fundamentally affected by the council's relationship with OCL.   Significant progress has however been made during 2013/14 to strengthen the council's information governance arrangements and control framework, with the information governance function now being managed within Democratic Services. The Council has designated a Senior Information Risk Owner (the County Secretary &amp; Solicitor) and a Head of Information Governance has recently been appointed.  Action is being taken corporately to raise awareness amongst the council's staff of their responsibilities in relation to information governance (IG) and work is ongoing to ensure that the Council's Information Assets are properly protected and managed. Over the next 12 months a major review of the Council's IG policy framework will be undertaken to ensure it remains fit for purpose particularly in the light developing structural changes.</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Council continues to demonstrate ambition in developing its services, notwithstanding the fact that major reductions in government funding require the council to make significant cost savings.  It is recognised that there is a strong drive for improvement and, whilst some developments are be subject to delay, other key developments have taken place during the year that will improve the council's controls, including the ongoing replacement of the Integrated Social Services Information System with a system provided by </w:t>
      </w:r>
      <w:proofErr w:type="spellStart"/>
      <w:r>
        <w:t>Liquidlogic</w:t>
      </w:r>
      <w:proofErr w:type="spellEnd"/>
      <w:r>
        <w:t>.</w:t>
      </w:r>
    </w:p>
    <w:p w:rsidR="00466754" w:rsidRDefault="00466754" w:rsidP="00466754">
      <w:pPr>
        <w:autoSpaceDE/>
        <w:autoSpaceDN/>
        <w:adjustRightInd/>
        <w:spacing w:after="20"/>
      </w:pPr>
    </w:p>
    <w:p w:rsidR="00466754" w:rsidRDefault="00466754" w:rsidP="00466754">
      <w:pPr>
        <w:autoSpaceDE/>
        <w:autoSpaceDN/>
        <w:adjustRightInd/>
        <w:spacing w:after="20"/>
      </w:pPr>
      <w:r>
        <w:t>The Chief Internal Auditor has highlighted that the Council's control framework is seen to be reliant upon considerable management effort to remedy gaps as they are identified. Follow-up work on a number of areas indicates that action is not generally being taken as management intended, and that there is a need to improve a number of areas of control as highlighted below:</w:t>
      </w:r>
    </w:p>
    <w:p w:rsidR="00466754" w:rsidRDefault="00466754" w:rsidP="00466754">
      <w:pPr>
        <w:autoSpaceDE/>
        <w:autoSpaceDN/>
        <w:adjustRightInd/>
        <w:spacing w:after="20"/>
      </w:pPr>
    </w:p>
    <w:p w:rsidR="00466754" w:rsidRDefault="00466754" w:rsidP="006E641D">
      <w:pPr>
        <w:numPr>
          <w:ilvl w:val="0"/>
          <w:numId w:val="63"/>
        </w:numPr>
        <w:autoSpaceDE/>
        <w:autoSpaceDN/>
        <w:adjustRightInd/>
        <w:spacing w:before="0" w:after="40"/>
        <w:jc w:val="left"/>
      </w:pPr>
      <w:r>
        <w:t xml:space="preserve">A number of in built control and operational weaknesses have been highlighted with the Council's Oracle human resources/ payroll system.  These have resulted in a number of issues including inaccurate recording of a number of over payments to staff.  There are limitations to the reports available to managers from the Oracle human resources/payroll system which impede managers' access to useful, accurate and timely management information. Managers across the council generally lack proficiency and understanding in using the system. In view of these issues Management Team have established a Project Group to address these issues so that the system provides accurate management information and is operationally effective. </w:t>
      </w:r>
    </w:p>
    <w:p w:rsidR="00466754" w:rsidRDefault="00466754" w:rsidP="00516464">
      <w:pPr>
        <w:numPr>
          <w:ilvl w:val="0"/>
          <w:numId w:val="63"/>
        </w:numPr>
        <w:autoSpaceDE/>
        <w:autoSpaceDN/>
        <w:adjustRightInd/>
        <w:spacing w:before="0" w:after="40"/>
        <w:jc w:val="left"/>
      </w:pPr>
      <w:r>
        <w:t>Compliance with operational policy in a number of areas is not currently being achieved in practice. In particular, targets for the review of children's social care case files and the Independent Reviewing Officers' caseloads in CYP, and targets for the professional supervision of staff in ASHW are not currently being met. Work is however already under way to develop a new supervision policy framework for both ASHW and CYP.</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516464" w:rsidRDefault="00466754" w:rsidP="00466754">
      <w:pPr>
        <w:autoSpaceDE/>
        <w:autoSpaceDN/>
        <w:adjustRightInd/>
        <w:spacing w:after="20"/>
        <w:rPr>
          <w:rFonts w:ascii="Corbel" w:eastAsia="Times New Roman" w:hAnsi="Corbel"/>
          <w:b/>
          <w:bCs/>
          <w:color w:val="D31145"/>
          <w:sz w:val="32"/>
          <w:szCs w:val="26"/>
        </w:rPr>
      </w:pPr>
      <w:r w:rsidRPr="00516464">
        <w:rPr>
          <w:rFonts w:ascii="Corbel" w:eastAsia="Times New Roman" w:hAnsi="Corbel"/>
          <w:b/>
          <w:bCs/>
          <w:color w:val="D31145"/>
          <w:sz w:val="32"/>
          <w:szCs w:val="26"/>
        </w:rPr>
        <w:t>Compliance with legislation, regulations, policies and procedures</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In an organisation of the size and complexity of Lancashire County Council, it will be never be possible to provide absolute assurance that compliance with all applicable laws and regulations is </w:t>
      </w:r>
      <w:r>
        <w:lastRenderedPageBreak/>
        <w:t>achieved. However, processes are in place within individual service areas that ensure that compliance with applicable laws, regulations, policies and procedures is achieved.</w:t>
      </w:r>
    </w:p>
    <w:p w:rsidR="00CA35D0" w:rsidRDefault="00CA35D0" w:rsidP="00466754">
      <w:pPr>
        <w:autoSpaceDE/>
        <w:autoSpaceDN/>
        <w:adjustRightInd/>
        <w:spacing w:after="20"/>
        <w:rPr>
          <w:rFonts w:ascii="Corbel" w:eastAsia="Times New Roman" w:hAnsi="Corbel"/>
          <w:b/>
          <w:bCs/>
          <w:color w:val="D31145"/>
          <w:sz w:val="32"/>
          <w:szCs w:val="26"/>
        </w:rPr>
      </w:pPr>
    </w:p>
    <w:p w:rsidR="00466754" w:rsidRPr="00516464" w:rsidRDefault="00466754" w:rsidP="00466754">
      <w:pPr>
        <w:autoSpaceDE/>
        <w:autoSpaceDN/>
        <w:adjustRightInd/>
        <w:spacing w:after="20"/>
        <w:rPr>
          <w:rFonts w:ascii="Corbel" w:eastAsia="Times New Roman" w:hAnsi="Corbel"/>
          <w:b/>
          <w:bCs/>
          <w:color w:val="D31145"/>
          <w:sz w:val="32"/>
          <w:szCs w:val="26"/>
        </w:rPr>
      </w:pPr>
      <w:r w:rsidRPr="00516464">
        <w:rPr>
          <w:rFonts w:ascii="Corbel" w:eastAsia="Times New Roman" w:hAnsi="Corbel"/>
          <w:b/>
          <w:bCs/>
          <w:color w:val="D31145"/>
          <w:sz w:val="32"/>
          <w:szCs w:val="26"/>
        </w:rPr>
        <w:t>Training and development</w:t>
      </w:r>
    </w:p>
    <w:p w:rsidR="00466754" w:rsidRDefault="00466754" w:rsidP="00466754">
      <w:pPr>
        <w:autoSpaceDE/>
        <w:autoSpaceDN/>
        <w:adjustRightInd/>
        <w:spacing w:after="20"/>
      </w:pPr>
    </w:p>
    <w:p w:rsidR="00466754" w:rsidRDefault="00466754" w:rsidP="00466754">
      <w:pPr>
        <w:autoSpaceDE/>
        <w:autoSpaceDN/>
        <w:adjustRightInd/>
        <w:spacing w:after="20"/>
      </w:pPr>
      <w:r>
        <w:t>A cross-party member development working group plans and co-ordinates member development activities to meet individual and group needs. Officer training is overseen through a corporate performance and development review process.</w:t>
      </w:r>
    </w:p>
    <w:p w:rsidR="00466754" w:rsidRDefault="00466754" w:rsidP="00466754">
      <w:pPr>
        <w:autoSpaceDE/>
        <w:autoSpaceDN/>
        <w:adjustRightInd/>
        <w:spacing w:after="20"/>
      </w:pPr>
    </w:p>
    <w:p w:rsidR="00CA35D0" w:rsidRDefault="00CA35D0" w:rsidP="00466754">
      <w:pPr>
        <w:autoSpaceDE/>
        <w:autoSpaceDN/>
        <w:adjustRightInd/>
        <w:spacing w:after="20"/>
        <w:rPr>
          <w:rFonts w:ascii="Corbel" w:eastAsia="Times New Roman" w:hAnsi="Corbel"/>
          <w:b/>
          <w:bCs/>
          <w:color w:val="D31145"/>
          <w:sz w:val="32"/>
          <w:szCs w:val="26"/>
        </w:rPr>
      </w:pPr>
    </w:p>
    <w:p w:rsidR="00466754" w:rsidRDefault="00466754" w:rsidP="00466754">
      <w:pPr>
        <w:autoSpaceDE/>
        <w:autoSpaceDN/>
        <w:adjustRightInd/>
        <w:spacing w:after="20"/>
      </w:pPr>
      <w:r w:rsidRPr="00516464">
        <w:rPr>
          <w:rFonts w:ascii="Corbel" w:eastAsia="Times New Roman" w:hAnsi="Corbel"/>
          <w:b/>
          <w:bCs/>
          <w:color w:val="D31145"/>
          <w:sz w:val="32"/>
          <w:szCs w:val="26"/>
        </w:rPr>
        <w:t>Review of Effectiveness and a Programme of improvement</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council's Management Team has given serious and careful consideration to the Chief Internal Auditor's opinion in relation to its internal control environment, risk management processes and corporate governance. The Management Team continues to give a very strong commitment to ensure that basic controls are maintained and, particularly in those cases highlighted by the Annual Report of the Chief Internal Auditor, significantly improved. All outstanding actions will now form part of the Chief Internal Auditor's Audit Plan for the current year with the intention that all areas of high and moderate risk currently assessed as limited or nil assurance will achieve at least a substantial assurance assessment in the Chief Internal Auditor's report for the year ending 31 March 2015. </w:t>
      </w:r>
    </w:p>
    <w:p w:rsidR="00466754" w:rsidRDefault="00466754" w:rsidP="00466754">
      <w:pPr>
        <w:autoSpaceDE/>
        <w:autoSpaceDN/>
        <w:adjustRightInd/>
        <w:spacing w:after="20"/>
      </w:pPr>
    </w:p>
    <w:p w:rsidR="00466754" w:rsidRDefault="00466754" w:rsidP="00466754">
      <w:pPr>
        <w:autoSpaceDE/>
        <w:autoSpaceDN/>
        <w:adjustRightInd/>
        <w:spacing w:after="20"/>
      </w:pPr>
      <w:r>
        <w:t xml:space="preserve">The council's Leadership and Management Team acknowledge that the exceptional events of 2013/14 as highlighted above, particularly those set out </w:t>
      </w:r>
      <w:r w:rsidR="0037015F">
        <w:t>above,</w:t>
      </w:r>
      <w:r>
        <w:t xml:space="preserve"> have been a diversion that  has had  an impact on the Council's control environment. However, they are committed to ensuring that robust governance remains at the heart if the Council's business and will ensure that areas of concern highlighted by the Annual Report will be rectified. </w:t>
      </w:r>
    </w:p>
    <w:tbl>
      <w:tblPr>
        <w:tblW w:w="8568" w:type="dxa"/>
        <w:tblLook w:val="01E0" w:firstRow="1" w:lastRow="1" w:firstColumn="1" w:lastColumn="1" w:noHBand="0" w:noVBand="0"/>
      </w:tblPr>
      <w:tblGrid>
        <w:gridCol w:w="4284"/>
        <w:gridCol w:w="4284"/>
      </w:tblGrid>
      <w:tr w:rsidR="00144349" w:rsidRPr="002F17B5" w:rsidTr="00B70B4B">
        <w:tc>
          <w:tcPr>
            <w:tcW w:w="4284" w:type="dxa"/>
          </w:tcPr>
          <w:p w:rsidR="005011CB" w:rsidRDefault="005011CB" w:rsidP="00B70B4B">
            <w:pPr>
              <w:rPr>
                <w:b/>
              </w:rPr>
            </w:pPr>
          </w:p>
          <w:p w:rsidR="00144349" w:rsidRPr="002F17B5" w:rsidRDefault="00144349" w:rsidP="00B70B4B">
            <w:pPr>
              <w:rPr>
                <w:b/>
              </w:rPr>
            </w:pPr>
            <w:r w:rsidRPr="002F17B5">
              <w:rPr>
                <w:b/>
              </w:rPr>
              <w:t>Signed:</w:t>
            </w:r>
          </w:p>
          <w:p w:rsidR="00144349" w:rsidRDefault="00144349" w:rsidP="00B70B4B"/>
          <w:p w:rsidR="005011CB" w:rsidRDefault="005011CB" w:rsidP="00B70B4B"/>
          <w:p w:rsidR="00144349" w:rsidRPr="002F17B5" w:rsidRDefault="00144349" w:rsidP="00B70B4B"/>
          <w:p w:rsidR="005011CB" w:rsidRDefault="005011CB" w:rsidP="00B70B4B"/>
          <w:p w:rsidR="00144349" w:rsidRPr="002F17B5" w:rsidRDefault="00233576" w:rsidP="00B70B4B">
            <w:r w:rsidRPr="002F17B5">
              <w:t>Jennifer Mein</w:t>
            </w:r>
          </w:p>
          <w:p w:rsidR="00144349" w:rsidRPr="002F17B5" w:rsidRDefault="00144349" w:rsidP="00B70B4B"/>
          <w:p w:rsidR="00144349" w:rsidRPr="002F17B5" w:rsidRDefault="00144349" w:rsidP="00B70B4B">
            <w:r w:rsidRPr="002F17B5">
              <w:t>Leader of Lancashire County Council</w:t>
            </w:r>
          </w:p>
          <w:p w:rsidR="00144349" w:rsidRPr="002F17B5" w:rsidRDefault="00144349" w:rsidP="00B70B4B"/>
        </w:tc>
        <w:tc>
          <w:tcPr>
            <w:tcW w:w="4284" w:type="dxa"/>
          </w:tcPr>
          <w:p w:rsidR="00144349" w:rsidRPr="002F17B5" w:rsidRDefault="00144349" w:rsidP="00B70B4B">
            <w:pPr>
              <w:rPr>
                <w:i/>
              </w:rPr>
            </w:pPr>
          </w:p>
          <w:p w:rsidR="00144349" w:rsidRDefault="00144349" w:rsidP="00B70B4B">
            <w:pPr>
              <w:rPr>
                <w:i/>
              </w:rPr>
            </w:pPr>
          </w:p>
          <w:p w:rsidR="005011CB" w:rsidRPr="002F17B5" w:rsidRDefault="005011CB" w:rsidP="00B70B4B">
            <w:pPr>
              <w:rPr>
                <w:i/>
              </w:rPr>
            </w:pPr>
          </w:p>
          <w:p w:rsidR="00144349" w:rsidRPr="002F17B5" w:rsidRDefault="00144349" w:rsidP="00B70B4B">
            <w:pPr>
              <w:rPr>
                <w:i/>
              </w:rPr>
            </w:pPr>
          </w:p>
          <w:p w:rsidR="005011CB" w:rsidRDefault="005011CB" w:rsidP="00B70B4B"/>
          <w:p w:rsidR="005011CB" w:rsidRDefault="005011CB" w:rsidP="00B70B4B"/>
          <w:p w:rsidR="00144349" w:rsidRPr="002F17B5" w:rsidRDefault="00233576" w:rsidP="00B70B4B">
            <w:r w:rsidRPr="002F17B5">
              <w:t xml:space="preserve">Jo </w:t>
            </w:r>
            <w:proofErr w:type="spellStart"/>
            <w:r w:rsidRPr="002F17B5">
              <w:t>Turton</w:t>
            </w:r>
            <w:proofErr w:type="spellEnd"/>
          </w:p>
          <w:p w:rsidR="00144349" w:rsidRPr="002F17B5" w:rsidRDefault="00144349" w:rsidP="00B70B4B">
            <w:pPr>
              <w:rPr>
                <w:i/>
              </w:rPr>
            </w:pPr>
          </w:p>
          <w:p w:rsidR="00144349" w:rsidRPr="002F17B5" w:rsidRDefault="00144349" w:rsidP="00B70B4B">
            <w:r w:rsidRPr="002F17B5">
              <w:t>Chief Executive of Lancashire County Council</w:t>
            </w:r>
          </w:p>
          <w:p w:rsidR="00144349" w:rsidRPr="002F17B5" w:rsidRDefault="00144349" w:rsidP="00B70B4B">
            <w:pPr>
              <w:rPr>
                <w:i/>
              </w:rPr>
            </w:pPr>
          </w:p>
        </w:tc>
      </w:tr>
      <w:tr w:rsidR="00144349" w:rsidRPr="002F17B5" w:rsidTr="00B70B4B">
        <w:tc>
          <w:tcPr>
            <w:tcW w:w="4284" w:type="dxa"/>
          </w:tcPr>
          <w:p w:rsidR="00144349" w:rsidRPr="002F17B5" w:rsidRDefault="00144349" w:rsidP="00B70B4B"/>
          <w:p w:rsidR="00144349" w:rsidRPr="002F17B5" w:rsidRDefault="00144349" w:rsidP="008C3487">
            <w:r w:rsidRPr="002F17B5">
              <w:t xml:space="preserve">Date   </w:t>
            </w:r>
            <w:r w:rsidR="008C3487">
              <w:t>29</w:t>
            </w:r>
            <w:r w:rsidR="008C3487" w:rsidRPr="008C3487">
              <w:rPr>
                <w:vertAlign w:val="superscript"/>
              </w:rPr>
              <w:t>th</w:t>
            </w:r>
            <w:r w:rsidR="008C3487">
              <w:t xml:space="preserve"> September 2014</w:t>
            </w:r>
          </w:p>
        </w:tc>
        <w:tc>
          <w:tcPr>
            <w:tcW w:w="4284" w:type="dxa"/>
          </w:tcPr>
          <w:p w:rsidR="00144349" w:rsidRPr="002F17B5" w:rsidRDefault="00144349" w:rsidP="00B70B4B"/>
          <w:p w:rsidR="00144349" w:rsidRPr="002F17B5" w:rsidRDefault="00144349" w:rsidP="008C3487">
            <w:r w:rsidRPr="002F17B5">
              <w:t xml:space="preserve">Date   </w:t>
            </w:r>
            <w:r w:rsidR="008C3487">
              <w:t>29</w:t>
            </w:r>
            <w:r w:rsidR="008C3487" w:rsidRPr="008C3487">
              <w:rPr>
                <w:vertAlign w:val="superscript"/>
              </w:rPr>
              <w:t>th</w:t>
            </w:r>
            <w:r w:rsidR="008C3487">
              <w:t xml:space="preserve"> September 2014</w:t>
            </w:r>
          </w:p>
        </w:tc>
      </w:tr>
    </w:tbl>
    <w:p w:rsidR="00B70B4B" w:rsidRPr="002F17B5" w:rsidRDefault="00B70B4B">
      <w:pPr>
        <w:pStyle w:val="Heading1"/>
        <w:sectPr w:rsidR="00B70B4B" w:rsidRPr="002F17B5" w:rsidSect="008B7454">
          <w:headerReference w:type="even" r:id="rId14"/>
          <w:headerReference w:type="default" r:id="rId15"/>
          <w:footerReference w:type="default" r:id="rId16"/>
          <w:headerReference w:type="first" r:id="rId17"/>
          <w:pgSz w:w="11906" w:h="16838" w:code="9"/>
          <w:pgMar w:top="720" w:right="720" w:bottom="720" w:left="720" w:header="284" w:footer="284" w:gutter="0"/>
          <w:pgNumType w:start="1"/>
          <w:cols w:space="708"/>
          <w:docGrid w:linePitch="360"/>
        </w:sectPr>
      </w:pPr>
    </w:p>
    <w:p w:rsidR="00144349" w:rsidRPr="002F17B5" w:rsidRDefault="00824DC9" w:rsidP="00144349">
      <w:pPr>
        <w:pStyle w:val="Heading1"/>
        <w:spacing w:before="0" w:after="60"/>
        <w:rPr>
          <w:sz w:val="38"/>
        </w:rPr>
      </w:pPr>
      <w:r w:rsidRPr="002F17B5">
        <w:rPr>
          <w:sz w:val="38"/>
        </w:rPr>
        <w:lastRenderedPageBreak/>
        <w:t>Financial s</w:t>
      </w:r>
      <w:r w:rsidR="00144349" w:rsidRPr="002F17B5">
        <w:rPr>
          <w:sz w:val="38"/>
        </w:rPr>
        <w:t>tatements</w:t>
      </w:r>
    </w:p>
    <w:p w:rsidR="00144349" w:rsidRPr="002F17B5" w:rsidRDefault="00824DC9" w:rsidP="00144349">
      <w:pPr>
        <w:pStyle w:val="Heading2"/>
        <w:keepNext w:val="0"/>
        <w:spacing w:before="0" w:after="60"/>
        <w:rPr>
          <w:sz w:val="30"/>
        </w:rPr>
      </w:pPr>
      <w:r w:rsidRPr="002F17B5">
        <w:rPr>
          <w:sz w:val="30"/>
        </w:rPr>
        <w:t>Movement in Reserves S</w:t>
      </w:r>
      <w:r w:rsidR="00144349" w:rsidRPr="002F17B5">
        <w:rPr>
          <w:sz w:val="30"/>
        </w:rPr>
        <w:t xml:space="preserve">tatement </w:t>
      </w:r>
    </w:p>
    <w:p w:rsidR="00144349" w:rsidRPr="002F17B5" w:rsidRDefault="00144349" w:rsidP="003167E4">
      <w:pPr>
        <w:spacing w:after="200" w:line="192" w:lineRule="auto"/>
      </w:pPr>
      <w:r w:rsidRPr="002F17B5">
        <w:t>This statement shows the movement in the year on the different reserves held by the council, analysed into 'usable reserves' (</w:t>
      </w:r>
      <w:r w:rsidR="00B8583B" w:rsidRPr="002F17B5">
        <w:t>i.e.</w:t>
      </w:r>
      <w:r w:rsidRPr="002F17B5">
        <w:t xml:space="preserve"> those that can be applied to fund expenditure or reduce local taxation) and other reserves.  </w:t>
      </w:r>
    </w:p>
    <w:p w:rsidR="003167E4" w:rsidRDefault="00657CCB" w:rsidP="003167E4">
      <w:pPr>
        <w:spacing w:after="200" w:line="192" w:lineRule="auto"/>
      </w:pPr>
      <w:r>
        <w:t>The s</w:t>
      </w:r>
      <w:r w:rsidR="00144349" w:rsidRPr="002F17B5">
        <w:t xml:space="preserve">urplus or deficit on provision of services line shows the true economic cost of providing the council's services, more details of which are shown in the Comprehensive Income and Expenditure Statement.  These are different from the statutory amounts required to be charged to the County Fund balance for council tax setting and dwellings rent setting purposes.  </w:t>
      </w:r>
    </w:p>
    <w:p w:rsidR="003167E4" w:rsidRDefault="00144349" w:rsidP="003167E4">
      <w:pPr>
        <w:spacing w:before="0" w:after="200" w:line="192" w:lineRule="auto"/>
      </w:pPr>
      <w:r w:rsidRPr="002F17B5">
        <w:t>The Net Increase/Decrease before transfers to earmarked reserves line s</w:t>
      </w:r>
      <w:r w:rsidR="00C415D6" w:rsidRPr="002F17B5">
        <w:t>hows the statutory County Fund b</w:t>
      </w:r>
      <w:r w:rsidRPr="002F17B5">
        <w:t xml:space="preserve">alance before any discretionary transfers to or from earmarked reserves undertaken by the council. </w:t>
      </w:r>
    </w:p>
    <w:p w:rsidR="00EA4F50" w:rsidRDefault="00EA4F50" w:rsidP="003167E4">
      <w:pPr>
        <w:spacing w:before="0" w:after="200" w:line="192" w:lineRule="auto"/>
      </w:pPr>
    </w:p>
    <w:p w:rsidR="00144349" w:rsidRPr="003167E4" w:rsidRDefault="00CD4CF3" w:rsidP="003167E4">
      <w:pPr>
        <w:spacing w:before="0" w:after="200"/>
        <w:rPr>
          <w:b/>
          <w:u w:val="single"/>
        </w:rPr>
      </w:pPr>
      <w:r w:rsidRPr="003167E4">
        <w:rPr>
          <w:b/>
          <w:u w:val="single"/>
        </w:rPr>
        <w:t>2013/14</w:t>
      </w:r>
    </w:p>
    <w:tbl>
      <w:tblPr>
        <w:tblW w:w="16118" w:type="dxa"/>
        <w:jc w:val="center"/>
        <w:shd w:val="clear" w:color="auto" w:fill="FFFFFF" w:themeFill="background1"/>
        <w:tblLayout w:type="fixed"/>
        <w:tblLook w:val="04A0" w:firstRow="1" w:lastRow="0" w:firstColumn="1" w:lastColumn="0" w:noHBand="0" w:noVBand="1"/>
      </w:tblPr>
      <w:tblGrid>
        <w:gridCol w:w="5912"/>
        <w:gridCol w:w="851"/>
        <w:gridCol w:w="1276"/>
        <w:gridCol w:w="1275"/>
        <w:gridCol w:w="1134"/>
        <w:gridCol w:w="1134"/>
        <w:gridCol w:w="1134"/>
        <w:gridCol w:w="1134"/>
        <w:gridCol w:w="1134"/>
        <w:gridCol w:w="1134"/>
      </w:tblGrid>
      <w:tr w:rsidR="00144349" w:rsidRPr="002F17B5" w:rsidTr="00CA2D33">
        <w:trPr>
          <w:trHeight w:val="750"/>
          <w:jc w:val="center"/>
        </w:trPr>
        <w:tc>
          <w:tcPr>
            <w:tcW w:w="5912" w:type="dxa"/>
            <w:tcBorders>
              <w:top w:val="single" w:sz="4" w:space="0" w:color="auto"/>
              <w:left w:val="single" w:sz="4" w:space="0" w:color="auto"/>
              <w:right w:val="single" w:sz="4" w:space="0" w:color="auto"/>
            </w:tcBorders>
            <w:shd w:val="clear" w:color="auto" w:fill="FFFFFF" w:themeFill="background1"/>
            <w:vAlign w:val="bottom"/>
            <w:hideMark/>
          </w:tcPr>
          <w:p w:rsidR="00144349" w:rsidRPr="002F17B5" w:rsidRDefault="00144349" w:rsidP="00B70B4B">
            <w:pPr>
              <w:rPr>
                <w:rFonts w:ascii="Calibri" w:hAnsi="Calibri"/>
                <w:sz w:val="16"/>
                <w:szCs w:val="16"/>
              </w:rPr>
            </w:pPr>
          </w:p>
        </w:tc>
        <w:tc>
          <w:tcPr>
            <w:tcW w:w="851" w:type="dxa"/>
            <w:tcBorders>
              <w:top w:val="single" w:sz="4" w:space="0" w:color="auto"/>
              <w:left w:val="nil"/>
              <w:right w:val="single" w:sz="4" w:space="0" w:color="auto"/>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County  Fund</w:t>
            </w:r>
          </w:p>
        </w:tc>
        <w:tc>
          <w:tcPr>
            <w:tcW w:w="1276" w:type="dxa"/>
            <w:tcBorders>
              <w:top w:val="single" w:sz="4" w:space="0" w:color="auto"/>
              <w:left w:val="nil"/>
              <w:right w:val="single" w:sz="4" w:space="0" w:color="auto"/>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Earmarked Revenue Reserves</w:t>
            </w:r>
          </w:p>
        </w:tc>
        <w:tc>
          <w:tcPr>
            <w:tcW w:w="1275" w:type="dxa"/>
            <w:tcBorders>
              <w:top w:val="single" w:sz="4" w:space="0" w:color="auto"/>
              <w:left w:val="nil"/>
              <w:right w:val="single" w:sz="4" w:space="0" w:color="auto"/>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Trading Operations Reserve</w:t>
            </w:r>
          </w:p>
        </w:tc>
        <w:tc>
          <w:tcPr>
            <w:tcW w:w="1134" w:type="dxa"/>
            <w:tcBorders>
              <w:top w:val="single" w:sz="4" w:space="0" w:color="auto"/>
              <w:left w:val="nil"/>
              <w:right w:val="single" w:sz="4" w:space="0" w:color="auto"/>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Capital Funding Reserves (Revenue)</w:t>
            </w:r>
          </w:p>
        </w:tc>
        <w:tc>
          <w:tcPr>
            <w:tcW w:w="1134" w:type="dxa"/>
            <w:tcBorders>
              <w:top w:val="single" w:sz="4" w:space="0" w:color="auto"/>
              <w:left w:val="nil"/>
              <w:right w:val="nil"/>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20"/>
                <w:szCs w:val="20"/>
              </w:rPr>
              <w:t>Capital Receipts Reserve</w:t>
            </w:r>
          </w:p>
        </w:tc>
        <w:tc>
          <w:tcPr>
            <w:tcW w:w="1134" w:type="dxa"/>
            <w:tcBorders>
              <w:top w:val="single" w:sz="4" w:space="0" w:color="auto"/>
              <w:left w:val="single" w:sz="4" w:space="0" w:color="auto"/>
              <w:right w:val="nil"/>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Capital Grants Unapplied</w:t>
            </w:r>
          </w:p>
        </w:tc>
        <w:tc>
          <w:tcPr>
            <w:tcW w:w="1134" w:type="dxa"/>
            <w:tcBorders>
              <w:top w:val="single" w:sz="8" w:space="0" w:color="auto"/>
              <w:left w:val="single" w:sz="8" w:space="0" w:color="auto"/>
              <w:right w:val="single" w:sz="8" w:space="0" w:color="auto"/>
            </w:tcBorders>
            <w:shd w:val="clear" w:color="auto" w:fill="D9D9D9" w:themeFill="background1" w:themeFillShade="D9"/>
            <w:vAlign w:val="bottom"/>
            <w:hideMark/>
          </w:tcPr>
          <w:p w:rsidR="00144349" w:rsidRPr="002F17B5" w:rsidRDefault="00144349" w:rsidP="00B70B4B">
            <w:pPr>
              <w:jc w:val="center"/>
              <w:rPr>
                <w:b/>
                <w:bCs/>
                <w:sz w:val="18"/>
                <w:szCs w:val="18"/>
              </w:rPr>
            </w:pPr>
            <w:r w:rsidRPr="002F17B5">
              <w:rPr>
                <w:b/>
                <w:bCs/>
                <w:sz w:val="18"/>
                <w:szCs w:val="18"/>
              </w:rPr>
              <w:t>Total Usable Reserves</w:t>
            </w:r>
          </w:p>
        </w:tc>
        <w:tc>
          <w:tcPr>
            <w:tcW w:w="1134" w:type="dxa"/>
            <w:tcBorders>
              <w:top w:val="single" w:sz="8" w:space="0" w:color="auto"/>
              <w:left w:val="nil"/>
              <w:right w:val="single" w:sz="8" w:space="0" w:color="auto"/>
            </w:tcBorders>
            <w:shd w:val="clear" w:color="auto" w:fill="D9D9D9" w:themeFill="background1" w:themeFillShade="D9"/>
            <w:vAlign w:val="bottom"/>
            <w:hideMark/>
          </w:tcPr>
          <w:p w:rsidR="00144349" w:rsidRPr="002F17B5" w:rsidRDefault="00144349" w:rsidP="00B70B4B">
            <w:pPr>
              <w:jc w:val="center"/>
              <w:rPr>
                <w:b/>
                <w:bCs/>
                <w:sz w:val="18"/>
                <w:szCs w:val="18"/>
              </w:rPr>
            </w:pPr>
            <w:r w:rsidRPr="002F17B5">
              <w:rPr>
                <w:b/>
                <w:bCs/>
                <w:sz w:val="18"/>
                <w:szCs w:val="18"/>
              </w:rPr>
              <w:t>Total Unusable Reserves</w:t>
            </w:r>
          </w:p>
        </w:tc>
        <w:tc>
          <w:tcPr>
            <w:tcW w:w="1134" w:type="dxa"/>
            <w:tcBorders>
              <w:top w:val="single" w:sz="8" w:space="0" w:color="auto"/>
              <w:left w:val="nil"/>
              <w:right w:val="single" w:sz="8" w:space="0" w:color="auto"/>
            </w:tcBorders>
            <w:shd w:val="clear" w:color="auto" w:fill="A6A6A6" w:themeFill="background1" w:themeFillShade="A6"/>
            <w:vAlign w:val="bottom"/>
            <w:hideMark/>
          </w:tcPr>
          <w:p w:rsidR="00144349" w:rsidRPr="002F17B5" w:rsidRDefault="00144349" w:rsidP="00B70B4B">
            <w:pPr>
              <w:jc w:val="center"/>
              <w:rPr>
                <w:b/>
                <w:bCs/>
                <w:sz w:val="18"/>
                <w:szCs w:val="18"/>
              </w:rPr>
            </w:pPr>
            <w:r w:rsidRPr="002F17B5">
              <w:rPr>
                <w:b/>
                <w:bCs/>
                <w:sz w:val="18"/>
                <w:szCs w:val="18"/>
              </w:rPr>
              <w:t>Total Reserves</w:t>
            </w:r>
          </w:p>
        </w:tc>
      </w:tr>
      <w:tr w:rsidR="00144349" w:rsidRPr="002F17B5" w:rsidTr="00CA2D33">
        <w:trPr>
          <w:trHeight w:val="224"/>
          <w:jc w:val="center"/>
        </w:trPr>
        <w:tc>
          <w:tcPr>
            <w:tcW w:w="5912" w:type="dxa"/>
            <w:tcBorders>
              <w:left w:val="single" w:sz="4" w:space="0" w:color="auto"/>
              <w:bottom w:val="single" w:sz="8" w:space="0" w:color="auto"/>
              <w:right w:val="single" w:sz="4" w:space="0" w:color="auto"/>
            </w:tcBorders>
            <w:shd w:val="clear" w:color="auto" w:fill="FFFFFF" w:themeFill="background1"/>
            <w:vAlign w:val="bottom"/>
            <w:hideMark/>
          </w:tcPr>
          <w:p w:rsidR="00144349" w:rsidRPr="002F17B5" w:rsidRDefault="00144349" w:rsidP="00B70B4B">
            <w:pPr>
              <w:rPr>
                <w:rFonts w:ascii="Calibri" w:hAnsi="Calibri"/>
                <w:sz w:val="16"/>
                <w:szCs w:val="16"/>
              </w:rPr>
            </w:pPr>
          </w:p>
        </w:tc>
        <w:tc>
          <w:tcPr>
            <w:tcW w:w="851" w:type="dxa"/>
            <w:tcBorders>
              <w:left w:val="nil"/>
              <w:bottom w:val="single" w:sz="8" w:space="0" w:color="auto"/>
              <w:right w:val="single" w:sz="4" w:space="0" w:color="auto"/>
            </w:tcBorders>
            <w:shd w:val="clear" w:color="auto" w:fill="FFFFFF" w:themeFill="background1"/>
            <w:hideMark/>
          </w:tcPr>
          <w:p w:rsidR="00144349" w:rsidRPr="002F17B5" w:rsidRDefault="00144349" w:rsidP="00136D94">
            <w:pPr>
              <w:ind w:left="113"/>
              <w:jc w:val="center"/>
              <w:rPr>
                <w:b/>
                <w:bCs/>
                <w:sz w:val="18"/>
                <w:szCs w:val="18"/>
              </w:rPr>
            </w:pPr>
            <w:r w:rsidRPr="002F17B5">
              <w:rPr>
                <w:b/>
                <w:bCs/>
                <w:sz w:val="18"/>
                <w:szCs w:val="18"/>
              </w:rPr>
              <w:t xml:space="preserve"> £m </w:t>
            </w:r>
          </w:p>
        </w:tc>
        <w:tc>
          <w:tcPr>
            <w:tcW w:w="1276" w:type="dxa"/>
            <w:tcBorders>
              <w:left w:val="nil"/>
              <w:bottom w:val="single" w:sz="8" w:space="0" w:color="auto"/>
              <w:right w:val="single" w:sz="4" w:space="0" w:color="auto"/>
            </w:tcBorders>
            <w:shd w:val="clear" w:color="auto" w:fill="FFFFFF" w:themeFill="background1"/>
            <w:hideMark/>
          </w:tcPr>
          <w:p w:rsidR="00144349" w:rsidRPr="002F17B5" w:rsidRDefault="00144349" w:rsidP="00136D94">
            <w:pPr>
              <w:ind w:left="113"/>
              <w:jc w:val="center"/>
              <w:rPr>
                <w:b/>
                <w:bCs/>
                <w:sz w:val="18"/>
                <w:szCs w:val="18"/>
              </w:rPr>
            </w:pPr>
            <w:r w:rsidRPr="002F17B5">
              <w:rPr>
                <w:b/>
                <w:bCs/>
                <w:sz w:val="18"/>
                <w:szCs w:val="18"/>
              </w:rPr>
              <w:t>£m</w:t>
            </w:r>
          </w:p>
        </w:tc>
        <w:tc>
          <w:tcPr>
            <w:tcW w:w="1275" w:type="dxa"/>
            <w:tcBorders>
              <w:left w:val="nil"/>
              <w:bottom w:val="single" w:sz="8" w:space="0" w:color="auto"/>
              <w:right w:val="single" w:sz="4" w:space="0" w:color="auto"/>
            </w:tcBorders>
            <w:shd w:val="clear" w:color="auto" w:fill="FFFFFF" w:themeFill="background1"/>
            <w:hideMark/>
          </w:tcPr>
          <w:p w:rsidR="00144349" w:rsidRPr="002F17B5" w:rsidRDefault="00144349" w:rsidP="00136D94">
            <w:pPr>
              <w:ind w:left="113"/>
              <w:jc w:val="center"/>
              <w:rPr>
                <w:b/>
                <w:bCs/>
                <w:sz w:val="18"/>
                <w:szCs w:val="18"/>
              </w:rPr>
            </w:pPr>
            <w:r w:rsidRPr="002F17B5">
              <w:rPr>
                <w:b/>
                <w:bCs/>
                <w:sz w:val="18"/>
                <w:szCs w:val="18"/>
              </w:rPr>
              <w:t>£m</w:t>
            </w:r>
          </w:p>
        </w:tc>
        <w:tc>
          <w:tcPr>
            <w:tcW w:w="1134" w:type="dxa"/>
            <w:tcBorders>
              <w:left w:val="nil"/>
              <w:bottom w:val="single" w:sz="8" w:space="0" w:color="auto"/>
              <w:right w:val="single" w:sz="4" w:space="0" w:color="auto"/>
            </w:tcBorders>
            <w:shd w:val="clear" w:color="auto" w:fill="FFFFFF" w:themeFill="background1"/>
            <w:hideMark/>
          </w:tcPr>
          <w:p w:rsidR="00144349" w:rsidRPr="002F17B5" w:rsidRDefault="00144349" w:rsidP="00136D94">
            <w:pPr>
              <w:ind w:left="113"/>
              <w:jc w:val="center"/>
              <w:rPr>
                <w:b/>
                <w:bCs/>
                <w:sz w:val="18"/>
                <w:szCs w:val="18"/>
              </w:rPr>
            </w:pPr>
            <w:r w:rsidRPr="002F17B5">
              <w:rPr>
                <w:b/>
                <w:bCs/>
                <w:sz w:val="18"/>
                <w:szCs w:val="18"/>
              </w:rPr>
              <w:t>£m</w:t>
            </w:r>
          </w:p>
        </w:tc>
        <w:tc>
          <w:tcPr>
            <w:tcW w:w="1134" w:type="dxa"/>
            <w:tcBorders>
              <w:left w:val="nil"/>
              <w:bottom w:val="single" w:sz="8" w:space="0" w:color="auto"/>
              <w:right w:val="nil"/>
            </w:tcBorders>
            <w:shd w:val="clear" w:color="auto" w:fill="FFFFFF" w:themeFill="background1"/>
            <w:hideMark/>
          </w:tcPr>
          <w:p w:rsidR="00144349" w:rsidRPr="002F17B5" w:rsidRDefault="00144349" w:rsidP="00136D94">
            <w:pPr>
              <w:ind w:left="113"/>
              <w:jc w:val="center"/>
              <w:rPr>
                <w:b/>
                <w:bCs/>
                <w:sz w:val="18"/>
                <w:szCs w:val="18"/>
              </w:rPr>
            </w:pPr>
            <w:r w:rsidRPr="002F17B5">
              <w:rPr>
                <w:b/>
                <w:bCs/>
                <w:sz w:val="18"/>
                <w:szCs w:val="18"/>
              </w:rPr>
              <w:t>£m</w:t>
            </w:r>
          </w:p>
        </w:tc>
        <w:tc>
          <w:tcPr>
            <w:tcW w:w="1134" w:type="dxa"/>
            <w:tcBorders>
              <w:left w:val="single" w:sz="4" w:space="0" w:color="auto"/>
              <w:bottom w:val="single" w:sz="8" w:space="0" w:color="auto"/>
              <w:right w:val="nil"/>
            </w:tcBorders>
            <w:shd w:val="clear" w:color="auto" w:fill="FFFFFF" w:themeFill="background1"/>
            <w:hideMark/>
          </w:tcPr>
          <w:p w:rsidR="00144349" w:rsidRPr="002F17B5" w:rsidRDefault="00144349" w:rsidP="00136D94">
            <w:pPr>
              <w:ind w:left="113"/>
              <w:jc w:val="center"/>
              <w:rPr>
                <w:b/>
                <w:bCs/>
                <w:sz w:val="18"/>
                <w:szCs w:val="18"/>
              </w:rPr>
            </w:pPr>
            <w:r w:rsidRPr="002F17B5">
              <w:rPr>
                <w:b/>
                <w:bCs/>
                <w:sz w:val="18"/>
                <w:szCs w:val="18"/>
              </w:rPr>
              <w:t>£m</w:t>
            </w:r>
          </w:p>
        </w:tc>
        <w:tc>
          <w:tcPr>
            <w:tcW w:w="1134" w:type="dxa"/>
            <w:tcBorders>
              <w:left w:val="single" w:sz="8" w:space="0" w:color="auto"/>
              <w:bottom w:val="single" w:sz="8" w:space="0" w:color="auto"/>
              <w:right w:val="single" w:sz="8" w:space="0" w:color="auto"/>
            </w:tcBorders>
            <w:shd w:val="clear" w:color="auto" w:fill="D9D9D9" w:themeFill="background1" w:themeFillShade="D9"/>
            <w:hideMark/>
          </w:tcPr>
          <w:p w:rsidR="00144349" w:rsidRPr="002F17B5" w:rsidRDefault="00144349" w:rsidP="00136D94">
            <w:pPr>
              <w:ind w:left="113"/>
              <w:jc w:val="center"/>
              <w:rPr>
                <w:b/>
                <w:bCs/>
                <w:sz w:val="18"/>
                <w:szCs w:val="18"/>
              </w:rPr>
            </w:pPr>
            <w:r w:rsidRPr="002F17B5">
              <w:rPr>
                <w:b/>
                <w:bCs/>
                <w:sz w:val="18"/>
                <w:szCs w:val="18"/>
              </w:rPr>
              <w:t>£m</w:t>
            </w:r>
          </w:p>
        </w:tc>
        <w:tc>
          <w:tcPr>
            <w:tcW w:w="1134" w:type="dxa"/>
            <w:tcBorders>
              <w:left w:val="nil"/>
              <w:bottom w:val="single" w:sz="8" w:space="0" w:color="auto"/>
              <w:right w:val="single" w:sz="8" w:space="0" w:color="auto"/>
            </w:tcBorders>
            <w:shd w:val="clear" w:color="auto" w:fill="D9D9D9" w:themeFill="background1" w:themeFillShade="D9"/>
            <w:hideMark/>
          </w:tcPr>
          <w:p w:rsidR="00144349" w:rsidRPr="002F17B5" w:rsidRDefault="00144349" w:rsidP="00136D94">
            <w:pPr>
              <w:ind w:left="113"/>
              <w:jc w:val="center"/>
              <w:rPr>
                <w:b/>
                <w:bCs/>
                <w:sz w:val="18"/>
                <w:szCs w:val="18"/>
              </w:rPr>
            </w:pPr>
            <w:r w:rsidRPr="002F17B5">
              <w:rPr>
                <w:b/>
                <w:bCs/>
                <w:sz w:val="18"/>
                <w:szCs w:val="18"/>
              </w:rPr>
              <w:t>£m</w:t>
            </w:r>
          </w:p>
        </w:tc>
        <w:tc>
          <w:tcPr>
            <w:tcW w:w="1134" w:type="dxa"/>
            <w:tcBorders>
              <w:left w:val="nil"/>
              <w:bottom w:val="single" w:sz="8" w:space="0" w:color="auto"/>
              <w:right w:val="single" w:sz="8" w:space="0" w:color="auto"/>
            </w:tcBorders>
            <w:shd w:val="clear" w:color="auto" w:fill="A6A6A6" w:themeFill="background1" w:themeFillShade="A6"/>
            <w:hideMark/>
          </w:tcPr>
          <w:p w:rsidR="00144349" w:rsidRPr="002F17B5" w:rsidRDefault="00144349" w:rsidP="00136D94">
            <w:pPr>
              <w:ind w:left="113"/>
              <w:jc w:val="center"/>
              <w:rPr>
                <w:b/>
                <w:bCs/>
                <w:sz w:val="18"/>
                <w:szCs w:val="18"/>
              </w:rPr>
            </w:pPr>
            <w:r w:rsidRPr="002F17B5">
              <w:rPr>
                <w:b/>
                <w:bCs/>
                <w:sz w:val="18"/>
                <w:szCs w:val="18"/>
              </w:rPr>
              <w:t>£m</w:t>
            </w:r>
          </w:p>
        </w:tc>
      </w:tr>
      <w:tr w:rsidR="00F70955" w:rsidRPr="002F17B5" w:rsidTr="00CA2D33">
        <w:trPr>
          <w:trHeight w:val="315"/>
          <w:jc w:val="center"/>
        </w:trPr>
        <w:tc>
          <w:tcPr>
            <w:tcW w:w="5912" w:type="dxa"/>
            <w:tcBorders>
              <w:top w:val="single" w:sz="8" w:space="0" w:color="auto"/>
              <w:left w:val="single" w:sz="4" w:space="0" w:color="auto"/>
              <w:bottom w:val="single" w:sz="4" w:space="0" w:color="auto"/>
              <w:right w:val="single" w:sz="4" w:space="0" w:color="auto"/>
            </w:tcBorders>
            <w:shd w:val="clear" w:color="auto" w:fill="FFFFFF" w:themeFill="background1"/>
            <w:vAlign w:val="bottom"/>
            <w:hideMark/>
          </w:tcPr>
          <w:p w:rsidR="00F70955" w:rsidRPr="002F17B5" w:rsidRDefault="00F70955" w:rsidP="00B70B4B">
            <w:pPr>
              <w:rPr>
                <w:b/>
                <w:bCs/>
                <w:sz w:val="18"/>
                <w:szCs w:val="18"/>
              </w:rPr>
            </w:pPr>
            <w:r w:rsidRPr="002F17B5">
              <w:rPr>
                <w:b/>
                <w:bCs/>
                <w:sz w:val="18"/>
                <w:szCs w:val="18"/>
              </w:rPr>
              <w:t xml:space="preserve">Balance at 1st April 2013 </w:t>
            </w:r>
          </w:p>
        </w:tc>
        <w:tc>
          <w:tcPr>
            <w:tcW w:w="851"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F70955" w:rsidRPr="002F17B5" w:rsidRDefault="00F70955">
            <w:pPr>
              <w:jc w:val="right"/>
              <w:rPr>
                <w:rFonts w:cs="Arial"/>
                <w:b/>
                <w:sz w:val="18"/>
                <w:szCs w:val="18"/>
              </w:rPr>
            </w:pPr>
            <w:r w:rsidRPr="002F17B5">
              <w:rPr>
                <w:rFonts w:cs="Arial"/>
                <w:b/>
                <w:sz w:val="18"/>
                <w:szCs w:val="18"/>
              </w:rPr>
              <w:t>(36.0)</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F70955" w:rsidRPr="002F17B5" w:rsidRDefault="00F70955">
            <w:pPr>
              <w:jc w:val="right"/>
              <w:rPr>
                <w:rFonts w:cs="Arial"/>
                <w:b/>
                <w:sz w:val="18"/>
                <w:szCs w:val="18"/>
              </w:rPr>
            </w:pPr>
            <w:r w:rsidRPr="002F17B5">
              <w:rPr>
                <w:rFonts w:cs="Arial"/>
                <w:b/>
                <w:sz w:val="18"/>
                <w:szCs w:val="18"/>
              </w:rPr>
              <w:t>(255.4)</w:t>
            </w:r>
          </w:p>
        </w:tc>
        <w:tc>
          <w:tcPr>
            <w:tcW w:w="1275"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F70955" w:rsidRPr="002F17B5" w:rsidRDefault="00F70955">
            <w:pPr>
              <w:jc w:val="right"/>
              <w:rPr>
                <w:rFonts w:cs="Arial"/>
                <w:b/>
                <w:sz w:val="18"/>
                <w:szCs w:val="18"/>
              </w:rPr>
            </w:pPr>
            <w:r w:rsidRPr="002F17B5">
              <w:rPr>
                <w:rFonts w:cs="Arial"/>
                <w:b/>
                <w:sz w:val="18"/>
                <w:szCs w:val="18"/>
              </w:rPr>
              <w:t>(3.1)</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F70955" w:rsidRPr="002F17B5" w:rsidRDefault="00F70955">
            <w:pPr>
              <w:jc w:val="right"/>
              <w:rPr>
                <w:rFonts w:cs="Arial"/>
                <w:b/>
                <w:sz w:val="18"/>
                <w:szCs w:val="18"/>
              </w:rPr>
            </w:pPr>
            <w:r w:rsidRPr="002F17B5">
              <w:rPr>
                <w:rFonts w:cs="Arial"/>
                <w:b/>
                <w:sz w:val="18"/>
                <w:szCs w:val="18"/>
              </w:rPr>
              <w:t>(43.7)</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F70955" w:rsidRPr="002F17B5" w:rsidRDefault="00F70955">
            <w:pPr>
              <w:jc w:val="right"/>
              <w:rPr>
                <w:rFonts w:cs="Arial"/>
                <w:b/>
                <w:sz w:val="18"/>
                <w:szCs w:val="18"/>
              </w:rPr>
            </w:pPr>
            <w:r w:rsidRPr="002F17B5">
              <w:rPr>
                <w:rFonts w:cs="Arial"/>
                <w:b/>
                <w:sz w:val="18"/>
                <w:szCs w:val="18"/>
              </w:rPr>
              <w:t>(26.6)</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F70955" w:rsidRPr="002F17B5" w:rsidRDefault="00F70955">
            <w:pPr>
              <w:jc w:val="right"/>
              <w:rPr>
                <w:rFonts w:cs="Arial"/>
                <w:b/>
                <w:sz w:val="18"/>
                <w:szCs w:val="18"/>
              </w:rPr>
            </w:pPr>
            <w:r w:rsidRPr="002F17B5">
              <w:rPr>
                <w:rFonts w:cs="Arial"/>
                <w:b/>
                <w:sz w:val="18"/>
                <w:szCs w:val="18"/>
              </w:rPr>
              <w:t>(92.1)</w:t>
            </w:r>
          </w:p>
        </w:tc>
        <w:tc>
          <w:tcPr>
            <w:tcW w:w="1134" w:type="dxa"/>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F70955" w:rsidRPr="002F17B5" w:rsidRDefault="00F70955">
            <w:pPr>
              <w:jc w:val="right"/>
              <w:rPr>
                <w:rFonts w:cs="Arial"/>
                <w:b/>
                <w:sz w:val="18"/>
                <w:szCs w:val="18"/>
              </w:rPr>
            </w:pPr>
            <w:r w:rsidRPr="002F17B5">
              <w:rPr>
                <w:rFonts w:cs="Arial"/>
                <w:b/>
                <w:sz w:val="18"/>
                <w:szCs w:val="18"/>
              </w:rPr>
              <w:t>(456.9)</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F70955" w:rsidRPr="002F17B5" w:rsidRDefault="00F70955">
            <w:pPr>
              <w:jc w:val="right"/>
              <w:rPr>
                <w:rFonts w:cs="Arial"/>
                <w:b/>
                <w:sz w:val="18"/>
                <w:szCs w:val="18"/>
              </w:rPr>
            </w:pPr>
            <w:r w:rsidRPr="002F17B5">
              <w:rPr>
                <w:rFonts w:cs="Arial"/>
                <w:b/>
                <w:sz w:val="18"/>
                <w:szCs w:val="18"/>
              </w:rPr>
              <w:t>(406.8)</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rsidR="00F70955" w:rsidRPr="002F17B5" w:rsidRDefault="00F70955">
            <w:pPr>
              <w:jc w:val="right"/>
              <w:rPr>
                <w:rFonts w:cs="Arial"/>
                <w:b/>
                <w:bCs/>
                <w:sz w:val="18"/>
                <w:szCs w:val="18"/>
              </w:rPr>
            </w:pPr>
            <w:r w:rsidRPr="002F17B5">
              <w:rPr>
                <w:rFonts w:cs="Arial"/>
                <w:b/>
                <w:bCs/>
                <w:sz w:val="18"/>
                <w:szCs w:val="18"/>
              </w:rPr>
              <w:t>(863.7)</w:t>
            </w:r>
          </w:p>
        </w:tc>
      </w:tr>
      <w:tr w:rsidR="00144349" w:rsidRPr="002F17B5" w:rsidTr="00CA2D33">
        <w:trPr>
          <w:trHeight w:val="379"/>
          <w:jc w:val="center"/>
        </w:trPr>
        <w:tc>
          <w:tcPr>
            <w:tcW w:w="5912" w:type="dxa"/>
            <w:tcBorders>
              <w:top w:val="single" w:sz="4" w:space="0" w:color="auto"/>
              <w:left w:val="single" w:sz="4" w:space="0" w:color="auto"/>
              <w:bottom w:val="nil"/>
              <w:right w:val="single" w:sz="4" w:space="0" w:color="auto"/>
            </w:tcBorders>
            <w:shd w:val="clear" w:color="auto" w:fill="FFFFFF" w:themeFill="background1"/>
            <w:vAlign w:val="bottom"/>
            <w:hideMark/>
          </w:tcPr>
          <w:p w:rsidR="00144349" w:rsidRPr="002F17B5" w:rsidRDefault="00144349" w:rsidP="00B70B4B">
            <w:pPr>
              <w:rPr>
                <w:rFonts w:cs="Arial"/>
                <w:sz w:val="18"/>
                <w:szCs w:val="18"/>
                <w:u w:val="single"/>
              </w:rPr>
            </w:pPr>
            <w:r w:rsidRPr="002F17B5">
              <w:rPr>
                <w:rFonts w:cs="Arial"/>
                <w:sz w:val="18"/>
                <w:szCs w:val="18"/>
                <w:u w:val="single"/>
              </w:rPr>
              <w:t xml:space="preserve">Movement in Reserves During </w:t>
            </w:r>
            <w:r w:rsidR="00CD4CF3" w:rsidRPr="002F17B5">
              <w:rPr>
                <w:rFonts w:cs="Arial"/>
                <w:sz w:val="18"/>
                <w:szCs w:val="18"/>
                <w:u w:val="single"/>
              </w:rPr>
              <w:t>2013/14</w:t>
            </w:r>
          </w:p>
        </w:tc>
        <w:tc>
          <w:tcPr>
            <w:tcW w:w="851" w:type="dxa"/>
            <w:tcBorders>
              <w:top w:val="single" w:sz="4" w:space="0" w:color="auto"/>
              <w:left w:val="nil"/>
              <w:bottom w:val="nil"/>
              <w:right w:val="single" w:sz="4" w:space="0" w:color="auto"/>
            </w:tcBorders>
            <w:shd w:val="clear" w:color="auto" w:fill="FFFFFF" w:themeFill="background1"/>
            <w:noWrap/>
            <w:vAlign w:val="bottom"/>
            <w:hideMark/>
          </w:tcPr>
          <w:p w:rsidR="00144349" w:rsidRPr="002F17B5" w:rsidRDefault="00144349" w:rsidP="00B70B4B">
            <w:pPr>
              <w:rPr>
                <w:rFonts w:cs="Arial"/>
                <w:sz w:val="18"/>
                <w:szCs w:val="18"/>
              </w:rPr>
            </w:pPr>
          </w:p>
        </w:tc>
        <w:tc>
          <w:tcPr>
            <w:tcW w:w="1276" w:type="dxa"/>
            <w:tcBorders>
              <w:top w:val="single" w:sz="4" w:space="0" w:color="auto"/>
              <w:left w:val="nil"/>
              <w:bottom w:val="nil"/>
              <w:right w:val="single" w:sz="4" w:space="0" w:color="auto"/>
            </w:tcBorders>
            <w:shd w:val="clear" w:color="auto" w:fill="FFFFFF" w:themeFill="background1"/>
            <w:noWrap/>
            <w:vAlign w:val="bottom"/>
            <w:hideMark/>
          </w:tcPr>
          <w:p w:rsidR="00144349" w:rsidRPr="002F17B5" w:rsidRDefault="00144349" w:rsidP="00B70B4B">
            <w:pPr>
              <w:rPr>
                <w:rFonts w:cs="Arial"/>
                <w:sz w:val="18"/>
                <w:szCs w:val="18"/>
              </w:rPr>
            </w:pPr>
          </w:p>
        </w:tc>
        <w:tc>
          <w:tcPr>
            <w:tcW w:w="1275" w:type="dxa"/>
            <w:tcBorders>
              <w:top w:val="single" w:sz="4" w:space="0" w:color="auto"/>
              <w:left w:val="nil"/>
              <w:bottom w:val="nil"/>
              <w:right w:val="single" w:sz="4" w:space="0" w:color="auto"/>
            </w:tcBorders>
            <w:shd w:val="clear" w:color="auto" w:fill="FFFFFF" w:themeFill="background1"/>
            <w:noWrap/>
            <w:vAlign w:val="bottom"/>
            <w:hideMark/>
          </w:tcPr>
          <w:p w:rsidR="00144349" w:rsidRPr="002F17B5" w:rsidRDefault="00144349" w:rsidP="00B70B4B">
            <w:pPr>
              <w:rPr>
                <w:rFonts w:cs="Arial"/>
                <w:sz w:val="18"/>
                <w:szCs w:val="18"/>
              </w:rPr>
            </w:pPr>
          </w:p>
        </w:tc>
        <w:tc>
          <w:tcPr>
            <w:tcW w:w="1134" w:type="dxa"/>
            <w:tcBorders>
              <w:top w:val="single" w:sz="4" w:space="0" w:color="auto"/>
              <w:left w:val="nil"/>
              <w:bottom w:val="nil"/>
              <w:right w:val="single" w:sz="4" w:space="0" w:color="auto"/>
            </w:tcBorders>
            <w:shd w:val="clear" w:color="auto" w:fill="FFFFFF" w:themeFill="background1"/>
            <w:noWrap/>
            <w:vAlign w:val="bottom"/>
            <w:hideMark/>
          </w:tcPr>
          <w:p w:rsidR="00144349" w:rsidRPr="002F17B5" w:rsidRDefault="00144349" w:rsidP="00B70B4B">
            <w:pPr>
              <w:rPr>
                <w:rFonts w:cs="Arial"/>
                <w:sz w:val="18"/>
                <w:szCs w:val="18"/>
              </w:rPr>
            </w:pPr>
          </w:p>
        </w:tc>
        <w:tc>
          <w:tcPr>
            <w:tcW w:w="1134" w:type="dxa"/>
            <w:tcBorders>
              <w:top w:val="single" w:sz="4" w:space="0" w:color="auto"/>
              <w:left w:val="nil"/>
              <w:bottom w:val="nil"/>
              <w:right w:val="nil"/>
            </w:tcBorders>
            <w:shd w:val="clear" w:color="auto" w:fill="FFFFFF" w:themeFill="background1"/>
            <w:noWrap/>
            <w:vAlign w:val="bottom"/>
            <w:hideMark/>
          </w:tcPr>
          <w:p w:rsidR="00144349" w:rsidRPr="002F17B5" w:rsidRDefault="00144349" w:rsidP="00B70B4B">
            <w:pPr>
              <w:rPr>
                <w:rFonts w:cs="Arial"/>
                <w:sz w:val="18"/>
                <w:szCs w:val="18"/>
              </w:rPr>
            </w:pPr>
          </w:p>
        </w:tc>
        <w:tc>
          <w:tcPr>
            <w:tcW w:w="1134" w:type="dxa"/>
            <w:tcBorders>
              <w:top w:val="single" w:sz="4" w:space="0" w:color="auto"/>
              <w:left w:val="single" w:sz="4" w:space="0" w:color="auto"/>
              <w:bottom w:val="nil"/>
              <w:right w:val="nil"/>
            </w:tcBorders>
            <w:shd w:val="clear" w:color="auto" w:fill="FFFFFF" w:themeFill="background1"/>
            <w:noWrap/>
            <w:vAlign w:val="bottom"/>
            <w:hideMark/>
          </w:tcPr>
          <w:p w:rsidR="00144349" w:rsidRPr="002F17B5" w:rsidRDefault="00144349" w:rsidP="00B70B4B">
            <w:pPr>
              <w:rPr>
                <w:rFonts w:cs="Arial"/>
                <w:sz w:val="18"/>
                <w:szCs w:val="18"/>
              </w:rPr>
            </w:pPr>
          </w:p>
        </w:tc>
        <w:tc>
          <w:tcPr>
            <w:tcW w:w="1134" w:type="dxa"/>
            <w:tcBorders>
              <w:top w:val="single" w:sz="4" w:space="0" w:color="auto"/>
              <w:left w:val="single" w:sz="8" w:space="0" w:color="auto"/>
              <w:bottom w:val="nil"/>
              <w:right w:val="single" w:sz="8" w:space="0" w:color="auto"/>
            </w:tcBorders>
            <w:shd w:val="clear" w:color="auto" w:fill="D9D9D9" w:themeFill="background1" w:themeFillShade="D9"/>
            <w:noWrap/>
            <w:vAlign w:val="bottom"/>
            <w:hideMark/>
          </w:tcPr>
          <w:p w:rsidR="00144349" w:rsidRPr="002F17B5" w:rsidRDefault="00144349" w:rsidP="00B70B4B">
            <w:pPr>
              <w:jc w:val="right"/>
              <w:rPr>
                <w:rFonts w:cs="Arial"/>
                <w:sz w:val="18"/>
                <w:szCs w:val="18"/>
              </w:rPr>
            </w:pPr>
          </w:p>
        </w:tc>
        <w:tc>
          <w:tcPr>
            <w:tcW w:w="1134" w:type="dxa"/>
            <w:tcBorders>
              <w:top w:val="single" w:sz="4" w:space="0" w:color="auto"/>
              <w:left w:val="nil"/>
              <w:bottom w:val="nil"/>
              <w:right w:val="single" w:sz="8" w:space="0" w:color="auto"/>
            </w:tcBorders>
            <w:shd w:val="clear" w:color="auto" w:fill="D9D9D9" w:themeFill="background1" w:themeFillShade="D9"/>
            <w:noWrap/>
            <w:vAlign w:val="bottom"/>
            <w:hideMark/>
          </w:tcPr>
          <w:p w:rsidR="00144349" w:rsidRPr="002F17B5" w:rsidRDefault="00144349" w:rsidP="00B70B4B">
            <w:pPr>
              <w:jc w:val="right"/>
              <w:rPr>
                <w:rFonts w:cs="Arial"/>
                <w:sz w:val="18"/>
                <w:szCs w:val="18"/>
              </w:rPr>
            </w:pPr>
          </w:p>
        </w:tc>
        <w:tc>
          <w:tcPr>
            <w:tcW w:w="1134" w:type="dxa"/>
            <w:tcBorders>
              <w:top w:val="single" w:sz="4" w:space="0" w:color="auto"/>
              <w:left w:val="nil"/>
              <w:bottom w:val="nil"/>
              <w:right w:val="single" w:sz="8" w:space="0" w:color="auto"/>
            </w:tcBorders>
            <w:shd w:val="clear" w:color="auto" w:fill="A6A6A6" w:themeFill="background1" w:themeFillShade="A6"/>
            <w:noWrap/>
            <w:vAlign w:val="bottom"/>
            <w:hideMark/>
          </w:tcPr>
          <w:p w:rsidR="00144349" w:rsidRPr="002F17B5" w:rsidRDefault="00144349" w:rsidP="00B70B4B">
            <w:pPr>
              <w:jc w:val="right"/>
              <w:rPr>
                <w:rFonts w:cs="Arial"/>
                <w:sz w:val="18"/>
                <w:szCs w:val="18"/>
              </w:rPr>
            </w:pPr>
          </w:p>
        </w:tc>
      </w:tr>
      <w:tr w:rsidR="00F70955" w:rsidRPr="002F17B5" w:rsidTr="00CA2D33">
        <w:trPr>
          <w:trHeight w:val="280"/>
          <w:jc w:val="center"/>
        </w:trPr>
        <w:tc>
          <w:tcPr>
            <w:tcW w:w="5912" w:type="dxa"/>
            <w:tcBorders>
              <w:top w:val="nil"/>
              <w:left w:val="single" w:sz="4" w:space="0" w:color="auto"/>
              <w:bottom w:val="nil"/>
              <w:right w:val="single" w:sz="4" w:space="0" w:color="auto"/>
            </w:tcBorders>
            <w:shd w:val="clear" w:color="auto" w:fill="FFFFFF" w:themeFill="background1"/>
            <w:vAlign w:val="bottom"/>
            <w:hideMark/>
          </w:tcPr>
          <w:p w:rsidR="00F70955" w:rsidRPr="002F17B5" w:rsidRDefault="00F70955" w:rsidP="00B70B4B">
            <w:pPr>
              <w:rPr>
                <w:rFonts w:cs="Arial"/>
                <w:sz w:val="18"/>
                <w:szCs w:val="18"/>
              </w:rPr>
            </w:pPr>
            <w:r w:rsidRPr="002F17B5">
              <w:rPr>
                <w:rFonts w:cs="Arial"/>
                <w:sz w:val="18"/>
                <w:szCs w:val="18"/>
              </w:rPr>
              <w:t xml:space="preserve">(Surplus) or deficit on provision of services </w:t>
            </w:r>
          </w:p>
        </w:tc>
        <w:tc>
          <w:tcPr>
            <w:tcW w:w="851" w:type="dxa"/>
            <w:tcBorders>
              <w:top w:val="nil"/>
              <w:left w:val="nil"/>
              <w:bottom w:val="nil"/>
              <w:right w:val="single" w:sz="4" w:space="0" w:color="auto"/>
            </w:tcBorders>
            <w:shd w:val="clear" w:color="auto" w:fill="FFFFFF" w:themeFill="background1"/>
            <w:noWrap/>
            <w:vAlign w:val="bottom"/>
            <w:hideMark/>
          </w:tcPr>
          <w:p w:rsidR="00F70955" w:rsidRPr="002F17B5" w:rsidRDefault="00F70955" w:rsidP="001B440C">
            <w:pPr>
              <w:jc w:val="right"/>
              <w:rPr>
                <w:rFonts w:cs="Arial"/>
                <w:sz w:val="18"/>
                <w:szCs w:val="18"/>
              </w:rPr>
            </w:pPr>
            <w:r w:rsidRPr="002F17B5">
              <w:rPr>
                <w:rFonts w:cs="Arial"/>
                <w:sz w:val="18"/>
                <w:szCs w:val="18"/>
              </w:rPr>
              <w:t>19.9</w:t>
            </w:r>
          </w:p>
        </w:tc>
        <w:tc>
          <w:tcPr>
            <w:tcW w:w="1276" w:type="dxa"/>
            <w:tcBorders>
              <w:top w:val="nil"/>
              <w:left w:val="nil"/>
              <w:bottom w:val="nil"/>
              <w:right w:val="single" w:sz="4" w:space="0" w:color="auto"/>
            </w:tcBorders>
            <w:shd w:val="clear" w:color="auto" w:fill="FFFFFF" w:themeFill="background1"/>
            <w:noWrap/>
            <w:vAlign w:val="bottom"/>
            <w:hideMark/>
          </w:tcPr>
          <w:p w:rsidR="00F70955" w:rsidRPr="002F17B5" w:rsidRDefault="00F70955" w:rsidP="001B440C">
            <w:pPr>
              <w:jc w:val="right"/>
              <w:rPr>
                <w:rFonts w:cs="Arial"/>
                <w:sz w:val="18"/>
                <w:szCs w:val="18"/>
              </w:rPr>
            </w:pPr>
            <w:r w:rsidRPr="002F17B5">
              <w:rPr>
                <w:rFonts w:cs="Arial"/>
                <w:sz w:val="18"/>
                <w:szCs w:val="18"/>
              </w:rPr>
              <w:t> </w:t>
            </w:r>
            <w:r w:rsidR="00E83DE8" w:rsidRPr="002F17B5">
              <w:rPr>
                <w:rFonts w:cs="Arial"/>
                <w:sz w:val="18"/>
                <w:szCs w:val="18"/>
              </w:rPr>
              <w:t>-</w:t>
            </w:r>
          </w:p>
        </w:tc>
        <w:tc>
          <w:tcPr>
            <w:tcW w:w="1275" w:type="dxa"/>
            <w:tcBorders>
              <w:top w:val="nil"/>
              <w:left w:val="nil"/>
              <w:bottom w:val="nil"/>
              <w:right w:val="single" w:sz="4" w:space="0" w:color="auto"/>
            </w:tcBorders>
            <w:shd w:val="clear" w:color="auto" w:fill="FFFFFF" w:themeFill="background1"/>
            <w:noWrap/>
            <w:vAlign w:val="bottom"/>
            <w:hideMark/>
          </w:tcPr>
          <w:p w:rsidR="00F70955" w:rsidRPr="002F17B5" w:rsidRDefault="00F70955" w:rsidP="001B440C">
            <w:pPr>
              <w:jc w:val="right"/>
              <w:rPr>
                <w:rFonts w:cs="Arial"/>
                <w:sz w:val="18"/>
                <w:szCs w:val="18"/>
              </w:rPr>
            </w:pPr>
            <w:r w:rsidRPr="002F17B5">
              <w:rPr>
                <w:rFonts w:cs="Arial"/>
                <w:sz w:val="18"/>
                <w:szCs w:val="18"/>
              </w:rPr>
              <w:t> </w:t>
            </w:r>
            <w:r w:rsidR="00E83DE8" w:rsidRPr="002F17B5">
              <w:rPr>
                <w:rFonts w:cs="Arial"/>
                <w:sz w:val="18"/>
                <w:szCs w:val="18"/>
              </w:rPr>
              <w:t>-</w:t>
            </w:r>
          </w:p>
        </w:tc>
        <w:tc>
          <w:tcPr>
            <w:tcW w:w="1134" w:type="dxa"/>
            <w:tcBorders>
              <w:top w:val="nil"/>
              <w:left w:val="nil"/>
              <w:bottom w:val="nil"/>
              <w:right w:val="single" w:sz="4" w:space="0" w:color="auto"/>
            </w:tcBorders>
            <w:shd w:val="clear" w:color="auto" w:fill="FFFFFF" w:themeFill="background1"/>
            <w:noWrap/>
            <w:vAlign w:val="bottom"/>
            <w:hideMark/>
          </w:tcPr>
          <w:p w:rsidR="00F70955" w:rsidRPr="002F17B5" w:rsidRDefault="00E83DE8" w:rsidP="001B440C">
            <w:pPr>
              <w:jc w:val="right"/>
              <w:rPr>
                <w:rFonts w:cs="Arial"/>
                <w:sz w:val="18"/>
                <w:szCs w:val="18"/>
              </w:rPr>
            </w:pPr>
            <w:r w:rsidRPr="002F17B5">
              <w:rPr>
                <w:rFonts w:cs="Arial"/>
                <w:sz w:val="18"/>
                <w:szCs w:val="18"/>
              </w:rPr>
              <w:t>-</w:t>
            </w:r>
            <w:r w:rsidR="00F70955" w:rsidRPr="002F17B5">
              <w:rPr>
                <w:rFonts w:cs="Arial"/>
                <w:sz w:val="18"/>
                <w:szCs w:val="18"/>
              </w:rPr>
              <w:t> </w:t>
            </w:r>
          </w:p>
        </w:tc>
        <w:tc>
          <w:tcPr>
            <w:tcW w:w="1134" w:type="dxa"/>
            <w:tcBorders>
              <w:top w:val="nil"/>
              <w:left w:val="nil"/>
              <w:bottom w:val="nil"/>
              <w:right w:val="nil"/>
            </w:tcBorders>
            <w:shd w:val="clear" w:color="auto" w:fill="FFFFFF" w:themeFill="background1"/>
            <w:noWrap/>
            <w:vAlign w:val="bottom"/>
            <w:hideMark/>
          </w:tcPr>
          <w:p w:rsidR="00F70955" w:rsidRPr="002F17B5" w:rsidRDefault="00E83DE8" w:rsidP="001B440C">
            <w:pPr>
              <w:jc w:val="right"/>
              <w:rPr>
                <w:rFonts w:cs="Arial"/>
                <w:sz w:val="18"/>
                <w:szCs w:val="18"/>
              </w:rPr>
            </w:pPr>
            <w:r w:rsidRPr="002F17B5">
              <w:rPr>
                <w:rFonts w:cs="Arial"/>
                <w:sz w:val="18"/>
                <w:szCs w:val="18"/>
              </w:rPr>
              <w:t>-</w:t>
            </w:r>
            <w:r w:rsidR="00F70955" w:rsidRPr="002F17B5">
              <w:rPr>
                <w:rFonts w:cs="Arial"/>
                <w:sz w:val="18"/>
                <w:szCs w:val="18"/>
              </w:rPr>
              <w:t> </w:t>
            </w:r>
          </w:p>
        </w:tc>
        <w:tc>
          <w:tcPr>
            <w:tcW w:w="1134" w:type="dxa"/>
            <w:tcBorders>
              <w:top w:val="nil"/>
              <w:left w:val="single" w:sz="4" w:space="0" w:color="auto"/>
              <w:bottom w:val="nil"/>
              <w:right w:val="nil"/>
            </w:tcBorders>
            <w:shd w:val="clear" w:color="auto" w:fill="FFFFFF" w:themeFill="background1"/>
            <w:noWrap/>
            <w:vAlign w:val="bottom"/>
            <w:hideMark/>
          </w:tcPr>
          <w:p w:rsidR="00F70955" w:rsidRPr="002F17B5" w:rsidRDefault="00F70955" w:rsidP="001B440C">
            <w:pPr>
              <w:jc w:val="right"/>
              <w:rPr>
                <w:rFonts w:cs="Arial"/>
                <w:sz w:val="18"/>
                <w:szCs w:val="18"/>
              </w:rPr>
            </w:pPr>
            <w:r w:rsidRPr="002F17B5">
              <w:rPr>
                <w:rFonts w:cs="Arial"/>
                <w:sz w:val="18"/>
                <w:szCs w:val="18"/>
              </w:rPr>
              <w:t> </w:t>
            </w:r>
            <w:r w:rsidR="001B440C" w:rsidRPr="002F17B5">
              <w:rPr>
                <w:rFonts w:cs="Arial"/>
                <w:sz w:val="18"/>
                <w:szCs w:val="18"/>
              </w:rPr>
              <w:t>-</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F70955" w:rsidRPr="002F17B5" w:rsidRDefault="00F70955" w:rsidP="001B440C">
            <w:pPr>
              <w:jc w:val="right"/>
              <w:rPr>
                <w:rFonts w:cs="Arial"/>
                <w:sz w:val="18"/>
                <w:szCs w:val="18"/>
              </w:rPr>
            </w:pPr>
            <w:r w:rsidRPr="002F17B5">
              <w:rPr>
                <w:rFonts w:cs="Arial"/>
                <w:sz w:val="18"/>
                <w:szCs w:val="18"/>
              </w:rPr>
              <w:t>19.9</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F70955" w:rsidRPr="002F17B5" w:rsidRDefault="001B440C" w:rsidP="001B440C">
            <w:pPr>
              <w:jc w:val="right"/>
              <w:rPr>
                <w:rFonts w:cs="Arial"/>
                <w:sz w:val="18"/>
                <w:szCs w:val="18"/>
              </w:rPr>
            </w:pPr>
            <w:r w:rsidRPr="002F17B5">
              <w:rPr>
                <w:rFonts w:cs="Arial"/>
                <w:sz w:val="18"/>
                <w:szCs w:val="18"/>
              </w:rPr>
              <w:t>-</w:t>
            </w:r>
            <w:r w:rsidR="00F70955" w:rsidRPr="002F17B5">
              <w:rPr>
                <w:rFonts w:cs="Arial"/>
                <w:sz w:val="18"/>
                <w:szCs w:val="18"/>
              </w:rPr>
              <w:t>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F70955" w:rsidRPr="002F17B5" w:rsidRDefault="00F70955" w:rsidP="001B440C">
            <w:pPr>
              <w:jc w:val="right"/>
              <w:rPr>
                <w:rFonts w:cs="Arial"/>
                <w:sz w:val="18"/>
                <w:szCs w:val="18"/>
              </w:rPr>
            </w:pPr>
            <w:r w:rsidRPr="002F17B5">
              <w:rPr>
                <w:rFonts w:cs="Arial"/>
                <w:sz w:val="18"/>
                <w:szCs w:val="18"/>
              </w:rPr>
              <w:t>19.9</w:t>
            </w:r>
          </w:p>
        </w:tc>
      </w:tr>
      <w:tr w:rsidR="00144349" w:rsidRPr="002F17B5" w:rsidTr="00CA2D33">
        <w:trPr>
          <w:trHeight w:val="284"/>
          <w:jc w:val="center"/>
        </w:trPr>
        <w:tc>
          <w:tcPr>
            <w:tcW w:w="5912" w:type="dxa"/>
            <w:tcBorders>
              <w:top w:val="nil"/>
              <w:left w:val="single" w:sz="4" w:space="0" w:color="auto"/>
              <w:right w:val="single" w:sz="4" w:space="0" w:color="auto"/>
            </w:tcBorders>
            <w:shd w:val="clear" w:color="auto" w:fill="FFFFFF" w:themeFill="background1"/>
            <w:vAlign w:val="bottom"/>
            <w:hideMark/>
          </w:tcPr>
          <w:p w:rsidR="00144349" w:rsidRPr="002F17B5" w:rsidRDefault="00144349" w:rsidP="00B70B4B">
            <w:pPr>
              <w:rPr>
                <w:rFonts w:cs="Arial"/>
                <w:sz w:val="18"/>
                <w:szCs w:val="18"/>
              </w:rPr>
            </w:pPr>
            <w:r w:rsidRPr="002F17B5">
              <w:rPr>
                <w:rFonts w:cs="Arial"/>
                <w:sz w:val="18"/>
                <w:szCs w:val="18"/>
              </w:rPr>
              <w:t>Other Comprehensive Income and Expenditure</w:t>
            </w:r>
          </w:p>
        </w:tc>
        <w:tc>
          <w:tcPr>
            <w:tcW w:w="851" w:type="dxa"/>
            <w:tcBorders>
              <w:top w:val="nil"/>
              <w:left w:val="nil"/>
              <w:right w:val="single" w:sz="4" w:space="0" w:color="auto"/>
            </w:tcBorders>
            <w:shd w:val="clear" w:color="auto" w:fill="FFFFFF" w:themeFill="background1"/>
            <w:noWrap/>
            <w:vAlign w:val="bottom"/>
            <w:hideMark/>
          </w:tcPr>
          <w:p w:rsidR="00144349" w:rsidRPr="002F17B5" w:rsidRDefault="001B440C" w:rsidP="001B440C">
            <w:pPr>
              <w:jc w:val="right"/>
              <w:rPr>
                <w:rFonts w:cs="Arial"/>
                <w:sz w:val="18"/>
                <w:szCs w:val="18"/>
              </w:rPr>
            </w:pPr>
            <w:r w:rsidRPr="002F17B5">
              <w:rPr>
                <w:rFonts w:cs="Arial"/>
                <w:sz w:val="18"/>
                <w:szCs w:val="18"/>
              </w:rPr>
              <w:t>-</w:t>
            </w:r>
          </w:p>
        </w:tc>
        <w:tc>
          <w:tcPr>
            <w:tcW w:w="1276" w:type="dxa"/>
            <w:tcBorders>
              <w:top w:val="nil"/>
              <w:left w:val="nil"/>
              <w:right w:val="single" w:sz="4" w:space="0" w:color="auto"/>
            </w:tcBorders>
            <w:shd w:val="clear" w:color="auto" w:fill="FFFFFF" w:themeFill="background1"/>
            <w:noWrap/>
            <w:vAlign w:val="bottom"/>
            <w:hideMark/>
          </w:tcPr>
          <w:p w:rsidR="00144349" w:rsidRPr="002F17B5" w:rsidRDefault="001B440C" w:rsidP="001B440C">
            <w:pPr>
              <w:jc w:val="right"/>
              <w:rPr>
                <w:rFonts w:cs="Arial"/>
                <w:sz w:val="18"/>
                <w:szCs w:val="18"/>
              </w:rPr>
            </w:pPr>
            <w:r w:rsidRPr="002F17B5">
              <w:rPr>
                <w:rFonts w:cs="Arial"/>
                <w:sz w:val="18"/>
                <w:szCs w:val="18"/>
              </w:rPr>
              <w:t>-</w:t>
            </w:r>
          </w:p>
        </w:tc>
        <w:tc>
          <w:tcPr>
            <w:tcW w:w="1275" w:type="dxa"/>
            <w:tcBorders>
              <w:top w:val="nil"/>
              <w:left w:val="nil"/>
              <w:right w:val="single" w:sz="4" w:space="0" w:color="auto"/>
            </w:tcBorders>
            <w:shd w:val="clear" w:color="auto" w:fill="FFFFFF" w:themeFill="background1"/>
            <w:noWrap/>
            <w:vAlign w:val="bottom"/>
            <w:hideMark/>
          </w:tcPr>
          <w:p w:rsidR="00144349" w:rsidRPr="002F17B5" w:rsidRDefault="001B440C" w:rsidP="001B440C">
            <w:pPr>
              <w:jc w:val="right"/>
              <w:rPr>
                <w:rFonts w:cs="Arial"/>
                <w:sz w:val="18"/>
                <w:szCs w:val="18"/>
              </w:rPr>
            </w:pPr>
            <w:r w:rsidRPr="002F17B5">
              <w:rPr>
                <w:rFonts w:cs="Arial"/>
                <w:sz w:val="18"/>
                <w:szCs w:val="18"/>
              </w:rPr>
              <w:t>-</w:t>
            </w:r>
          </w:p>
        </w:tc>
        <w:tc>
          <w:tcPr>
            <w:tcW w:w="1134" w:type="dxa"/>
            <w:tcBorders>
              <w:top w:val="nil"/>
              <w:left w:val="nil"/>
              <w:right w:val="single" w:sz="4" w:space="0" w:color="auto"/>
            </w:tcBorders>
            <w:shd w:val="clear" w:color="auto" w:fill="FFFFFF" w:themeFill="background1"/>
            <w:noWrap/>
            <w:vAlign w:val="bottom"/>
            <w:hideMark/>
          </w:tcPr>
          <w:p w:rsidR="00144349" w:rsidRPr="002F17B5" w:rsidRDefault="001B440C" w:rsidP="001B440C">
            <w:pPr>
              <w:jc w:val="right"/>
              <w:rPr>
                <w:rFonts w:cs="Arial"/>
                <w:sz w:val="18"/>
                <w:szCs w:val="18"/>
              </w:rPr>
            </w:pPr>
            <w:r w:rsidRPr="002F17B5">
              <w:rPr>
                <w:rFonts w:cs="Arial"/>
                <w:sz w:val="18"/>
                <w:szCs w:val="18"/>
              </w:rPr>
              <w:t>-</w:t>
            </w:r>
          </w:p>
        </w:tc>
        <w:tc>
          <w:tcPr>
            <w:tcW w:w="1134" w:type="dxa"/>
            <w:tcBorders>
              <w:top w:val="nil"/>
              <w:left w:val="nil"/>
              <w:right w:val="single" w:sz="4" w:space="0" w:color="auto"/>
            </w:tcBorders>
            <w:shd w:val="clear" w:color="auto" w:fill="FFFFFF" w:themeFill="background1"/>
            <w:noWrap/>
            <w:vAlign w:val="bottom"/>
            <w:hideMark/>
          </w:tcPr>
          <w:p w:rsidR="00144349" w:rsidRPr="002F17B5" w:rsidRDefault="001B440C" w:rsidP="001B440C">
            <w:pPr>
              <w:jc w:val="right"/>
              <w:rPr>
                <w:rFonts w:cs="Arial"/>
                <w:sz w:val="18"/>
                <w:szCs w:val="18"/>
              </w:rPr>
            </w:pPr>
            <w:r w:rsidRPr="002F17B5">
              <w:rPr>
                <w:rFonts w:cs="Arial"/>
                <w:sz w:val="18"/>
                <w:szCs w:val="18"/>
              </w:rPr>
              <w:t>-</w:t>
            </w:r>
          </w:p>
        </w:tc>
        <w:tc>
          <w:tcPr>
            <w:tcW w:w="1134" w:type="dxa"/>
            <w:tcBorders>
              <w:top w:val="nil"/>
              <w:left w:val="nil"/>
              <w:right w:val="single" w:sz="4" w:space="0" w:color="auto"/>
            </w:tcBorders>
            <w:shd w:val="clear" w:color="auto" w:fill="FFFFFF" w:themeFill="background1"/>
            <w:noWrap/>
            <w:vAlign w:val="bottom"/>
            <w:hideMark/>
          </w:tcPr>
          <w:p w:rsidR="00144349" w:rsidRPr="002F17B5" w:rsidRDefault="00D20246" w:rsidP="001B440C">
            <w:pPr>
              <w:jc w:val="right"/>
              <w:rPr>
                <w:rFonts w:cs="Arial"/>
                <w:sz w:val="18"/>
                <w:szCs w:val="18"/>
              </w:rPr>
            </w:pPr>
            <w:r>
              <w:rPr>
                <w:rFonts w:cs="Arial"/>
                <w:sz w:val="18"/>
                <w:szCs w:val="18"/>
              </w:rPr>
              <w:t>4.4</w:t>
            </w:r>
          </w:p>
        </w:tc>
        <w:tc>
          <w:tcPr>
            <w:tcW w:w="1134" w:type="dxa"/>
            <w:tcBorders>
              <w:top w:val="nil"/>
              <w:left w:val="single" w:sz="8" w:space="0" w:color="auto"/>
              <w:right w:val="single" w:sz="8" w:space="0" w:color="auto"/>
            </w:tcBorders>
            <w:shd w:val="clear" w:color="auto" w:fill="D9D9D9" w:themeFill="background1" w:themeFillShade="D9"/>
            <w:noWrap/>
            <w:vAlign w:val="bottom"/>
            <w:hideMark/>
          </w:tcPr>
          <w:p w:rsidR="00144349" w:rsidRPr="002F17B5" w:rsidRDefault="00D20246" w:rsidP="001B440C">
            <w:pPr>
              <w:jc w:val="right"/>
              <w:rPr>
                <w:rFonts w:cs="Arial"/>
                <w:sz w:val="18"/>
                <w:szCs w:val="18"/>
              </w:rPr>
            </w:pPr>
            <w:r>
              <w:rPr>
                <w:rFonts w:cs="Arial"/>
                <w:sz w:val="18"/>
                <w:szCs w:val="18"/>
              </w:rPr>
              <w:t>4.4</w:t>
            </w:r>
          </w:p>
        </w:tc>
        <w:tc>
          <w:tcPr>
            <w:tcW w:w="1134" w:type="dxa"/>
            <w:tcBorders>
              <w:top w:val="nil"/>
              <w:left w:val="nil"/>
              <w:right w:val="single" w:sz="8" w:space="0" w:color="auto"/>
            </w:tcBorders>
            <w:shd w:val="clear" w:color="auto" w:fill="D9D9D9" w:themeFill="background1" w:themeFillShade="D9"/>
            <w:noWrap/>
            <w:vAlign w:val="bottom"/>
            <w:hideMark/>
          </w:tcPr>
          <w:p w:rsidR="00144349" w:rsidRPr="002F17B5" w:rsidRDefault="00F70955" w:rsidP="00D20246">
            <w:pPr>
              <w:jc w:val="right"/>
              <w:rPr>
                <w:rFonts w:cs="Arial"/>
                <w:sz w:val="18"/>
                <w:szCs w:val="18"/>
              </w:rPr>
            </w:pPr>
            <w:r w:rsidRPr="002F17B5">
              <w:rPr>
                <w:rFonts w:cs="Arial"/>
                <w:sz w:val="18"/>
                <w:szCs w:val="18"/>
              </w:rPr>
              <w:t>(2</w:t>
            </w:r>
            <w:r w:rsidR="00D20246">
              <w:rPr>
                <w:rFonts w:cs="Arial"/>
                <w:sz w:val="18"/>
                <w:szCs w:val="18"/>
              </w:rPr>
              <w:t>63</w:t>
            </w:r>
            <w:r w:rsidRPr="002F17B5">
              <w:rPr>
                <w:rFonts w:cs="Arial"/>
                <w:sz w:val="18"/>
                <w:szCs w:val="18"/>
              </w:rPr>
              <w:t>.</w:t>
            </w:r>
            <w:r w:rsidR="00D20246">
              <w:rPr>
                <w:rFonts w:cs="Arial"/>
                <w:sz w:val="18"/>
                <w:szCs w:val="18"/>
              </w:rPr>
              <w:t>8</w:t>
            </w:r>
            <w:r w:rsidRPr="002F17B5">
              <w:rPr>
                <w:rFonts w:cs="Arial"/>
                <w:sz w:val="18"/>
                <w:szCs w:val="18"/>
              </w:rPr>
              <w:t>)</w:t>
            </w:r>
          </w:p>
        </w:tc>
        <w:tc>
          <w:tcPr>
            <w:tcW w:w="1134" w:type="dxa"/>
            <w:tcBorders>
              <w:top w:val="nil"/>
              <w:left w:val="nil"/>
              <w:right w:val="single" w:sz="8" w:space="0" w:color="auto"/>
            </w:tcBorders>
            <w:shd w:val="clear" w:color="auto" w:fill="A6A6A6" w:themeFill="background1" w:themeFillShade="A6"/>
            <w:noWrap/>
            <w:vAlign w:val="bottom"/>
            <w:hideMark/>
          </w:tcPr>
          <w:p w:rsidR="00144349" w:rsidRPr="002F17B5" w:rsidRDefault="00F70955" w:rsidP="00D20246">
            <w:pPr>
              <w:jc w:val="right"/>
              <w:rPr>
                <w:rFonts w:cs="Arial"/>
                <w:sz w:val="18"/>
                <w:szCs w:val="18"/>
              </w:rPr>
            </w:pPr>
            <w:r w:rsidRPr="002F17B5">
              <w:rPr>
                <w:rFonts w:cs="Arial"/>
                <w:sz w:val="18"/>
                <w:szCs w:val="18"/>
              </w:rPr>
              <w:t>(</w:t>
            </w:r>
            <w:r w:rsidR="00D20246">
              <w:rPr>
                <w:rFonts w:cs="Arial"/>
                <w:sz w:val="18"/>
                <w:szCs w:val="18"/>
              </w:rPr>
              <w:t>259.4</w:t>
            </w:r>
            <w:r w:rsidRPr="002F17B5">
              <w:rPr>
                <w:rFonts w:cs="Arial"/>
                <w:sz w:val="18"/>
                <w:szCs w:val="18"/>
              </w:rPr>
              <w:t>)</w:t>
            </w:r>
          </w:p>
        </w:tc>
      </w:tr>
      <w:tr w:rsidR="00D20246" w:rsidRPr="002F17B5" w:rsidTr="00D20246">
        <w:trPr>
          <w:trHeight w:val="284"/>
          <w:jc w:val="center"/>
        </w:trPr>
        <w:tc>
          <w:tcPr>
            <w:tcW w:w="5912" w:type="dxa"/>
            <w:tcBorders>
              <w:left w:val="single" w:sz="4" w:space="0" w:color="auto"/>
              <w:right w:val="single" w:sz="4" w:space="0" w:color="auto"/>
            </w:tcBorders>
            <w:shd w:val="clear" w:color="auto" w:fill="FFFFFF" w:themeFill="background1"/>
            <w:vAlign w:val="bottom"/>
          </w:tcPr>
          <w:p w:rsidR="00D20246" w:rsidRPr="002F17B5" w:rsidRDefault="00D20246" w:rsidP="009D3475">
            <w:pPr>
              <w:rPr>
                <w:sz w:val="18"/>
                <w:szCs w:val="18"/>
              </w:rPr>
            </w:pPr>
            <w:r w:rsidRPr="002F17B5">
              <w:rPr>
                <w:b/>
                <w:bCs/>
                <w:sz w:val="18"/>
                <w:szCs w:val="18"/>
              </w:rPr>
              <w:t xml:space="preserve">Total Comprehensive Income and Expenditure </w:t>
            </w:r>
          </w:p>
        </w:tc>
        <w:tc>
          <w:tcPr>
            <w:tcW w:w="851" w:type="dxa"/>
            <w:tcBorders>
              <w:left w:val="nil"/>
              <w:right w:val="single" w:sz="4" w:space="0" w:color="auto"/>
            </w:tcBorders>
            <w:shd w:val="clear" w:color="auto" w:fill="FFFFFF" w:themeFill="background1"/>
            <w:noWrap/>
            <w:vAlign w:val="bottom"/>
          </w:tcPr>
          <w:p w:rsidR="00D20246" w:rsidRPr="002F17B5" w:rsidRDefault="00D20246" w:rsidP="009D3475">
            <w:pPr>
              <w:jc w:val="right"/>
              <w:rPr>
                <w:rFonts w:cs="Arial"/>
                <w:sz w:val="18"/>
                <w:szCs w:val="18"/>
              </w:rPr>
            </w:pPr>
            <w:r w:rsidRPr="002F17B5">
              <w:rPr>
                <w:rFonts w:cs="Arial"/>
                <w:b/>
                <w:bCs/>
                <w:sz w:val="18"/>
                <w:szCs w:val="18"/>
              </w:rPr>
              <w:t>-</w:t>
            </w:r>
          </w:p>
        </w:tc>
        <w:tc>
          <w:tcPr>
            <w:tcW w:w="1276" w:type="dxa"/>
            <w:tcBorders>
              <w:left w:val="nil"/>
              <w:right w:val="single" w:sz="4" w:space="0" w:color="auto"/>
            </w:tcBorders>
            <w:shd w:val="clear" w:color="auto" w:fill="FFFFFF" w:themeFill="background1"/>
            <w:noWrap/>
            <w:vAlign w:val="bottom"/>
          </w:tcPr>
          <w:p w:rsidR="00D20246" w:rsidRPr="002F17B5" w:rsidRDefault="00D20246" w:rsidP="009D3475">
            <w:pPr>
              <w:jc w:val="right"/>
              <w:rPr>
                <w:rFonts w:cs="Arial"/>
                <w:sz w:val="18"/>
                <w:szCs w:val="18"/>
              </w:rPr>
            </w:pPr>
            <w:r w:rsidRPr="002F17B5">
              <w:rPr>
                <w:rFonts w:cs="Arial"/>
                <w:b/>
                <w:bCs/>
                <w:sz w:val="18"/>
                <w:szCs w:val="18"/>
              </w:rPr>
              <w:t>-</w:t>
            </w:r>
          </w:p>
        </w:tc>
        <w:tc>
          <w:tcPr>
            <w:tcW w:w="1275" w:type="dxa"/>
            <w:tcBorders>
              <w:left w:val="nil"/>
              <w:right w:val="single" w:sz="4" w:space="0" w:color="auto"/>
            </w:tcBorders>
            <w:shd w:val="clear" w:color="auto" w:fill="FFFFFF" w:themeFill="background1"/>
            <w:noWrap/>
            <w:vAlign w:val="bottom"/>
          </w:tcPr>
          <w:p w:rsidR="00D20246" w:rsidRPr="002F17B5" w:rsidRDefault="00D20246" w:rsidP="009D3475">
            <w:pPr>
              <w:jc w:val="right"/>
              <w:rPr>
                <w:rFonts w:cs="Arial"/>
                <w:sz w:val="18"/>
                <w:szCs w:val="18"/>
              </w:rPr>
            </w:pPr>
            <w:r w:rsidRPr="002F17B5">
              <w:rPr>
                <w:rFonts w:cs="Arial"/>
                <w:b/>
                <w:bCs/>
                <w:sz w:val="18"/>
                <w:szCs w:val="18"/>
              </w:rPr>
              <w:t>-</w:t>
            </w:r>
          </w:p>
        </w:tc>
        <w:tc>
          <w:tcPr>
            <w:tcW w:w="1134" w:type="dxa"/>
            <w:tcBorders>
              <w:left w:val="nil"/>
              <w:right w:val="single" w:sz="4" w:space="0" w:color="auto"/>
            </w:tcBorders>
            <w:shd w:val="clear" w:color="auto" w:fill="FFFFFF" w:themeFill="background1"/>
            <w:noWrap/>
            <w:vAlign w:val="bottom"/>
          </w:tcPr>
          <w:p w:rsidR="00D20246" w:rsidRPr="002F17B5" w:rsidRDefault="00D20246" w:rsidP="009D3475">
            <w:pPr>
              <w:jc w:val="right"/>
              <w:rPr>
                <w:rFonts w:cs="Arial"/>
                <w:sz w:val="18"/>
                <w:szCs w:val="18"/>
              </w:rPr>
            </w:pPr>
            <w:r w:rsidRPr="002F17B5">
              <w:rPr>
                <w:rFonts w:cs="Arial"/>
                <w:b/>
                <w:bCs/>
                <w:sz w:val="18"/>
                <w:szCs w:val="18"/>
              </w:rPr>
              <w:t>-</w:t>
            </w:r>
          </w:p>
        </w:tc>
        <w:tc>
          <w:tcPr>
            <w:tcW w:w="1134" w:type="dxa"/>
            <w:tcBorders>
              <w:left w:val="nil"/>
              <w:right w:val="single" w:sz="4" w:space="0" w:color="auto"/>
            </w:tcBorders>
            <w:shd w:val="clear" w:color="auto" w:fill="FFFFFF" w:themeFill="background1"/>
            <w:noWrap/>
            <w:vAlign w:val="bottom"/>
          </w:tcPr>
          <w:p w:rsidR="00D20246" w:rsidRPr="002F17B5" w:rsidRDefault="00D20246" w:rsidP="009D3475">
            <w:pPr>
              <w:jc w:val="right"/>
              <w:rPr>
                <w:rFonts w:cs="Arial"/>
                <w:sz w:val="18"/>
                <w:szCs w:val="18"/>
              </w:rPr>
            </w:pPr>
            <w:r w:rsidRPr="002F17B5">
              <w:rPr>
                <w:rFonts w:cs="Arial"/>
                <w:b/>
                <w:bCs/>
                <w:sz w:val="18"/>
                <w:szCs w:val="18"/>
              </w:rPr>
              <w:t>-</w:t>
            </w:r>
          </w:p>
        </w:tc>
        <w:tc>
          <w:tcPr>
            <w:tcW w:w="1134" w:type="dxa"/>
            <w:tcBorders>
              <w:left w:val="nil"/>
              <w:right w:val="single" w:sz="4" w:space="0" w:color="auto"/>
            </w:tcBorders>
            <w:shd w:val="clear" w:color="auto" w:fill="FFFFFF" w:themeFill="background1"/>
            <w:noWrap/>
            <w:vAlign w:val="bottom"/>
          </w:tcPr>
          <w:p w:rsidR="00D20246" w:rsidRPr="002F17B5" w:rsidRDefault="00D20246" w:rsidP="009D3475">
            <w:pPr>
              <w:jc w:val="right"/>
              <w:rPr>
                <w:rFonts w:cs="Arial"/>
                <w:sz w:val="18"/>
                <w:szCs w:val="18"/>
              </w:rPr>
            </w:pPr>
            <w:r w:rsidRPr="002F17B5">
              <w:rPr>
                <w:rFonts w:cs="Arial"/>
                <w:b/>
                <w:bCs/>
                <w:sz w:val="18"/>
                <w:szCs w:val="18"/>
              </w:rPr>
              <w:t>-</w:t>
            </w:r>
          </w:p>
        </w:tc>
        <w:tc>
          <w:tcPr>
            <w:tcW w:w="1134" w:type="dxa"/>
            <w:tcBorders>
              <w:left w:val="single" w:sz="8" w:space="0" w:color="auto"/>
              <w:right w:val="single" w:sz="8" w:space="0" w:color="auto"/>
            </w:tcBorders>
            <w:shd w:val="clear" w:color="auto" w:fill="D9D9D9" w:themeFill="background1" w:themeFillShade="D9"/>
            <w:noWrap/>
            <w:vAlign w:val="bottom"/>
          </w:tcPr>
          <w:p w:rsidR="00D20246" w:rsidRPr="002F17B5" w:rsidRDefault="00D20246" w:rsidP="009D3475">
            <w:pPr>
              <w:jc w:val="right"/>
              <w:rPr>
                <w:rFonts w:cs="Arial"/>
                <w:sz w:val="18"/>
                <w:szCs w:val="18"/>
              </w:rPr>
            </w:pPr>
            <w:r w:rsidRPr="002F17B5">
              <w:rPr>
                <w:rFonts w:cs="Arial"/>
                <w:b/>
                <w:bCs/>
                <w:sz w:val="18"/>
                <w:szCs w:val="18"/>
              </w:rPr>
              <w:t>24.3</w:t>
            </w:r>
          </w:p>
        </w:tc>
        <w:tc>
          <w:tcPr>
            <w:tcW w:w="1134" w:type="dxa"/>
            <w:tcBorders>
              <w:left w:val="nil"/>
              <w:right w:val="single" w:sz="8" w:space="0" w:color="auto"/>
            </w:tcBorders>
            <w:shd w:val="clear" w:color="auto" w:fill="D9D9D9" w:themeFill="background1" w:themeFillShade="D9"/>
            <w:noWrap/>
            <w:vAlign w:val="bottom"/>
          </w:tcPr>
          <w:p w:rsidR="00D20246" w:rsidRPr="002F17B5" w:rsidRDefault="00D20246" w:rsidP="009D3475">
            <w:pPr>
              <w:jc w:val="right"/>
              <w:rPr>
                <w:rFonts w:cs="Arial"/>
                <w:sz w:val="18"/>
                <w:szCs w:val="18"/>
              </w:rPr>
            </w:pPr>
            <w:r w:rsidRPr="002F17B5">
              <w:rPr>
                <w:rFonts w:cs="Arial"/>
                <w:b/>
                <w:bCs/>
                <w:sz w:val="18"/>
                <w:szCs w:val="18"/>
              </w:rPr>
              <w:t>(263.8)</w:t>
            </w:r>
          </w:p>
        </w:tc>
        <w:tc>
          <w:tcPr>
            <w:tcW w:w="1134" w:type="dxa"/>
            <w:tcBorders>
              <w:left w:val="nil"/>
              <w:right w:val="single" w:sz="4" w:space="0" w:color="auto"/>
            </w:tcBorders>
            <w:shd w:val="clear" w:color="auto" w:fill="A6A6A6" w:themeFill="background1" w:themeFillShade="A6"/>
            <w:noWrap/>
            <w:vAlign w:val="bottom"/>
          </w:tcPr>
          <w:p w:rsidR="00D20246" w:rsidRPr="002F17B5" w:rsidRDefault="00D20246" w:rsidP="009D3475">
            <w:pPr>
              <w:jc w:val="right"/>
              <w:rPr>
                <w:rFonts w:cs="Arial"/>
                <w:sz w:val="18"/>
                <w:szCs w:val="18"/>
              </w:rPr>
            </w:pPr>
            <w:r w:rsidRPr="002F17B5">
              <w:rPr>
                <w:rFonts w:cs="Arial"/>
                <w:b/>
                <w:bCs/>
                <w:sz w:val="18"/>
                <w:szCs w:val="18"/>
              </w:rPr>
              <w:t>(239.5)</w:t>
            </w:r>
          </w:p>
        </w:tc>
      </w:tr>
      <w:tr w:rsidR="00D20246" w:rsidRPr="002F17B5" w:rsidTr="00D20246">
        <w:trPr>
          <w:trHeight w:val="136"/>
          <w:jc w:val="center"/>
        </w:trPr>
        <w:tc>
          <w:tcPr>
            <w:tcW w:w="5912" w:type="dxa"/>
            <w:tcBorders>
              <w:left w:val="single" w:sz="4" w:space="0" w:color="auto"/>
              <w:right w:val="single" w:sz="4" w:space="0" w:color="auto"/>
            </w:tcBorders>
            <w:shd w:val="clear" w:color="auto" w:fill="FFFFFF" w:themeFill="background1"/>
            <w:vAlign w:val="bottom"/>
            <w:hideMark/>
          </w:tcPr>
          <w:p w:rsidR="00D20246" w:rsidRPr="002F17B5" w:rsidRDefault="00D20246" w:rsidP="009D3475">
            <w:pPr>
              <w:rPr>
                <w:b/>
                <w:bCs/>
                <w:sz w:val="18"/>
                <w:szCs w:val="18"/>
              </w:rPr>
            </w:pPr>
            <w:r w:rsidRPr="002F17B5">
              <w:rPr>
                <w:sz w:val="18"/>
                <w:szCs w:val="18"/>
              </w:rPr>
              <w:t>Adjustments Between Accounting Basis &amp; Funding Basis Under Regulations (note 6)</w:t>
            </w:r>
          </w:p>
        </w:tc>
        <w:tc>
          <w:tcPr>
            <w:tcW w:w="851" w:type="dxa"/>
            <w:tcBorders>
              <w:left w:val="nil"/>
              <w:right w:val="single" w:sz="4" w:space="0" w:color="auto"/>
            </w:tcBorders>
            <w:shd w:val="clear" w:color="auto" w:fill="FFFFFF" w:themeFill="background1"/>
            <w:noWrap/>
            <w:hideMark/>
          </w:tcPr>
          <w:p w:rsidR="00D20246" w:rsidRPr="002F17B5" w:rsidRDefault="00D20246" w:rsidP="009D3475">
            <w:pPr>
              <w:jc w:val="right"/>
              <w:rPr>
                <w:rFonts w:cs="Arial"/>
                <w:b/>
                <w:bCs/>
                <w:sz w:val="18"/>
                <w:szCs w:val="18"/>
              </w:rPr>
            </w:pPr>
            <w:r w:rsidRPr="002F17B5">
              <w:rPr>
                <w:rFonts w:cs="Arial"/>
                <w:sz w:val="18"/>
                <w:szCs w:val="18"/>
              </w:rPr>
              <w:t>(27.5)</w:t>
            </w:r>
          </w:p>
        </w:tc>
        <w:tc>
          <w:tcPr>
            <w:tcW w:w="1276" w:type="dxa"/>
            <w:tcBorders>
              <w:left w:val="nil"/>
              <w:right w:val="single" w:sz="4" w:space="0" w:color="auto"/>
            </w:tcBorders>
            <w:shd w:val="clear" w:color="auto" w:fill="FFFFFF" w:themeFill="background1"/>
            <w:noWrap/>
            <w:hideMark/>
          </w:tcPr>
          <w:p w:rsidR="00D20246" w:rsidRPr="002F17B5" w:rsidRDefault="00D20246" w:rsidP="009D3475">
            <w:pPr>
              <w:jc w:val="right"/>
              <w:rPr>
                <w:rFonts w:cs="Arial"/>
                <w:b/>
                <w:bCs/>
                <w:sz w:val="18"/>
                <w:szCs w:val="18"/>
              </w:rPr>
            </w:pPr>
            <w:r w:rsidRPr="002F17B5">
              <w:rPr>
                <w:rFonts w:cs="Arial"/>
                <w:sz w:val="18"/>
                <w:szCs w:val="18"/>
              </w:rPr>
              <w:t>- </w:t>
            </w:r>
          </w:p>
        </w:tc>
        <w:tc>
          <w:tcPr>
            <w:tcW w:w="1275" w:type="dxa"/>
            <w:tcBorders>
              <w:left w:val="nil"/>
              <w:right w:val="single" w:sz="4" w:space="0" w:color="auto"/>
            </w:tcBorders>
            <w:shd w:val="clear" w:color="auto" w:fill="FFFFFF" w:themeFill="background1"/>
            <w:noWrap/>
            <w:hideMark/>
          </w:tcPr>
          <w:p w:rsidR="00D20246" w:rsidRPr="002F17B5" w:rsidRDefault="00D20246" w:rsidP="009D3475">
            <w:pPr>
              <w:jc w:val="right"/>
              <w:rPr>
                <w:rFonts w:cs="Arial"/>
                <w:b/>
                <w:bCs/>
                <w:sz w:val="18"/>
                <w:szCs w:val="18"/>
              </w:rPr>
            </w:pPr>
            <w:r w:rsidRPr="002F17B5">
              <w:rPr>
                <w:rFonts w:cs="Arial"/>
                <w:sz w:val="18"/>
                <w:szCs w:val="18"/>
              </w:rPr>
              <w:t>- </w:t>
            </w:r>
          </w:p>
        </w:tc>
        <w:tc>
          <w:tcPr>
            <w:tcW w:w="1134" w:type="dxa"/>
            <w:tcBorders>
              <w:left w:val="nil"/>
              <w:right w:val="single" w:sz="4" w:space="0" w:color="auto"/>
            </w:tcBorders>
            <w:shd w:val="clear" w:color="auto" w:fill="FFFFFF" w:themeFill="background1"/>
            <w:noWrap/>
            <w:hideMark/>
          </w:tcPr>
          <w:p w:rsidR="00D20246" w:rsidRPr="002F17B5" w:rsidRDefault="00D20246" w:rsidP="009D3475">
            <w:pPr>
              <w:jc w:val="right"/>
              <w:rPr>
                <w:rFonts w:cs="Arial"/>
                <w:b/>
                <w:bCs/>
                <w:sz w:val="18"/>
                <w:szCs w:val="18"/>
              </w:rPr>
            </w:pPr>
            <w:r w:rsidRPr="002F17B5">
              <w:rPr>
                <w:rFonts w:cs="Arial"/>
                <w:sz w:val="18"/>
                <w:szCs w:val="18"/>
              </w:rPr>
              <w:t>- </w:t>
            </w:r>
          </w:p>
        </w:tc>
        <w:tc>
          <w:tcPr>
            <w:tcW w:w="1134" w:type="dxa"/>
            <w:tcBorders>
              <w:left w:val="nil"/>
              <w:right w:val="single" w:sz="4" w:space="0" w:color="auto"/>
            </w:tcBorders>
            <w:shd w:val="clear" w:color="auto" w:fill="FFFFFF" w:themeFill="background1"/>
            <w:noWrap/>
            <w:hideMark/>
          </w:tcPr>
          <w:p w:rsidR="00D20246" w:rsidRPr="002F17B5" w:rsidRDefault="00D20246" w:rsidP="009D3475">
            <w:pPr>
              <w:jc w:val="right"/>
              <w:rPr>
                <w:rFonts w:cs="Arial"/>
                <w:b/>
                <w:bCs/>
                <w:sz w:val="18"/>
                <w:szCs w:val="18"/>
              </w:rPr>
            </w:pPr>
            <w:r w:rsidRPr="002F17B5">
              <w:rPr>
                <w:rFonts w:cs="Arial"/>
                <w:sz w:val="18"/>
                <w:szCs w:val="18"/>
              </w:rPr>
              <w:t>(4.7)</w:t>
            </w:r>
          </w:p>
        </w:tc>
        <w:tc>
          <w:tcPr>
            <w:tcW w:w="1134" w:type="dxa"/>
            <w:tcBorders>
              <w:left w:val="nil"/>
              <w:right w:val="single" w:sz="4" w:space="0" w:color="auto"/>
            </w:tcBorders>
            <w:shd w:val="clear" w:color="auto" w:fill="FFFFFF" w:themeFill="background1"/>
            <w:noWrap/>
            <w:hideMark/>
          </w:tcPr>
          <w:p w:rsidR="00D20246" w:rsidRPr="002F17B5" w:rsidRDefault="00D20246" w:rsidP="009D3475">
            <w:pPr>
              <w:jc w:val="right"/>
              <w:rPr>
                <w:rFonts w:cs="Arial"/>
                <w:b/>
                <w:bCs/>
                <w:sz w:val="18"/>
                <w:szCs w:val="18"/>
              </w:rPr>
            </w:pPr>
            <w:r w:rsidRPr="002F17B5">
              <w:rPr>
                <w:rFonts w:cs="Arial"/>
                <w:sz w:val="18"/>
                <w:szCs w:val="18"/>
              </w:rPr>
              <w:t>39.9</w:t>
            </w:r>
          </w:p>
        </w:tc>
        <w:tc>
          <w:tcPr>
            <w:tcW w:w="1134" w:type="dxa"/>
            <w:tcBorders>
              <w:left w:val="single" w:sz="8" w:space="0" w:color="auto"/>
              <w:right w:val="single" w:sz="8" w:space="0" w:color="auto"/>
            </w:tcBorders>
            <w:shd w:val="clear" w:color="auto" w:fill="D9D9D9" w:themeFill="background1" w:themeFillShade="D9"/>
            <w:noWrap/>
            <w:hideMark/>
          </w:tcPr>
          <w:p w:rsidR="00D20246" w:rsidRPr="002F17B5" w:rsidRDefault="00D20246" w:rsidP="009D3475">
            <w:pPr>
              <w:jc w:val="right"/>
              <w:rPr>
                <w:rFonts w:cs="Arial"/>
                <w:b/>
                <w:bCs/>
                <w:sz w:val="18"/>
                <w:szCs w:val="18"/>
              </w:rPr>
            </w:pPr>
            <w:r w:rsidRPr="002F17B5">
              <w:rPr>
                <w:rFonts w:cs="Arial"/>
                <w:sz w:val="18"/>
                <w:szCs w:val="18"/>
              </w:rPr>
              <w:t>7.7</w:t>
            </w:r>
          </w:p>
        </w:tc>
        <w:tc>
          <w:tcPr>
            <w:tcW w:w="1134" w:type="dxa"/>
            <w:tcBorders>
              <w:left w:val="nil"/>
              <w:right w:val="single" w:sz="8" w:space="0" w:color="auto"/>
            </w:tcBorders>
            <w:shd w:val="clear" w:color="auto" w:fill="D9D9D9" w:themeFill="background1" w:themeFillShade="D9"/>
            <w:noWrap/>
            <w:hideMark/>
          </w:tcPr>
          <w:p w:rsidR="00D20246" w:rsidRPr="002F17B5" w:rsidRDefault="00D20246" w:rsidP="009D3475">
            <w:pPr>
              <w:jc w:val="right"/>
              <w:rPr>
                <w:rFonts w:cs="Arial"/>
                <w:b/>
                <w:bCs/>
                <w:sz w:val="18"/>
                <w:szCs w:val="18"/>
              </w:rPr>
            </w:pPr>
            <w:r w:rsidRPr="002F17B5">
              <w:rPr>
                <w:rFonts w:cs="Arial"/>
                <w:b/>
                <w:bCs/>
                <w:sz w:val="18"/>
                <w:szCs w:val="18"/>
              </w:rPr>
              <w:t>(7.7)</w:t>
            </w:r>
          </w:p>
        </w:tc>
        <w:tc>
          <w:tcPr>
            <w:tcW w:w="1134" w:type="dxa"/>
            <w:tcBorders>
              <w:left w:val="nil"/>
              <w:right w:val="single" w:sz="8" w:space="0" w:color="auto"/>
            </w:tcBorders>
            <w:shd w:val="clear" w:color="auto" w:fill="A6A6A6" w:themeFill="background1" w:themeFillShade="A6"/>
            <w:noWrap/>
            <w:hideMark/>
          </w:tcPr>
          <w:p w:rsidR="00D20246" w:rsidRPr="002F17B5" w:rsidRDefault="00D20246" w:rsidP="009D3475">
            <w:pPr>
              <w:jc w:val="right"/>
              <w:rPr>
                <w:rFonts w:cs="Arial"/>
                <w:b/>
                <w:bCs/>
                <w:sz w:val="18"/>
                <w:szCs w:val="18"/>
              </w:rPr>
            </w:pPr>
            <w:r w:rsidRPr="002F17B5">
              <w:rPr>
                <w:rFonts w:cs="Arial"/>
                <w:sz w:val="18"/>
                <w:szCs w:val="18"/>
              </w:rPr>
              <w:t>- </w:t>
            </w:r>
          </w:p>
        </w:tc>
      </w:tr>
      <w:tr w:rsidR="00D20246" w:rsidRPr="002F17B5" w:rsidTr="00D20246">
        <w:trPr>
          <w:trHeight w:val="480"/>
          <w:jc w:val="center"/>
        </w:trPr>
        <w:tc>
          <w:tcPr>
            <w:tcW w:w="5912" w:type="dxa"/>
            <w:tcBorders>
              <w:left w:val="single" w:sz="4" w:space="0" w:color="auto"/>
              <w:right w:val="single" w:sz="4" w:space="0" w:color="auto"/>
            </w:tcBorders>
            <w:shd w:val="clear" w:color="auto" w:fill="FFFFFF" w:themeFill="background1"/>
            <w:vAlign w:val="bottom"/>
            <w:hideMark/>
          </w:tcPr>
          <w:p w:rsidR="00D20246" w:rsidRPr="002F17B5" w:rsidRDefault="00D20246" w:rsidP="009D3475">
            <w:pPr>
              <w:jc w:val="left"/>
              <w:rPr>
                <w:sz w:val="18"/>
                <w:szCs w:val="18"/>
              </w:rPr>
            </w:pPr>
            <w:r w:rsidRPr="002F17B5">
              <w:rPr>
                <w:b/>
                <w:bCs/>
                <w:sz w:val="18"/>
                <w:szCs w:val="18"/>
              </w:rPr>
              <w:t>Net (Increase)/Decrease before Transfers to Earmarked Reserves</w:t>
            </w:r>
          </w:p>
        </w:tc>
        <w:tc>
          <w:tcPr>
            <w:tcW w:w="851" w:type="dxa"/>
            <w:tcBorders>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(7.6)</w:t>
            </w:r>
          </w:p>
        </w:tc>
        <w:tc>
          <w:tcPr>
            <w:tcW w:w="1276" w:type="dxa"/>
            <w:tcBorders>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w:t>
            </w:r>
          </w:p>
        </w:tc>
        <w:tc>
          <w:tcPr>
            <w:tcW w:w="1275" w:type="dxa"/>
            <w:tcBorders>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w:t>
            </w:r>
          </w:p>
        </w:tc>
        <w:tc>
          <w:tcPr>
            <w:tcW w:w="1134" w:type="dxa"/>
            <w:tcBorders>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w:t>
            </w:r>
          </w:p>
        </w:tc>
        <w:tc>
          <w:tcPr>
            <w:tcW w:w="1134" w:type="dxa"/>
            <w:tcBorders>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(4.7)</w:t>
            </w:r>
          </w:p>
        </w:tc>
        <w:tc>
          <w:tcPr>
            <w:tcW w:w="1134" w:type="dxa"/>
            <w:tcBorders>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44.3</w:t>
            </w:r>
          </w:p>
        </w:tc>
        <w:tc>
          <w:tcPr>
            <w:tcW w:w="1134" w:type="dxa"/>
            <w:tcBorders>
              <w:left w:val="single" w:sz="8" w:space="0" w:color="auto"/>
              <w:right w:val="single" w:sz="8" w:space="0" w:color="auto"/>
            </w:tcBorders>
            <w:shd w:val="clear" w:color="auto" w:fill="D9D9D9" w:themeFill="background1" w:themeFillShade="D9"/>
            <w:noWrap/>
            <w:vAlign w:val="bottom"/>
            <w:hideMark/>
          </w:tcPr>
          <w:p w:rsidR="00D20246" w:rsidRPr="002F17B5" w:rsidRDefault="00D20246" w:rsidP="009D3475">
            <w:pPr>
              <w:jc w:val="right"/>
              <w:rPr>
                <w:rFonts w:cs="Arial"/>
                <w:sz w:val="18"/>
                <w:szCs w:val="18"/>
              </w:rPr>
            </w:pPr>
            <w:r w:rsidRPr="002F17B5">
              <w:rPr>
                <w:rFonts w:cs="Arial"/>
                <w:b/>
                <w:bCs/>
                <w:sz w:val="18"/>
                <w:szCs w:val="18"/>
              </w:rPr>
              <w:t>32.0</w:t>
            </w:r>
          </w:p>
        </w:tc>
        <w:tc>
          <w:tcPr>
            <w:tcW w:w="1134" w:type="dxa"/>
            <w:tcBorders>
              <w:left w:val="nil"/>
              <w:right w:val="single" w:sz="8" w:space="0" w:color="auto"/>
            </w:tcBorders>
            <w:shd w:val="clear" w:color="auto" w:fill="D9D9D9" w:themeFill="background1" w:themeFillShade="D9"/>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(271.5)</w:t>
            </w:r>
          </w:p>
        </w:tc>
        <w:tc>
          <w:tcPr>
            <w:tcW w:w="1134" w:type="dxa"/>
            <w:tcBorders>
              <w:left w:val="nil"/>
              <w:right w:val="single" w:sz="4" w:space="0" w:color="auto"/>
            </w:tcBorders>
            <w:shd w:val="clear" w:color="auto" w:fill="A6A6A6" w:themeFill="background1" w:themeFillShade="A6"/>
            <w:noWrap/>
            <w:vAlign w:val="bottom"/>
            <w:hideMark/>
          </w:tcPr>
          <w:p w:rsidR="00D20246" w:rsidRPr="002F17B5" w:rsidRDefault="00D20246" w:rsidP="009D3475">
            <w:pPr>
              <w:jc w:val="right"/>
              <w:rPr>
                <w:rFonts w:cs="Arial"/>
                <w:sz w:val="18"/>
                <w:szCs w:val="18"/>
              </w:rPr>
            </w:pPr>
            <w:r w:rsidRPr="002F17B5">
              <w:rPr>
                <w:rFonts w:cs="Arial"/>
                <w:b/>
                <w:bCs/>
                <w:sz w:val="18"/>
                <w:szCs w:val="18"/>
              </w:rPr>
              <w:t>(239.5)</w:t>
            </w:r>
          </w:p>
        </w:tc>
      </w:tr>
      <w:tr w:rsidR="00D20246" w:rsidRPr="002F17B5" w:rsidTr="00D20246">
        <w:trPr>
          <w:trHeight w:val="350"/>
          <w:jc w:val="center"/>
        </w:trPr>
        <w:tc>
          <w:tcPr>
            <w:tcW w:w="5912" w:type="dxa"/>
            <w:tcBorders>
              <w:top w:val="nil"/>
              <w:left w:val="single" w:sz="4" w:space="0" w:color="auto"/>
              <w:right w:val="single" w:sz="4" w:space="0" w:color="auto"/>
            </w:tcBorders>
            <w:shd w:val="clear" w:color="auto" w:fill="FFFFFF" w:themeFill="background1"/>
            <w:vAlign w:val="bottom"/>
            <w:hideMark/>
          </w:tcPr>
          <w:p w:rsidR="00D20246" w:rsidRPr="002F17B5" w:rsidRDefault="00D20246" w:rsidP="009D3475">
            <w:pPr>
              <w:rPr>
                <w:b/>
                <w:bCs/>
                <w:sz w:val="18"/>
                <w:szCs w:val="18"/>
              </w:rPr>
            </w:pPr>
            <w:r w:rsidRPr="002F17B5">
              <w:rPr>
                <w:sz w:val="18"/>
                <w:szCs w:val="18"/>
              </w:rPr>
              <w:t>Transfers( to)/from Earmarked Reserves (note 7)</w:t>
            </w:r>
          </w:p>
        </w:tc>
        <w:tc>
          <w:tcPr>
            <w:tcW w:w="851" w:type="dxa"/>
            <w:tcBorders>
              <w:top w:val="nil"/>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sz w:val="18"/>
                <w:szCs w:val="18"/>
              </w:rPr>
              <w:t>7.6</w:t>
            </w:r>
          </w:p>
        </w:tc>
        <w:tc>
          <w:tcPr>
            <w:tcW w:w="1276" w:type="dxa"/>
            <w:tcBorders>
              <w:top w:val="nil"/>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sz w:val="18"/>
                <w:szCs w:val="18"/>
              </w:rPr>
              <w:t>(37.9)</w:t>
            </w:r>
          </w:p>
        </w:tc>
        <w:tc>
          <w:tcPr>
            <w:tcW w:w="1275" w:type="dxa"/>
            <w:tcBorders>
              <w:top w:val="nil"/>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sz w:val="18"/>
                <w:szCs w:val="18"/>
              </w:rPr>
              <w:t>(0.2)</w:t>
            </w:r>
          </w:p>
        </w:tc>
        <w:tc>
          <w:tcPr>
            <w:tcW w:w="1134" w:type="dxa"/>
            <w:tcBorders>
              <w:top w:val="nil"/>
              <w:left w:val="nil"/>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sz w:val="18"/>
                <w:szCs w:val="18"/>
              </w:rPr>
              <w:t>30.5</w:t>
            </w:r>
          </w:p>
        </w:tc>
        <w:tc>
          <w:tcPr>
            <w:tcW w:w="1134" w:type="dxa"/>
            <w:tcBorders>
              <w:top w:val="nil"/>
              <w:left w:val="nil"/>
              <w:right w:val="nil"/>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sz w:val="18"/>
                <w:szCs w:val="18"/>
              </w:rPr>
              <w:t>-</w:t>
            </w:r>
          </w:p>
        </w:tc>
        <w:tc>
          <w:tcPr>
            <w:tcW w:w="1134" w:type="dxa"/>
            <w:tcBorders>
              <w:top w:val="nil"/>
              <w:left w:val="single" w:sz="4" w:space="0" w:color="auto"/>
              <w:right w:val="single" w:sz="8"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sz w:val="18"/>
                <w:szCs w:val="18"/>
              </w:rPr>
              <w:t>-</w:t>
            </w:r>
          </w:p>
        </w:tc>
        <w:tc>
          <w:tcPr>
            <w:tcW w:w="1134" w:type="dxa"/>
            <w:tcBorders>
              <w:top w:val="nil"/>
              <w:left w:val="nil"/>
              <w:right w:val="single" w:sz="8" w:space="0" w:color="auto"/>
            </w:tcBorders>
            <w:shd w:val="clear" w:color="auto" w:fill="D9D9D9" w:themeFill="background1" w:themeFillShade="D9"/>
            <w:noWrap/>
            <w:vAlign w:val="bottom"/>
            <w:hideMark/>
          </w:tcPr>
          <w:p w:rsidR="00D20246" w:rsidRPr="002F17B5" w:rsidRDefault="00D20246" w:rsidP="009D3475">
            <w:pPr>
              <w:jc w:val="right"/>
              <w:rPr>
                <w:rFonts w:cs="Arial"/>
                <w:b/>
                <w:bCs/>
                <w:sz w:val="18"/>
                <w:szCs w:val="18"/>
              </w:rPr>
            </w:pPr>
            <w:r w:rsidRPr="002F17B5">
              <w:rPr>
                <w:rFonts w:cs="Arial"/>
                <w:sz w:val="18"/>
                <w:szCs w:val="18"/>
              </w:rPr>
              <w:t>-</w:t>
            </w:r>
          </w:p>
        </w:tc>
        <w:tc>
          <w:tcPr>
            <w:tcW w:w="1134" w:type="dxa"/>
            <w:tcBorders>
              <w:top w:val="nil"/>
              <w:left w:val="nil"/>
              <w:right w:val="single" w:sz="8" w:space="0" w:color="auto"/>
            </w:tcBorders>
            <w:shd w:val="clear" w:color="auto" w:fill="D9D9D9" w:themeFill="background1" w:themeFillShade="D9"/>
            <w:noWrap/>
            <w:vAlign w:val="bottom"/>
            <w:hideMark/>
          </w:tcPr>
          <w:p w:rsidR="00D20246" w:rsidRPr="002F17B5" w:rsidRDefault="00D20246" w:rsidP="009D3475">
            <w:pPr>
              <w:jc w:val="right"/>
              <w:rPr>
                <w:rFonts w:cs="Arial"/>
                <w:b/>
                <w:bCs/>
                <w:sz w:val="18"/>
                <w:szCs w:val="18"/>
              </w:rPr>
            </w:pPr>
            <w:r w:rsidRPr="002F17B5">
              <w:rPr>
                <w:rFonts w:cs="Arial"/>
                <w:sz w:val="18"/>
                <w:szCs w:val="18"/>
              </w:rPr>
              <w:t>-</w:t>
            </w:r>
          </w:p>
        </w:tc>
        <w:tc>
          <w:tcPr>
            <w:tcW w:w="1134" w:type="dxa"/>
            <w:tcBorders>
              <w:top w:val="nil"/>
              <w:left w:val="nil"/>
              <w:right w:val="single" w:sz="8" w:space="0" w:color="auto"/>
            </w:tcBorders>
            <w:shd w:val="clear" w:color="auto" w:fill="A6A6A6" w:themeFill="background1" w:themeFillShade="A6"/>
            <w:noWrap/>
            <w:vAlign w:val="bottom"/>
            <w:hideMark/>
          </w:tcPr>
          <w:p w:rsidR="00D20246" w:rsidRPr="002F17B5" w:rsidRDefault="00D20246" w:rsidP="009D3475">
            <w:pPr>
              <w:jc w:val="right"/>
              <w:rPr>
                <w:rFonts w:cs="Arial"/>
                <w:b/>
                <w:bCs/>
                <w:sz w:val="18"/>
                <w:szCs w:val="18"/>
              </w:rPr>
            </w:pPr>
            <w:r w:rsidRPr="002F17B5">
              <w:rPr>
                <w:rFonts w:cs="Arial"/>
                <w:sz w:val="18"/>
                <w:szCs w:val="18"/>
              </w:rPr>
              <w:t>-</w:t>
            </w:r>
          </w:p>
        </w:tc>
      </w:tr>
      <w:tr w:rsidR="00D20246" w:rsidRPr="002F17B5" w:rsidTr="00D20246">
        <w:trPr>
          <w:trHeight w:val="280"/>
          <w:jc w:val="center"/>
        </w:trPr>
        <w:tc>
          <w:tcPr>
            <w:tcW w:w="59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20246" w:rsidRPr="002F17B5" w:rsidRDefault="00D20246" w:rsidP="009D3475">
            <w:pPr>
              <w:rPr>
                <w:sz w:val="18"/>
                <w:szCs w:val="18"/>
              </w:rPr>
            </w:pPr>
            <w:r w:rsidRPr="002F17B5">
              <w:rPr>
                <w:b/>
                <w:bCs/>
                <w:sz w:val="18"/>
                <w:szCs w:val="18"/>
              </w:rPr>
              <w:t>(Increase)/Decrease in Year</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(37.9)</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(0.2)</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30.5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(4.7)</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sz w:val="18"/>
                <w:szCs w:val="18"/>
              </w:rPr>
            </w:pPr>
            <w:r w:rsidRPr="002F17B5">
              <w:rPr>
                <w:rFonts w:cs="Arial"/>
                <w:b/>
                <w:bCs/>
                <w:sz w:val="18"/>
                <w:szCs w:val="18"/>
              </w:rPr>
              <w:t>44.3</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D20246" w:rsidRPr="002F17B5" w:rsidRDefault="00D20246" w:rsidP="009D3475">
            <w:pPr>
              <w:jc w:val="right"/>
              <w:rPr>
                <w:rFonts w:cs="Arial"/>
                <w:sz w:val="18"/>
                <w:szCs w:val="18"/>
              </w:rPr>
            </w:pPr>
            <w:r w:rsidRPr="002F17B5">
              <w:rPr>
                <w:rFonts w:cs="Arial"/>
                <w:b/>
                <w:bCs/>
                <w:sz w:val="18"/>
                <w:szCs w:val="18"/>
              </w:rPr>
              <w:t>32.0</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D20246" w:rsidRPr="002F17B5" w:rsidRDefault="00D20246" w:rsidP="009D3475">
            <w:pPr>
              <w:jc w:val="right"/>
              <w:rPr>
                <w:rFonts w:cs="Arial"/>
                <w:sz w:val="18"/>
                <w:szCs w:val="18"/>
              </w:rPr>
            </w:pPr>
            <w:r w:rsidRPr="002F17B5">
              <w:rPr>
                <w:rFonts w:cs="Arial"/>
                <w:b/>
                <w:bCs/>
                <w:sz w:val="18"/>
                <w:szCs w:val="18"/>
              </w:rPr>
              <w:t>(271.5)</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20246" w:rsidRPr="002F17B5" w:rsidRDefault="00D20246" w:rsidP="009D3475">
            <w:pPr>
              <w:jc w:val="right"/>
              <w:rPr>
                <w:rFonts w:cs="Arial"/>
                <w:sz w:val="18"/>
                <w:szCs w:val="18"/>
              </w:rPr>
            </w:pPr>
            <w:r w:rsidRPr="002F17B5">
              <w:rPr>
                <w:rFonts w:cs="Arial"/>
                <w:b/>
                <w:bCs/>
                <w:sz w:val="18"/>
                <w:szCs w:val="18"/>
              </w:rPr>
              <w:t>(239.5)</w:t>
            </w:r>
          </w:p>
        </w:tc>
      </w:tr>
      <w:tr w:rsidR="00D20246" w:rsidRPr="002F17B5" w:rsidTr="00D20246">
        <w:trPr>
          <w:trHeight w:val="580"/>
          <w:jc w:val="center"/>
        </w:trPr>
        <w:tc>
          <w:tcPr>
            <w:tcW w:w="59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20246" w:rsidRPr="002F17B5" w:rsidRDefault="00D20246" w:rsidP="009D3475">
            <w:pPr>
              <w:rPr>
                <w:b/>
                <w:bCs/>
                <w:sz w:val="18"/>
                <w:szCs w:val="18"/>
              </w:rPr>
            </w:pPr>
            <w:r w:rsidRPr="002F17B5">
              <w:rPr>
                <w:b/>
                <w:bCs/>
                <w:sz w:val="18"/>
                <w:szCs w:val="18"/>
              </w:rPr>
              <w:t>Balance at 31st March 2014 carried forward</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(36.0)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(293.3)</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(3.3)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(13.2)</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(31.3)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(47.8)</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(424.9)</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(678.3)</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20246" w:rsidRPr="002F17B5" w:rsidRDefault="00D20246" w:rsidP="009D3475">
            <w:pPr>
              <w:jc w:val="right"/>
              <w:rPr>
                <w:rFonts w:cs="Arial"/>
                <w:b/>
                <w:bCs/>
                <w:sz w:val="18"/>
                <w:szCs w:val="18"/>
              </w:rPr>
            </w:pPr>
            <w:r w:rsidRPr="002F17B5">
              <w:rPr>
                <w:rFonts w:cs="Arial"/>
                <w:b/>
                <w:bCs/>
                <w:sz w:val="18"/>
                <w:szCs w:val="18"/>
              </w:rPr>
              <w:t>(1,103.2)</w:t>
            </w:r>
          </w:p>
        </w:tc>
      </w:tr>
    </w:tbl>
    <w:p w:rsidR="00BE3D96" w:rsidRDefault="008C3487" w:rsidP="00144349">
      <w:pPr>
        <w:spacing w:after="0"/>
        <w:rPr>
          <w:b/>
          <w:u w:val="single"/>
        </w:rPr>
      </w:pPr>
      <w:r>
        <w:rPr>
          <w:rFonts w:cs="Arial"/>
          <w:i/>
          <w:iCs/>
          <w:sz w:val="20"/>
          <w:szCs w:val="20"/>
        </w:rPr>
        <w:lastRenderedPageBreak/>
        <w:t>The presentation of the Movement in Reserves Statement has been amended to include other movements within Other Comprehensive Income and Expenditure</w:t>
      </w:r>
    </w:p>
    <w:p w:rsidR="00B10101" w:rsidRDefault="00B10101" w:rsidP="00144349">
      <w:pPr>
        <w:spacing w:after="0"/>
        <w:rPr>
          <w:b/>
          <w:u w:val="single"/>
        </w:rPr>
      </w:pPr>
    </w:p>
    <w:p w:rsidR="00144349" w:rsidRPr="002F17B5" w:rsidRDefault="00CD4CF3" w:rsidP="00144349">
      <w:pPr>
        <w:spacing w:after="0"/>
        <w:rPr>
          <w:b/>
          <w:u w:val="single"/>
        </w:rPr>
      </w:pPr>
      <w:r w:rsidRPr="002F17B5">
        <w:rPr>
          <w:b/>
          <w:u w:val="single"/>
        </w:rPr>
        <w:t>2012/13</w:t>
      </w:r>
      <w:r w:rsidR="00144349" w:rsidRPr="002F17B5">
        <w:rPr>
          <w:b/>
          <w:u w:val="single"/>
        </w:rPr>
        <w:t xml:space="preserve"> Comparative Year</w:t>
      </w:r>
    </w:p>
    <w:p w:rsidR="00144349" w:rsidRPr="002F17B5" w:rsidRDefault="00144349" w:rsidP="00144349">
      <w:pPr>
        <w:spacing w:after="0"/>
        <w:rPr>
          <w:b/>
          <w:u w:val="single"/>
        </w:rPr>
      </w:pPr>
    </w:p>
    <w:p w:rsidR="00CA2D33" w:rsidRPr="002F17B5" w:rsidRDefault="00CA2D33" w:rsidP="00144349">
      <w:pPr>
        <w:spacing w:after="0"/>
        <w:rPr>
          <w:b/>
          <w:u w:val="single"/>
        </w:rPr>
      </w:pPr>
    </w:p>
    <w:tbl>
      <w:tblPr>
        <w:tblW w:w="15881" w:type="dxa"/>
        <w:jc w:val="center"/>
        <w:shd w:val="clear" w:color="auto" w:fill="FFFFFF" w:themeFill="background1"/>
        <w:tblLayout w:type="fixed"/>
        <w:tblLook w:val="04A0" w:firstRow="1" w:lastRow="0" w:firstColumn="1" w:lastColumn="0" w:noHBand="0" w:noVBand="1"/>
      </w:tblPr>
      <w:tblGrid>
        <w:gridCol w:w="5675"/>
        <w:gridCol w:w="851"/>
        <w:gridCol w:w="1276"/>
        <w:gridCol w:w="1275"/>
        <w:gridCol w:w="1134"/>
        <w:gridCol w:w="1134"/>
        <w:gridCol w:w="1134"/>
        <w:gridCol w:w="1134"/>
        <w:gridCol w:w="1134"/>
        <w:gridCol w:w="1134"/>
      </w:tblGrid>
      <w:tr w:rsidR="00144349" w:rsidRPr="002F17B5" w:rsidTr="00B5048A">
        <w:trPr>
          <w:trHeight w:val="750"/>
          <w:jc w:val="center"/>
        </w:trPr>
        <w:tc>
          <w:tcPr>
            <w:tcW w:w="5675" w:type="dxa"/>
            <w:tcBorders>
              <w:top w:val="single" w:sz="4" w:space="0" w:color="auto"/>
              <w:left w:val="single" w:sz="4" w:space="0" w:color="auto"/>
              <w:bottom w:val="nil"/>
              <w:right w:val="single" w:sz="4" w:space="0" w:color="auto"/>
            </w:tcBorders>
            <w:shd w:val="clear" w:color="auto" w:fill="FFFFFF" w:themeFill="background1"/>
            <w:vAlign w:val="bottom"/>
            <w:hideMark/>
          </w:tcPr>
          <w:p w:rsidR="00144349" w:rsidRPr="002F17B5" w:rsidRDefault="00144349" w:rsidP="00B70B4B">
            <w:pPr>
              <w:rPr>
                <w:rFonts w:ascii="Calibri" w:hAnsi="Calibri"/>
                <w:sz w:val="16"/>
                <w:szCs w:val="16"/>
              </w:rPr>
            </w:pPr>
          </w:p>
        </w:tc>
        <w:tc>
          <w:tcPr>
            <w:tcW w:w="851" w:type="dxa"/>
            <w:tcBorders>
              <w:top w:val="single" w:sz="4" w:space="0" w:color="auto"/>
              <w:left w:val="nil"/>
              <w:bottom w:val="nil"/>
              <w:right w:val="single" w:sz="4" w:space="0" w:color="auto"/>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County  Fund</w:t>
            </w:r>
          </w:p>
        </w:tc>
        <w:tc>
          <w:tcPr>
            <w:tcW w:w="1276" w:type="dxa"/>
            <w:tcBorders>
              <w:top w:val="single" w:sz="4" w:space="0" w:color="auto"/>
              <w:left w:val="nil"/>
              <w:bottom w:val="nil"/>
              <w:right w:val="single" w:sz="4" w:space="0" w:color="auto"/>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Earmarked Revenue Reserves</w:t>
            </w:r>
          </w:p>
        </w:tc>
        <w:tc>
          <w:tcPr>
            <w:tcW w:w="1275" w:type="dxa"/>
            <w:tcBorders>
              <w:top w:val="single" w:sz="4" w:space="0" w:color="auto"/>
              <w:left w:val="nil"/>
              <w:bottom w:val="nil"/>
              <w:right w:val="single" w:sz="4" w:space="0" w:color="auto"/>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Trading Operations Reserve</w:t>
            </w:r>
          </w:p>
        </w:tc>
        <w:tc>
          <w:tcPr>
            <w:tcW w:w="1134" w:type="dxa"/>
            <w:tcBorders>
              <w:top w:val="single" w:sz="4" w:space="0" w:color="auto"/>
              <w:left w:val="nil"/>
              <w:bottom w:val="nil"/>
              <w:right w:val="single" w:sz="4" w:space="0" w:color="auto"/>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Capital Funding Reserves (Revenue)</w:t>
            </w:r>
          </w:p>
        </w:tc>
        <w:tc>
          <w:tcPr>
            <w:tcW w:w="1134" w:type="dxa"/>
            <w:tcBorders>
              <w:top w:val="single" w:sz="4" w:space="0" w:color="auto"/>
              <w:left w:val="nil"/>
              <w:bottom w:val="nil"/>
              <w:right w:val="nil"/>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20"/>
                <w:szCs w:val="20"/>
              </w:rPr>
              <w:t>Capital Receipts Reserve</w:t>
            </w:r>
          </w:p>
        </w:tc>
        <w:tc>
          <w:tcPr>
            <w:tcW w:w="1134" w:type="dxa"/>
            <w:tcBorders>
              <w:top w:val="single" w:sz="4" w:space="0" w:color="auto"/>
              <w:left w:val="single" w:sz="4" w:space="0" w:color="auto"/>
              <w:bottom w:val="nil"/>
              <w:right w:val="nil"/>
            </w:tcBorders>
            <w:shd w:val="clear" w:color="auto" w:fill="FFFFFF" w:themeFill="background1"/>
            <w:vAlign w:val="bottom"/>
            <w:hideMark/>
          </w:tcPr>
          <w:p w:rsidR="00144349" w:rsidRPr="002F17B5" w:rsidRDefault="00144349" w:rsidP="00B70B4B">
            <w:pPr>
              <w:jc w:val="center"/>
              <w:rPr>
                <w:b/>
                <w:bCs/>
                <w:sz w:val="18"/>
                <w:szCs w:val="18"/>
              </w:rPr>
            </w:pPr>
            <w:r w:rsidRPr="002F17B5">
              <w:rPr>
                <w:b/>
                <w:bCs/>
                <w:sz w:val="18"/>
                <w:szCs w:val="18"/>
              </w:rPr>
              <w:t>Capital Grants Unapplied</w:t>
            </w:r>
          </w:p>
        </w:tc>
        <w:tc>
          <w:tcPr>
            <w:tcW w:w="1134" w:type="dxa"/>
            <w:tcBorders>
              <w:top w:val="single" w:sz="4" w:space="0" w:color="auto"/>
              <w:left w:val="single" w:sz="8" w:space="0" w:color="auto"/>
              <w:bottom w:val="nil"/>
              <w:right w:val="single" w:sz="8" w:space="0" w:color="auto"/>
            </w:tcBorders>
            <w:shd w:val="clear" w:color="auto" w:fill="D9D9D9" w:themeFill="background1" w:themeFillShade="D9"/>
            <w:vAlign w:val="bottom"/>
            <w:hideMark/>
          </w:tcPr>
          <w:p w:rsidR="00144349" w:rsidRPr="002F17B5" w:rsidRDefault="00144349" w:rsidP="00B70B4B">
            <w:pPr>
              <w:jc w:val="center"/>
              <w:rPr>
                <w:b/>
                <w:bCs/>
                <w:sz w:val="18"/>
                <w:szCs w:val="18"/>
              </w:rPr>
            </w:pPr>
            <w:r w:rsidRPr="002F17B5">
              <w:rPr>
                <w:b/>
                <w:bCs/>
                <w:sz w:val="18"/>
                <w:szCs w:val="18"/>
              </w:rPr>
              <w:t>Total Usable Reserves</w:t>
            </w:r>
          </w:p>
        </w:tc>
        <w:tc>
          <w:tcPr>
            <w:tcW w:w="1134" w:type="dxa"/>
            <w:tcBorders>
              <w:top w:val="single" w:sz="4" w:space="0" w:color="auto"/>
              <w:left w:val="nil"/>
              <w:bottom w:val="nil"/>
              <w:right w:val="single" w:sz="8" w:space="0" w:color="auto"/>
            </w:tcBorders>
            <w:shd w:val="clear" w:color="auto" w:fill="D9D9D9" w:themeFill="background1" w:themeFillShade="D9"/>
            <w:vAlign w:val="bottom"/>
            <w:hideMark/>
          </w:tcPr>
          <w:p w:rsidR="00144349" w:rsidRPr="002F17B5" w:rsidRDefault="00144349" w:rsidP="00B70B4B">
            <w:pPr>
              <w:jc w:val="center"/>
              <w:rPr>
                <w:b/>
                <w:bCs/>
                <w:sz w:val="18"/>
                <w:szCs w:val="18"/>
              </w:rPr>
            </w:pPr>
            <w:r w:rsidRPr="002F17B5">
              <w:rPr>
                <w:b/>
                <w:bCs/>
                <w:sz w:val="18"/>
                <w:szCs w:val="18"/>
              </w:rPr>
              <w:t>Total Unusable Reserves</w:t>
            </w:r>
          </w:p>
        </w:tc>
        <w:tc>
          <w:tcPr>
            <w:tcW w:w="1134" w:type="dxa"/>
            <w:tcBorders>
              <w:top w:val="single" w:sz="4" w:space="0" w:color="auto"/>
              <w:left w:val="nil"/>
              <w:bottom w:val="nil"/>
              <w:right w:val="single" w:sz="8" w:space="0" w:color="auto"/>
            </w:tcBorders>
            <w:shd w:val="clear" w:color="auto" w:fill="A6A6A6" w:themeFill="background1" w:themeFillShade="A6"/>
            <w:vAlign w:val="bottom"/>
            <w:hideMark/>
          </w:tcPr>
          <w:p w:rsidR="00144349" w:rsidRPr="002F17B5" w:rsidRDefault="00144349" w:rsidP="00B70B4B">
            <w:pPr>
              <w:jc w:val="center"/>
              <w:rPr>
                <w:b/>
                <w:bCs/>
                <w:sz w:val="18"/>
                <w:szCs w:val="18"/>
              </w:rPr>
            </w:pPr>
            <w:r w:rsidRPr="002F17B5">
              <w:rPr>
                <w:b/>
                <w:bCs/>
                <w:sz w:val="18"/>
                <w:szCs w:val="18"/>
              </w:rPr>
              <w:t>Total Reserves</w:t>
            </w:r>
          </w:p>
        </w:tc>
      </w:tr>
      <w:tr w:rsidR="00144349" w:rsidRPr="002F17B5" w:rsidTr="008B439A">
        <w:trPr>
          <w:trHeight w:val="224"/>
          <w:jc w:val="center"/>
        </w:trPr>
        <w:tc>
          <w:tcPr>
            <w:tcW w:w="5675" w:type="dxa"/>
            <w:tcBorders>
              <w:left w:val="single" w:sz="4" w:space="0" w:color="auto"/>
              <w:bottom w:val="single" w:sz="4" w:space="0" w:color="auto"/>
              <w:right w:val="single" w:sz="4" w:space="0" w:color="auto"/>
            </w:tcBorders>
            <w:shd w:val="clear" w:color="auto" w:fill="FFFFFF" w:themeFill="background1"/>
            <w:vAlign w:val="bottom"/>
            <w:hideMark/>
          </w:tcPr>
          <w:p w:rsidR="00144349" w:rsidRPr="002F17B5" w:rsidRDefault="00144349" w:rsidP="00B70B4B">
            <w:pPr>
              <w:rPr>
                <w:rFonts w:ascii="Calibri" w:hAnsi="Calibri"/>
                <w:sz w:val="16"/>
                <w:szCs w:val="16"/>
              </w:rPr>
            </w:pPr>
          </w:p>
        </w:tc>
        <w:tc>
          <w:tcPr>
            <w:tcW w:w="851" w:type="dxa"/>
            <w:tcBorders>
              <w:left w:val="nil"/>
              <w:bottom w:val="single" w:sz="4" w:space="0" w:color="auto"/>
              <w:right w:val="single" w:sz="4" w:space="0" w:color="auto"/>
            </w:tcBorders>
            <w:shd w:val="clear" w:color="auto" w:fill="FFFFFF" w:themeFill="background1"/>
            <w:hideMark/>
          </w:tcPr>
          <w:p w:rsidR="00144349" w:rsidRPr="002F17B5" w:rsidRDefault="00144349" w:rsidP="00136D94">
            <w:pPr>
              <w:ind w:left="170"/>
              <w:jc w:val="center"/>
              <w:rPr>
                <w:b/>
                <w:bCs/>
                <w:sz w:val="18"/>
                <w:szCs w:val="18"/>
              </w:rPr>
            </w:pPr>
            <w:r w:rsidRPr="002F17B5">
              <w:rPr>
                <w:b/>
                <w:bCs/>
                <w:sz w:val="18"/>
                <w:szCs w:val="18"/>
              </w:rPr>
              <w:t xml:space="preserve"> £m </w:t>
            </w:r>
          </w:p>
        </w:tc>
        <w:tc>
          <w:tcPr>
            <w:tcW w:w="1276" w:type="dxa"/>
            <w:tcBorders>
              <w:left w:val="nil"/>
              <w:bottom w:val="single" w:sz="4" w:space="0" w:color="auto"/>
              <w:right w:val="single" w:sz="4" w:space="0" w:color="auto"/>
            </w:tcBorders>
            <w:shd w:val="clear" w:color="auto" w:fill="FFFFFF" w:themeFill="background1"/>
            <w:hideMark/>
          </w:tcPr>
          <w:p w:rsidR="00144349" w:rsidRPr="002F17B5" w:rsidRDefault="00144349" w:rsidP="00136D94">
            <w:pPr>
              <w:ind w:left="170"/>
              <w:jc w:val="center"/>
              <w:rPr>
                <w:b/>
                <w:bCs/>
                <w:sz w:val="18"/>
                <w:szCs w:val="18"/>
              </w:rPr>
            </w:pPr>
            <w:r w:rsidRPr="002F17B5">
              <w:rPr>
                <w:b/>
                <w:bCs/>
                <w:sz w:val="18"/>
                <w:szCs w:val="18"/>
              </w:rPr>
              <w:t>£m</w:t>
            </w:r>
          </w:p>
        </w:tc>
        <w:tc>
          <w:tcPr>
            <w:tcW w:w="1275" w:type="dxa"/>
            <w:tcBorders>
              <w:left w:val="nil"/>
              <w:bottom w:val="single" w:sz="4" w:space="0" w:color="auto"/>
              <w:right w:val="single" w:sz="4" w:space="0" w:color="auto"/>
            </w:tcBorders>
            <w:shd w:val="clear" w:color="auto" w:fill="FFFFFF" w:themeFill="background1"/>
            <w:hideMark/>
          </w:tcPr>
          <w:p w:rsidR="00144349" w:rsidRPr="002F17B5" w:rsidRDefault="00144349" w:rsidP="00136D94">
            <w:pPr>
              <w:ind w:left="170"/>
              <w:jc w:val="center"/>
              <w:rPr>
                <w:b/>
                <w:bCs/>
                <w:sz w:val="18"/>
                <w:szCs w:val="18"/>
              </w:rPr>
            </w:pPr>
            <w:r w:rsidRPr="002F17B5">
              <w:rPr>
                <w:b/>
                <w:bCs/>
                <w:sz w:val="18"/>
                <w:szCs w:val="18"/>
              </w:rPr>
              <w:t>£m</w:t>
            </w:r>
          </w:p>
        </w:tc>
        <w:tc>
          <w:tcPr>
            <w:tcW w:w="1134" w:type="dxa"/>
            <w:tcBorders>
              <w:left w:val="nil"/>
              <w:bottom w:val="single" w:sz="4" w:space="0" w:color="auto"/>
              <w:right w:val="single" w:sz="4" w:space="0" w:color="auto"/>
            </w:tcBorders>
            <w:shd w:val="clear" w:color="auto" w:fill="FFFFFF" w:themeFill="background1"/>
            <w:hideMark/>
          </w:tcPr>
          <w:p w:rsidR="00144349" w:rsidRPr="002F17B5" w:rsidRDefault="00144349" w:rsidP="00136D94">
            <w:pPr>
              <w:ind w:left="170"/>
              <w:jc w:val="center"/>
              <w:rPr>
                <w:b/>
                <w:bCs/>
                <w:sz w:val="18"/>
                <w:szCs w:val="18"/>
              </w:rPr>
            </w:pPr>
            <w:r w:rsidRPr="002F17B5">
              <w:rPr>
                <w:b/>
                <w:bCs/>
                <w:sz w:val="18"/>
                <w:szCs w:val="18"/>
              </w:rPr>
              <w:t>£m</w:t>
            </w:r>
          </w:p>
        </w:tc>
        <w:tc>
          <w:tcPr>
            <w:tcW w:w="1134" w:type="dxa"/>
            <w:tcBorders>
              <w:left w:val="nil"/>
              <w:bottom w:val="single" w:sz="4" w:space="0" w:color="auto"/>
              <w:right w:val="nil"/>
            </w:tcBorders>
            <w:shd w:val="clear" w:color="auto" w:fill="FFFFFF" w:themeFill="background1"/>
            <w:hideMark/>
          </w:tcPr>
          <w:p w:rsidR="00144349" w:rsidRPr="002F17B5" w:rsidRDefault="00144349" w:rsidP="00136D94">
            <w:pPr>
              <w:ind w:left="170"/>
              <w:jc w:val="center"/>
              <w:rPr>
                <w:b/>
                <w:bCs/>
                <w:sz w:val="18"/>
                <w:szCs w:val="18"/>
              </w:rPr>
            </w:pPr>
            <w:r w:rsidRPr="002F17B5">
              <w:rPr>
                <w:b/>
                <w:bCs/>
                <w:sz w:val="18"/>
                <w:szCs w:val="18"/>
              </w:rPr>
              <w:t>£m</w:t>
            </w:r>
          </w:p>
        </w:tc>
        <w:tc>
          <w:tcPr>
            <w:tcW w:w="1134" w:type="dxa"/>
            <w:tcBorders>
              <w:left w:val="single" w:sz="4" w:space="0" w:color="auto"/>
              <w:bottom w:val="single" w:sz="4" w:space="0" w:color="auto"/>
              <w:right w:val="nil"/>
            </w:tcBorders>
            <w:shd w:val="clear" w:color="auto" w:fill="FFFFFF" w:themeFill="background1"/>
            <w:hideMark/>
          </w:tcPr>
          <w:p w:rsidR="00144349" w:rsidRPr="002F17B5" w:rsidRDefault="00144349" w:rsidP="00136D94">
            <w:pPr>
              <w:ind w:left="170"/>
              <w:jc w:val="center"/>
              <w:rPr>
                <w:b/>
                <w:bCs/>
                <w:sz w:val="18"/>
                <w:szCs w:val="18"/>
              </w:rPr>
            </w:pPr>
            <w:r w:rsidRPr="002F17B5">
              <w:rPr>
                <w:b/>
                <w:bCs/>
                <w:sz w:val="18"/>
                <w:szCs w:val="18"/>
              </w:rPr>
              <w:t>£m</w:t>
            </w:r>
          </w:p>
        </w:tc>
        <w:tc>
          <w:tcPr>
            <w:tcW w:w="1134" w:type="dxa"/>
            <w:tcBorders>
              <w:left w:val="single" w:sz="8" w:space="0" w:color="auto"/>
              <w:bottom w:val="single" w:sz="4" w:space="0" w:color="auto"/>
              <w:right w:val="single" w:sz="8" w:space="0" w:color="auto"/>
            </w:tcBorders>
            <w:shd w:val="clear" w:color="auto" w:fill="D9D9D9" w:themeFill="background1" w:themeFillShade="D9"/>
            <w:hideMark/>
          </w:tcPr>
          <w:p w:rsidR="00144349" w:rsidRPr="002F17B5" w:rsidRDefault="00144349" w:rsidP="00136D94">
            <w:pPr>
              <w:ind w:left="170"/>
              <w:jc w:val="center"/>
              <w:rPr>
                <w:b/>
                <w:bCs/>
                <w:sz w:val="18"/>
                <w:szCs w:val="18"/>
              </w:rPr>
            </w:pPr>
            <w:r w:rsidRPr="002F17B5">
              <w:rPr>
                <w:b/>
                <w:bCs/>
                <w:sz w:val="18"/>
                <w:szCs w:val="18"/>
              </w:rPr>
              <w:t>£m</w:t>
            </w:r>
          </w:p>
        </w:tc>
        <w:tc>
          <w:tcPr>
            <w:tcW w:w="1134" w:type="dxa"/>
            <w:tcBorders>
              <w:left w:val="nil"/>
              <w:bottom w:val="single" w:sz="4" w:space="0" w:color="auto"/>
              <w:right w:val="single" w:sz="8" w:space="0" w:color="auto"/>
            </w:tcBorders>
            <w:shd w:val="clear" w:color="auto" w:fill="D9D9D9" w:themeFill="background1" w:themeFillShade="D9"/>
            <w:hideMark/>
          </w:tcPr>
          <w:p w:rsidR="00144349" w:rsidRPr="002F17B5" w:rsidRDefault="00144349" w:rsidP="00136D94">
            <w:pPr>
              <w:ind w:left="170"/>
              <w:jc w:val="center"/>
              <w:rPr>
                <w:b/>
                <w:bCs/>
                <w:sz w:val="18"/>
                <w:szCs w:val="18"/>
              </w:rPr>
            </w:pPr>
            <w:r w:rsidRPr="002F17B5">
              <w:rPr>
                <w:b/>
                <w:bCs/>
                <w:sz w:val="18"/>
                <w:szCs w:val="18"/>
              </w:rPr>
              <w:t>£m</w:t>
            </w:r>
          </w:p>
        </w:tc>
        <w:tc>
          <w:tcPr>
            <w:tcW w:w="1134" w:type="dxa"/>
            <w:tcBorders>
              <w:left w:val="nil"/>
              <w:bottom w:val="single" w:sz="4" w:space="0" w:color="auto"/>
              <w:right w:val="single" w:sz="8" w:space="0" w:color="auto"/>
            </w:tcBorders>
            <w:shd w:val="clear" w:color="auto" w:fill="A6A6A6" w:themeFill="background1" w:themeFillShade="A6"/>
            <w:hideMark/>
          </w:tcPr>
          <w:p w:rsidR="00144349" w:rsidRPr="002F17B5" w:rsidRDefault="00144349" w:rsidP="00136D94">
            <w:pPr>
              <w:ind w:left="170"/>
              <w:jc w:val="center"/>
              <w:rPr>
                <w:b/>
                <w:bCs/>
                <w:sz w:val="18"/>
                <w:szCs w:val="18"/>
              </w:rPr>
            </w:pPr>
            <w:r w:rsidRPr="002F17B5">
              <w:rPr>
                <w:b/>
                <w:bCs/>
                <w:sz w:val="18"/>
                <w:szCs w:val="18"/>
              </w:rPr>
              <w:t>£m</w:t>
            </w:r>
          </w:p>
        </w:tc>
      </w:tr>
      <w:tr w:rsidR="00945B35" w:rsidRPr="002F17B5" w:rsidTr="008B439A">
        <w:trPr>
          <w:trHeight w:val="315"/>
          <w:jc w:val="center"/>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B35" w:rsidRPr="002F17B5" w:rsidRDefault="00945B35" w:rsidP="00136D94">
            <w:pPr>
              <w:spacing w:before="60"/>
              <w:rPr>
                <w:b/>
                <w:bCs/>
                <w:sz w:val="18"/>
                <w:szCs w:val="18"/>
              </w:rPr>
            </w:pPr>
            <w:r w:rsidRPr="002F17B5">
              <w:rPr>
                <w:b/>
                <w:bCs/>
                <w:sz w:val="18"/>
                <w:szCs w:val="18"/>
              </w:rPr>
              <w:t>Balance at 1st April 2012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45B35" w:rsidRPr="002F17B5" w:rsidRDefault="00945B35" w:rsidP="00136D94">
            <w:pPr>
              <w:spacing w:before="60"/>
              <w:jc w:val="right"/>
              <w:rPr>
                <w:b/>
                <w:bCs/>
                <w:sz w:val="18"/>
                <w:szCs w:val="18"/>
              </w:rPr>
            </w:pPr>
            <w:r w:rsidRPr="002F17B5">
              <w:rPr>
                <w:b/>
                <w:bCs/>
                <w:sz w:val="18"/>
                <w:szCs w:val="18"/>
              </w:rPr>
              <w:t>(36.5)</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45B35" w:rsidRPr="002F17B5" w:rsidRDefault="00945B35" w:rsidP="00136D94">
            <w:pPr>
              <w:spacing w:before="60"/>
              <w:jc w:val="right"/>
              <w:rPr>
                <w:b/>
                <w:bCs/>
                <w:sz w:val="18"/>
                <w:szCs w:val="18"/>
              </w:rPr>
            </w:pPr>
            <w:r w:rsidRPr="002F17B5">
              <w:rPr>
                <w:b/>
                <w:bCs/>
                <w:sz w:val="18"/>
                <w:szCs w:val="18"/>
              </w:rPr>
              <w:t>(248.1)</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rsidP="00136D94">
            <w:pPr>
              <w:spacing w:before="60"/>
              <w:jc w:val="right"/>
              <w:rPr>
                <w:b/>
                <w:bCs/>
                <w:sz w:val="18"/>
                <w:szCs w:val="18"/>
              </w:rPr>
            </w:pPr>
            <w:r w:rsidRPr="002F17B5">
              <w:rPr>
                <w:b/>
                <w:bCs/>
                <w:sz w:val="18"/>
                <w:szCs w:val="18"/>
              </w:rPr>
              <w:t>(2.9)</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rsidP="00136D94">
            <w:pPr>
              <w:spacing w:before="60"/>
              <w:jc w:val="right"/>
              <w:rPr>
                <w:b/>
                <w:bCs/>
                <w:sz w:val="18"/>
                <w:szCs w:val="18"/>
              </w:rPr>
            </w:pPr>
            <w:r w:rsidRPr="002F17B5">
              <w:rPr>
                <w:b/>
                <w:bCs/>
                <w:sz w:val="18"/>
                <w:szCs w:val="18"/>
              </w:rPr>
              <w:t>(13.1)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rsidP="00136D94">
            <w:pPr>
              <w:spacing w:before="60"/>
              <w:jc w:val="right"/>
              <w:rPr>
                <w:b/>
                <w:bCs/>
                <w:sz w:val="18"/>
                <w:szCs w:val="18"/>
              </w:rPr>
            </w:pPr>
            <w:r w:rsidRPr="002F17B5">
              <w:rPr>
                <w:b/>
                <w:bCs/>
                <w:sz w:val="18"/>
                <w:szCs w:val="18"/>
              </w:rPr>
              <w:t>(22.9)</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rsidP="00136D94">
            <w:pPr>
              <w:spacing w:before="60"/>
              <w:jc w:val="right"/>
              <w:rPr>
                <w:b/>
                <w:bCs/>
                <w:sz w:val="18"/>
                <w:szCs w:val="18"/>
              </w:rPr>
            </w:pPr>
            <w:r w:rsidRPr="002F17B5">
              <w:rPr>
                <w:b/>
                <w:bCs/>
                <w:sz w:val="18"/>
                <w:szCs w:val="18"/>
              </w:rPr>
              <w:t>(121.3)</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D73DF" w:rsidRPr="002F17B5" w:rsidRDefault="00945B35" w:rsidP="00136D94">
            <w:pPr>
              <w:spacing w:before="60"/>
              <w:jc w:val="right"/>
              <w:rPr>
                <w:b/>
                <w:bCs/>
                <w:sz w:val="18"/>
                <w:szCs w:val="18"/>
              </w:rPr>
            </w:pPr>
            <w:r w:rsidRPr="002F17B5">
              <w:rPr>
                <w:b/>
                <w:bCs/>
                <w:sz w:val="18"/>
                <w:szCs w:val="18"/>
              </w:rPr>
              <w:t>(444.8)</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D73DF" w:rsidRPr="002F17B5" w:rsidRDefault="00945B35" w:rsidP="00136D94">
            <w:pPr>
              <w:spacing w:before="60"/>
              <w:jc w:val="right"/>
              <w:rPr>
                <w:b/>
                <w:bCs/>
                <w:sz w:val="18"/>
                <w:szCs w:val="18"/>
              </w:rPr>
            </w:pPr>
            <w:r w:rsidRPr="002F17B5">
              <w:rPr>
                <w:b/>
                <w:bCs/>
                <w:sz w:val="18"/>
                <w:szCs w:val="18"/>
              </w:rPr>
              <w:t>(592.8)</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D73DF" w:rsidRPr="002F17B5" w:rsidRDefault="00945B35" w:rsidP="00136D94">
            <w:pPr>
              <w:spacing w:before="60"/>
              <w:jc w:val="right"/>
              <w:rPr>
                <w:b/>
                <w:bCs/>
                <w:sz w:val="18"/>
                <w:szCs w:val="18"/>
              </w:rPr>
            </w:pPr>
            <w:r w:rsidRPr="002F17B5">
              <w:rPr>
                <w:b/>
                <w:bCs/>
                <w:sz w:val="18"/>
                <w:szCs w:val="18"/>
              </w:rPr>
              <w:t>(1,037.6)</w:t>
            </w:r>
          </w:p>
        </w:tc>
      </w:tr>
      <w:tr w:rsidR="00945B35" w:rsidRPr="002F17B5" w:rsidTr="008B439A">
        <w:trPr>
          <w:trHeight w:val="379"/>
          <w:jc w:val="center"/>
        </w:trPr>
        <w:tc>
          <w:tcPr>
            <w:tcW w:w="5675" w:type="dxa"/>
            <w:tcBorders>
              <w:top w:val="single" w:sz="4" w:space="0" w:color="auto"/>
              <w:left w:val="single" w:sz="4" w:space="0" w:color="auto"/>
              <w:bottom w:val="nil"/>
              <w:right w:val="single" w:sz="4" w:space="0" w:color="auto"/>
            </w:tcBorders>
            <w:shd w:val="clear" w:color="auto" w:fill="FFFFFF" w:themeFill="background1"/>
            <w:vAlign w:val="bottom"/>
            <w:hideMark/>
          </w:tcPr>
          <w:p w:rsidR="00945B35" w:rsidRPr="002F17B5" w:rsidRDefault="00945B35" w:rsidP="00B70B4B">
            <w:pPr>
              <w:rPr>
                <w:rFonts w:cs="Arial"/>
                <w:sz w:val="18"/>
                <w:szCs w:val="18"/>
                <w:u w:val="single"/>
              </w:rPr>
            </w:pPr>
            <w:r w:rsidRPr="002F17B5">
              <w:rPr>
                <w:rFonts w:cs="Arial"/>
                <w:sz w:val="18"/>
                <w:szCs w:val="18"/>
                <w:u w:val="single"/>
              </w:rPr>
              <w:t>Mov</w:t>
            </w:r>
            <w:r w:rsidR="00B72452">
              <w:rPr>
                <w:rFonts w:cs="Arial"/>
                <w:sz w:val="18"/>
                <w:szCs w:val="18"/>
                <w:u w:val="single"/>
              </w:rPr>
              <w:t>ement in Reserves During 2012/13</w:t>
            </w:r>
          </w:p>
        </w:tc>
        <w:tc>
          <w:tcPr>
            <w:tcW w:w="851" w:type="dxa"/>
            <w:tcBorders>
              <w:top w:val="single" w:sz="4" w:space="0" w:color="auto"/>
              <w:left w:val="nil"/>
              <w:bottom w:val="nil"/>
              <w:right w:val="single" w:sz="4" w:space="0" w:color="auto"/>
            </w:tcBorders>
            <w:shd w:val="clear" w:color="auto" w:fill="FFFFFF" w:themeFill="background1"/>
            <w:noWrap/>
            <w:vAlign w:val="bottom"/>
            <w:hideMark/>
          </w:tcPr>
          <w:p w:rsidR="001D73DF" w:rsidRPr="002F17B5" w:rsidRDefault="001D73DF">
            <w:pPr>
              <w:jc w:val="right"/>
              <w:rPr>
                <w:rFonts w:ascii="Calibri" w:hAnsi="Calibri"/>
                <w:sz w:val="18"/>
                <w:szCs w:val="18"/>
              </w:rPr>
            </w:pPr>
          </w:p>
        </w:tc>
        <w:tc>
          <w:tcPr>
            <w:tcW w:w="1276" w:type="dxa"/>
            <w:tcBorders>
              <w:top w:val="single" w:sz="4" w:space="0" w:color="auto"/>
              <w:left w:val="nil"/>
              <w:bottom w:val="nil"/>
              <w:right w:val="single" w:sz="4" w:space="0" w:color="auto"/>
            </w:tcBorders>
            <w:shd w:val="clear" w:color="auto" w:fill="FFFFFF" w:themeFill="background1"/>
            <w:noWrap/>
            <w:vAlign w:val="bottom"/>
            <w:hideMark/>
          </w:tcPr>
          <w:p w:rsidR="001D73DF" w:rsidRPr="002F17B5" w:rsidRDefault="001D73DF">
            <w:pPr>
              <w:jc w:val="right"/>
              <w:rPr>
                <w:rFonts w:ascii="Calibri" w:hAnsi="Calibri"/>
                <w:sz w:val="18"/>
                <w:szCs w:val="18"/>
              </w:rPr>
            </w:pPr>
          </w:p>
        </w:tc>
        <w:tc>
          <w:tcPr>
            <w:tcW w:w="1275" w:type="dxa"/>
            <w:tcBorders>
              <w:top w:val="single" w:sz="4" w:space="0" w:color="auto"/>
              <w:left w:val="nil"/>
              <w:bottom w:val="nil"/>
              <w:right w:val="single" w:sz="4" w:space="0" w:color="auto"/>
            </w:tcBorders>
            <w:shd w:val="clear" w:color="auto" w:fill="FFFFFF" w:themeFill="background1"/>
            <w:noWrap/>
            <w:vAlign w:val="bottom"/>
            <w:hideMark/>
          </w:tcPr>
          <w:p w:rsidR="001D73DF" w:rsidRPr="002F17B5" w:rsidRDefault="001D73DF">
            <w:pPr>
              <w:jc w:val="right"/>
              <w:rPr>
                <w:rFonts w:ascii="Calibri" w:hAnsi="Calibri"/>
                <w:sz w:val="18"/>
                <w:szCs w:val="18"/>
              </w:rPr>
            </w:pPr>
          </w:p>
        </w:tc>
        <w:tc>
          <w:tcPr>
            <w:tcW w:w="1134" w:type="dxa"/>
            <w:tcBorders>
              <w:top w:val="single" w:sz="4" w:space="0" w:color="auto"/>
              <w:left w:val="nil"/>
              <w:bottom w:val="nil"/>
              <w:right w:val="single" w:sz="4" w:space="0" w:color="auto"/>
            </w:tcBorders>
            <w:shd w:val="clear" w:color="auto" w:fill="FFFFFF" w:themeFill="background1"/>
            <w:noWrap/>
            <w:vAlign w:val="bottom"/>
            <w:hideMark/>
          </w:tcPr>
          <w:p w:rsidR="001D73DF" w:rsidRPr="002F17B5" w:rsidRDefault="001D73DF">
            <w:pPr>
              <w:jc w:val="right"/>
              <w:rPr>
                <w:rFonts w:ascii="Calibri" w:hAnsi="Calibri"/>
                <w:sz w:val="18"/>
                <w:szCs w:val="18"/>
              </w:rPr>
            </w:pPr>
          </w:p>
        </w:tc>
        <w:tc>
          <w:tcPr>
            <w:tcW w:w="1134" w:type="dxa"/>
            <w:tcBorders>
              <w:top w:val="single" w:sz="4" w:space="0" w:color="auto"/>
              <w:left w:val="nil"/>
              <w:bottom w:val="nil"/>
              <w:right w:val="nil"/>
            </w:tcBorders>
            <w:shd w:val="clear" w:color="auto" w:fill="FFFFFF" w:themeFill="background1"/>
            <w:noWrap/>
            <w:vAlign w:val="bottom"/>
            <w:hideMark/>
          </w:tcPr>
          <w:p w:rsidR="001D73DF" w:rsidRPr="002F17B5" w:rsidRDefault="001D73DF">
            <w:pPr>
              <w:jc w:val="right"/>
              <w:rPr>
                <w:rFonts w:ascii="Calibri" w:hAnsi="Calibri"/>
                <w:sz w:val="18"/>
                <w:szCs w:val="18"/>
              </w:rPr>
            </w:pPr>
          </w:p>
        </w:tc>
        <w:tc>
          <w:tcPr>
            <w:tcW w:w="1134" w:type="dxa"/>
            <w:tcBorders>
              <w:top w:val="single" w:sz="4" w:space="0" w:color="auto"/>
              <w:left w:val="single" w:sz="4" w:space="0" w:color="auto"/>
              <w:bottom w:val="nil"/>
              <w:right w:val="nil"/>
            </w:tcBorders>
            <w:shd w:val="clear" w:color="auto" w:fill="FFFFFF" w:themeFill="background1"/>
            <w:noWrap/>
            <w:vAlign w:val="bottom"/>
            <w:hideMark/>
          </w:tcPr>
          <w:p w:rsidR="001D73DF" w:rsidRPr="002F17B5" w:rsidRDefault="001D73DF">
            <w:pPr>
              <w:jc w:val="right"/>
              <w:rPr>
                <w:rFonts w:ascii="Calibri" w:hAnsi="Calibri"/>
                <w:sz w:val="18"/>
                <w:szCs w:val="18"/>
              </w:rPr>
            </w:pPr>
          </w:p>
        </w:tc>
        <w:tc>
          <w:tcPr>
            <w:tcW w:w="1134" w:type="dxa"/>
            <w:tcBorders>
              <w:top w:val="single" w:sz="4" w:space="0" w:color="auto"/>
              <w:left w:val="single" w:sz="8" w:space="0" w:color="auto"/>
              <w:bottom w:val="nil"/>
              <w:right w:val="single" w:sz="8" w:space="0" w:color="auto"/>
            </w:tcBorders>
            <w:shd w:val="clear" w:color="auto" w:fill="D9D9D9" w:themeFill="background1" w:themeFillShade="D9"/>
            <w:noWrap/>
            <w:vAlign w:val="bottom"/>
            <w:hideMark/>
          </w:tcPr>
          <w:p w:rsidR="00945B35" w:rsidRPr="002F17B5" w:rsidRDefault="00945B35" w:rsidP="0019010D">
            <w:pPr>
              <w:jc w:val="right"/>
              <w:rPr>
                <w:rFonts w:ascii="Calibri" w:hAnsi="Calibri"/>
                <w:sz w:val="18"/>
                <w:szCs w:val="18"/>
              </w:rPr>
            </w:pPr>
          </w:p>
        </w:tc>
        <w:tc>
          <w:tcPr>
            <w:tcW w:w="1134" w:type="dxa"/>
            <w:tcBorders>
              <w:top w:val="single" w:sz="4" w:space="0" w:color="auto"/>
              <w:left w:val="nil"/>
              <w:bottom w:val="nil"/>
              <w:right w:val="single" w:sz="8" w:space="0" w:color="auto"/>
            </w:tcBorders>
            <w:shd w:val="clear" w:color="auto" w:fill="D9D9D9" w:themeFill="background1" w:themeFillShade="D9"/>
            <w:noWrap/>
            <w:vAlign w:val="bottom"/>
            <w:hideMark/>
          </w:tcPr>
          <w:p w:rsidR="00945B35" w:rsidRPr="002F17B5" w:rsidRDefault="00945B35" w:rsidP="0019010D">
            <w:pPr>
              <w:jc w:val="right"/>
              <w:rPr>
                <w:rFonts w:ascii="Calibri" w:hAnsi="Calibri"/>
                <w:sz w:val="18"/>
                <w:szCs w:val="18"/>
              </w:rPr>
            </w:pPr>
          </w:p>
        </w:tc>
        <w:tc>
          <w:tcPr>
            <w:tcW w:w="1134" w:type="dxa"/>
            <w:tcBorders>
              <w:top w:val="single" w:sz="4" w:space="0" w:color="auto"/>
              <w:left w:val="nil"/>
              <w:bottom w:val="nil"/>
              <w:right w:val="single" w:sz="8" w:space="0" w:color="auto"/>
            </w:tcBorders>
            <w:shd w:val="clear" w:color="auto" w:fill="A6A6A6" w:themeFill="background1" w:themeFillShade="A6"/>
            <w:noWrap/>
            <w:vAlign w:val="bottom"/>
            <w:hideMark/>
          </w:tcPr>
          <w:p w:rsidR="001D73DF" w:rsidRPr="002F17B5" w:rsidRDefault="001D73DF">
            <w:pPr>
              <w:jc w:val="right"/>
              <w:rPr>
                <w:rFonts w:ascii="Calibri" w:hAnsi="Calibri"/>
                <w:sz w:val="18"/>
                <w:szCs w:val="18"/>
              </w:rPr>
            </w:pPr>
          </w:p>
        </w:tc>
      </w:tr>
      <w:tr w:rsidR="00945B35" w:rsidRPr="002F17B5" w:rsidTr="00434123">
        <w:trPr>
          <w:trHeight w:val="280"/>
          <w:jc w:val="center"/>
        </w:trPr>
        <w:tc>
          <w:tcPr>
            <w:tcW w:w="5675" w:type="dxa"/>
            <w:tcBorders>
              <w:top w:val="nil"/>
              <w:left w:val="single" w:sz="4" w:space="0" w:color="auto"/>
              <w:bottom w:val="nil"/>
              <w:right w:val="single" w:sz="4" w:space="0" w:color="auto"/>
            </w:tcBorders>
            <w:shd w:val="clear" w:color="auto" w:fill="FFFFFF" w:themeFill="background1"/>
            <w:vAlign w:val="bottom"/>
            <w:hideMark/>
          </w:tcPr>
          <w:p w:rsidR="00945B35" w:rsidRPr="002F17B5" w:rsidRDefault="00945B35" w:rsidP="00136D94">
            <w:pPr>
              <w:jc w:val="left"/>
              <w:rPr>
                <w:rFonts w:cs="Arial"/>
                <w:sz w:val="18"/>
                <w:szCs w:val="18"/>
              </w:rPr>
            </w:pPr>
            <w:r w:rsidRPr="002F17B5">
              <w:rPr>
                <w:rFonts w:cs="Arial"/>
                <w:sz w:val="18"/>
                <w:szCs w:val="18"/>
              </w:rPr>
              <w:t xml:space="preserve">(Surplus) or deficit on provision of services </w:t>
            </w:r>
          </w:p>
        </w:tc>
        <w:tc>
          <w:tcPr>
            <w:tcW w:w="851" w:type="dxa"/>
            <w:tcBorders>
              <w:top w:val="nil"/>
              <w:left w:val="nil"/>
              <w:bottom w:val="nil"/>
              <w:right w:val="single" w:sz="4" w:space="0" w:color="auto"/>
            </w:tcBorders>
            <w:shd w:val="clear" w:color="auto" w:fill="FFFFFF" w:themeFill="background1"/>
            <w:noWrap/>
            <w:vAlign w:val="bottom"/>
            <w:hideMark/>
          </w:tcPr>
          <w:p w:rsidR="00945B35" w:rsidRPr="002F17B5" w:rsidRDefault="00945B35" w:rsidP="0019010D">
            <w:pPr>
              <w:jc w:val="right"/>
              <w:rPr>
                <w:sz w:val="18"/>
                <w:szCs w:val="18"/>
              </w:rPr>
            </w:pPr>
            <w:r w:rsidRPr="002F17B5">
              <w:rPr>
                <w:sz w:val="18"/>
                <w:szCs w:val="18"/>
              </w:rPr>
              <w:t>(33.0)</w:t>
            </w:r>
          </w:p>
        </w:tc>
        <w:tc>
          <w:tcPr>
            <w:tcW w:w="1276" w:type="dxa"/>
            <w:tcBorders>
              <w:top w:val="nil"/>
              <w:left w:val="nil"/>
              <w:bottom w:val="nil"/>
              <w:right w:val="single" w:sz="4" w:space="0" w:color="auto"/>
            </w:tcBorders>
            <w:shd w:val="clear" w:color="auto" w:fill="FFFFFF" w:themeFill="background1"/>
            <w:noWrap/>
            <w:vAlign w:val="bottom"/>
            <w:hideMark/>
          </w:tcPr>
          <w:p w:rsidR="00945B35" w:rsidRPr="002F17B5" w:rsidRDefault="00945B35" w:rsidP="0019010D">
            <w:pPr>
              <w:jc w:val="right"/>
              <w:rPr>
                <w:sz w:val="18"/>
                <w:szCs w:val="18"/>
              </w:rPr>
            </w:pPr>
            <w:r w:rsidRPr="002F17B5">
              <w:rPr>
                <w:sz w:val="18"/>
                <w:szCs w:val="18"/>
              </w:rPr>
              <w:t xml:space="preserve">- </w:t>
            </w:r>
          </w:p>
        </w:tc>
        <w:tc>
          <w:tcPr>
            <w:tcW w:w="1275" w:type="dxa"/>
            <w:tcBorders>
              <w:top w:val="nil"/>
              <w:left w:val="nil"/>
              <w:bottom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bottom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bottom w:val="nil"/>
              <w:right w:val="nil"/>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single" w:sz="4" w:space="0" w:color="auto"/>
              <w:bottom w:val="nil"/>
              <w:right w:val="nil"/>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D73DF" w:rsidRPr="002F17B5" w:rsidRDefault="00945B35">
            <w:pPr>
              <w:jc w:val="right"/>
              <w:rPr>
                <w:sz w:val="18"/>
                <w:szCs w:val="18"/>
              </w:rPr>
            </w:pPr>
            <w:r w:rsidRPr="002F17B5">
              <w:rPr>
                <w:sz w:val="18"/>
                <w:szCs w:val="18"/>
              </w:rPr>
              <w:t>(33.0)</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D73DF" w:rsidRPr="002F17B5" w:rsidRDefault="00945B35">
            <w:pPr>
              <w:jc w:val="right"/>
              <w:rPr>
                <w:sz w:val="18"/>
                <w:szCs w:val="18"/>
              </w:rPr>
            </w:pPr>
            <w:r w:rsidRPr="002F17B5">
              <w:rPr>
                <w:sz w:val="18"/>
                <w:szCs w:val="18"/>
              </w:rPr>
              <w:t>(33.0)</w:t>
            </w:r>
          </w:p>
        </w:tc>
      </w:tr>
      <w:tr w:rsidR="00945B35" w:rsidRPr="002F17B5" w:rsidTr="00434123">
        <w:trPr>
          <w:trHeight w:val="284"/>
          <w:jc w:val="center"/>
        </w:trPr>
        <w:tc>
          <w:tcPr>
            <w:tcW w:w="5675" w:type="dxa"/>
            <w:tcBorders>
              <w:top w:val="nil"/>
              <w:left w:val="single" w:sz="4" w:space="0" w:color="auto"/>
              <w:bottom w:val="nil"/>
              <w:right w:val="single" w:sz="4" w:space="0" w:color="auto"/>
            </w:tcBorders>
            <w:shd w:val="clear" w:color="auto" w:fill="FFFFFF" w:themeFill="background1"/>
            <w:vAlign w:val="bottom"/>
            <w:hideMark/>
          </w:tcPr>
          <w:p w:rsidR="00945B35" w:rsidRPr="002F17B5" w:rsidRDefault="00945B35" w:rsidP="00136D94">
            <w:pPr>
              <w:jc w:val="left"/>
              <w:rPr>
                <w:rFonts w:cs="Arial"/>
                <w:sz w:val="18"/>
                <w:szCs w:val="18"/>
              </w:rPr>
            </w:pPr>
            <w:r w:rsidRPr="002F17B5">
              <w:rPr>
                <w:rFonts w:cs="Arial"/>
                <w:sz w:val="18"/>
                <w:szCs w:val="18"/>
              </w:rPr>
              <w:t>Other Comprehensive Income and Expenditure</w:t>
            </w:r>
          </w:p>
        </w:tc>
        <w:tc>
          <w:tcPr>
            <w:tcW w:w="851" w:type="dxa"/>
            <w:tcBorders>
              <w:top w:val="nil"/>
              <w:left w:val="nil"/>
              <w:right w:val="single" w:sz="4" w:space="0" w:color="auto"/>
            </w:tcBorders>
            <w:shd w:val="clear" w:color="auto" w:fill="FFFFFF" w:themeFill="background1"/>
            <w:noWrap/>
            <w:vAlign w:val="bottom"/>
            <w:hideMark/>
          </w:tcPr>
          <w:p w:rsidR="00945B35" w:rsidRPr="002F17B5" w:rsidRDefault="006F6AB1" w:rsidP="0019010D">
            <w:pPr>
              <w:jc w:val="right"/>
              <w:rPr>
                <w:sz w:val="18"/>
                <w:szCs w:val="18"/>
              </w:rPr>
            </w:pPr>
            <w:r>
              <w:rPr>
                <w:sz w:val="18"/>
                <w:szCs w:val="18"/>
              </w:rPr>
              <w:t>0.2</w:t>
            </w:r>
            <w:r w:rsidR="00945B35" w:rsidRPr="002F17B5">
              <w:rPr>
                <w:sz w:val="18"/>
                <w:szCs w:val="18"/>
              </w:rPr>
              <w:t xml:space="preserve"> </w:t>
            </w:r>
          </w:p>
        </w:tc>
        <w:tc>
          <w:tcPr>
            <w:tcW w:w="1276" w:type="dxa"/>
            <w:tcBorders>
              <w:top w:val="nil"/>
              <w:left w:val="nil"/>
              <w:right w:val="single" w:sz="4" w:space="0" w:color="auto"/>
            </w:tcBorders>
            <w:shd w:val="clear" w:color="auto" w:fill="FFFFFF" w:themeFill="background1"/>
            <w:noWrap/>
            <w:vAlign w:val="bottom"/>
            <w:hideMark/>
          </w:tcPr>
          <w:p w:rsidR="00945B35" w:rsidRPr="002F17B5" w:rsidRDefault="00945B35" w:rsidP="0019010D">
            <w:pPr>
              <w:jc w:val="right"/>
              <w:rPr>
                <w:sz w:val="18"/>
                <w:szCs w:val="18"/>
              </w:rPr>
            </w:pPr>
            <w:r w:rsidRPr="002F17B5">
              <w:rPr>
                <w:sz w:val="18"/>
                <w:szCs w:val="18"/>
              </w:rPr>
              <w:t xml:space="preserve">- </w:t>
            </w:r>
          </w:p>
        </w:tc>
        <w:tc>
          <w:tcPr>
            <w:tcW w:w="1275" w:type="dxa"/>
            <w:tcBorders>
              <w:top w:val="nil"/>
              <w:left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D73DF" w:rsidRPr="002F17B5" w:rsidRDefault="006F6AB1">
            <w:pPr>
              <w:jc w:val="right"/>
              <w:rPr>
                <w:sz w:val="18"/>
                <w:szCs w:val="18"/>
              </w:rPr>
            </w:pPr>
            <w:r>
              <w:rPr>
                <w:sz w:val="18"/>
                <w:szCs w:val="18"/>
              </w:rPr>
              <w:t>0.3</w:t>
            </w:r>
            <w:r w:rsidR="00945B35" w:rsidRPr="002F17B5">
              <w:rPr>
                <w:sz w:val="18"/>
                <w:szCs w:val="18"/>
              </w:rPr>
              <w:t xml:space="preserve">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D73DF" w:rsidRPr="002F17B5" w:rsidRDefault="006F6AB1">
            <w:pPr>
              <w:jc w:val="right"/>
              <w:rPr>
                <w:sz w:val="18"/>
                <w:szCs w:val="18"/>
              </w:rPr>
            </w:pPr>
            <w:r>
              <w:rPr>
                <w:sz w:val="18"/>
                <w:szCs w:val="18"/>
              </w:rPr>
              <w:t>0.5</w:t>
            </w:r>
            <w:r w:rsidR="00945B35" w:rsidRPr="002F17B5">
              <w:rPr>
                <w:sz w:val="18"/>
                <w:szCs w:val="18"/>
              </w:rPr>
              <w:t xml:space="preserve">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D73DF" w:rsidRPr="002F17B5" w:rsidRDefault="006F6AB1">
            <w:pPr>
              <w:jc w:val="right"/>
              <w:rPr>
                <w:sz w:val="18"/>
                <w:szCs w:val="18"/>
              </w:rPr>
            </w:pPr>
            <w:r>
              <w:rPr>
                <w:sz w:val="18"/>
                <w:szCs w:val="18"/>
              </w:rPr>
              <w:t>206.4</w:t>
            </w:r>
            <w:r w:rsidR="00945B35" w:rsidRPr="002F17B5">
              <w:rPr>
                <w:sz w:val="18"/>
                <w:szCs w:val="18"/>
              </w:rPr>
              <w:t xml:space="preserve">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D73DF" w:rsidRPr="002F17B5" w:rsidRDefault="006F6AB1">
            <w:pPr>
              <w:jc w:val="right"/>
              <w:rPr>
                <w:sz w:val="18"/>
                <w:szCs w:val="18"/>
              </w:rPr>
            </w:pPr>
            <w:r>
              <w:rPr>
                <w:sz w:val="18"/>
                <w:szCs w:val="18"/>
              </w:rPr>
              <w:t>206.9</w:t>
            </w:r>
            <w:r w:rsidR="00945B35" w:rsidRPr="002F17B5">
              <w:rPr>
                <w:sz w:val="18"/>
                <w:szCs w:val="18"/>
              </w:rPr>
              <w:t xml:space="preserve"> </w:t>
            </w:r>
          </w:p>
        </w:tc>
      </w:tr>
      <w:tr w:rsidR="00945B35" w:rsidRPr="002F17B5" w:rsidTr="00E0041C">
        <w:trPr>
          <w:trHeight w:val="136"/>
          <w:jc w:val="center"/>
        </w:trPr>
        <w:tc>
          <w:tcPr>
            <w:tcW w:w="5675" w:type="dxa"/>
            <w:tcBorders>
              <w:left w:val="single" w:sz="4" w:space="0" w:color="auto"/>
              <w:right w:val="single" w:sz="4" w:space="0" w:color="auto"/>
            </w:tcBorders>
            <w:shd w:val="clear" w:color="auto" w:fill="FFFFFF" w:themeFill="background1"/>
            <w:vAlign w:val="bottom"/>
            <w:hideMark/>
          </w:tcPr>
          <w:p w:rsidR="00945B35" w:rsidRPr="002F17B5" w:rsidRDefault="00945B35" w:rsidP="00136D94">
            <w:pPr>
              <w:jc w:val="left"/>
              <w:rPr>
                <w:b/>
                <w:bCs/>
                <w:sz w:val="18"/>
                <w:szCs w:val="18"/>
              </w:rPr>
            </w:pPr>
            <w:r w:rsidRPr="002F17B5">
              <w:rPr>
                <w:b/>
                <w:bCs/>
                <w:sz w:val="18"/>
                <w:szCs w:val="18"/>
              </w:rPr>
              <w:t xml:space="preserve">Total Comprehensive Income and Expenditure </w:t>
            </w:r>
          </w:p>
        </w:tc>
        <w:tc>
          <w:tcPr>
            <w:tcW w:w="851" w:type="dxa"/>
            <w:tcBorders>
              <w:left w:val="nil"/>
              <w:right w:val="single" w:sz="4" w:space="0" w:color="auto"/>
            </w:tcBorders>
            <w:shd w:val="clear" w:color="auto" w:fill="FFFFFF" w:themeFill="background1"/>
            <w:noWrap/>
            <w:vAlign w:val="bottom"/>
            <w:hideMark/>
          </w:tcPr>
          <w:p w:rsidR="00945B35" w:rsidRPr="002F17B5" w:rsidRDefault="00945B35" w:rsidP="0019010D">
            <w:pPr>
              <w:jc w:val="right"/>
              <w:rPr>
                <w:b/>
                <w:bCs/>
                <w:sz w:val="18"/>
                <w:szCs w:val="18"/>
              </w:rPr>
            </w:pPr>
            <w:r w:rsidRPr="002F17B5">
              <w:rPr>
                <w:b/>
                <w:bCs/>
                <w:sz w:val="18"/>
                <w:szCs w:val="18"/>
              </w:rPr>
              <w:t>(32.8)</w:t>
            </w:r>
          </w:p>
        </w:tc>
        <w:tc>
          <w:tcPr>
            <w:tcW w:w="1276" w:type="dxa"/>
            <w:tcBorders>
              <w:left w:val="nil"/>
              <w:right w:val="single" w:sz="4" w:space="0" w:color="auto"/>
            </w:tcBorders>
            <w:shd w:val="clear" w:color="auto" w:fill="FFFFFF" w:themeFill="background1"/>
            <w:noWrap/>
            <w:vAlign w:val="bottom"/>
            <w:hideMark/>
          </w:tcPr>
          <w:p w:rsidR="00945B35" w:rsidRPr="002F17B5" w:rsidRDefault="00945B35" w:rsidP="0019010D">
            <w:pPr>
              <w:jc w:val="right"/>
              <w:rPr>
                <w:b/>
                <w:bCs/>
                <w:sz w:val="18"/>
                <w:szCs w:val="18"/>
              </w:rPr>
            </w:pPr>
            <w:r w:rsidRPr="002F17B5">
              <w:rPr>
                <w:b/>
                <w:bCs/>
                <w:sz w:val="18"/>
                <w:szCs w:val="18"/>
              </w:rPr>
              <w:t xml:space="preserve">- </w:t>
            </w:r>
          </w:p>
        </w:tc>
        <w:tc>
          <w:tcPr>
            <w:tcW w:w="1275" w:type="dxa"/>
            <w:tcBorders>
              <w:left w:val="nil"/>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 xml:space="preserve">- </w:t>
            </w:r>
          </w:p>
        </w:tc>
        <w:tc>
          <w:tcPr>
            <w:tcW w:w="1134" w:type="dxa"/>
            <w:tcBorders>
              <w:left w:val="nil"/>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 xml:space="preserve">- </w:t>
            </w:r>
          </w:p>
        </w:tc>
        <w:tc>
          <w:tcPr>
            <w:tcW w:w="1134" w:type="dxa"/>
            <w:tcBorders>
              <w:left w:val="nil"/>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 xml:space="preserve">- </w:t>
            </w:r>
          </w:p>
        </w:tc>
        <w:tc>
          <w:tcPr>
            <w:tcW w:w="1134" w:type="dxa"/>
            <w:tcBorders>
              <w:left w:val="nil"/>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 xml:space="preserve">             0.3</w:t>
            </w:r>
          </w:p>
        </w:tc>
        <w:tc>
          <w:tcPr>
            <w:tcW w:w="1134" w:type="dxa"/>
            <w:tcBorders>
              <w:left w:val="single" w:sz="8" w:space="0" w:color="auto"/>
              <w:right w:val="single" w:sz="8" w:space="0" w:color="auto"/>
            </w:tcBorders>
            <w:shd w:val="clear" w:color="auto" w:fill="D9D9D9" w:themeFill="background1" w:themeFillShade="D9"/>
            <w:noWrap/>
            <w:vAlign w:val="bottom"/>
            <w:hideMark/>
          </w:tcPr>
          <w:p w:rsidR="00945B35" w:rsidRPr="002F17B5" w:rsidRDefault="00945B35" w:rsidP="0019010D">
            <w:pPr>
              <w:jc w:val="right"/>
              <w:rPr>
                <w:b/>
                <w:bCs/>
                <w:sz w:val="18"/>
                <w:szCs w:val="18"/>
              </w:rPr>
            </w:pPr>
            <w:r w:rsidRPr="002F17B5">
              <w:rPr>
                <w:b/>
                <w:bCs/>
                <w:sz w:val="18"/>
                <w:szCs w:val="18"/>
              </w:rPr>
              <w:t>(32.5)</w:t>
            </w:r>
          </w:p>
        </w:tc>
        <w:tc>
          <w:tcPr>
            <w:tcW w:w="1134" w:type="dxa"/>
            <w:tcBorders>
              <w:left w:val="nil"/>
              <w:right w:val="single" w:sz="8" w:space="0" w:color="auto"/>
            </w:tcBorders>
            <w:shd w:val="clear" w:color="auto" w:fill="D9D9D9" w:themeFill="background1" w:themeFillShade="D9"/>
            <w:noWrap/>
            <w:vAlign w:val="bottom"/>
            <w:hideMark/>
          </w:tcPr>
          <w:p w:rsidR="00945B35" w:rsidRPr="002F17B5" w:rsidRDefault="00945B35" w:rsidP="0019010D">
            <w:pPr>
              <w:jc w:val="right"/>
              <w:rPr>
                <w:b/>
                <w:bCs/>
                <w:sz w:val="18"/>
                <w:szCs w:val="18"/>
              </w:rPr>
            </w:pPr>
            <w:r w:rsidRPr="002F17B5">
              <w:rPr>
                <w:b/>
                <w:bCs/>
                <w:sz w:val="18"/>
                <w:szCs w:val="18"/>
              </w:rPr>
              <w:t xml:space="preserve">206.4 </w:t>
            </w:r>
          </w:p>
        </w:tc>
        <w:tc>
          <w:tcPr>
            <w:tcW w:w="1134" w:type="dxa"/>
            <w:tcBorders>
              <w:left w:val="nil"/>
              <w:right w:val="single" w:sz="4" w:space="0" w:color="auto"/>
            </w:tcBorders>
            <w:shd w:val="clear" w:color="auto" w:fill="A6A6A6" w:themeFill="background1" w:themeFillShade="A6"/>
            <w:noWrap/>
            <w:vAlign w:val="bottom"/>
            <w:hideMark/>
          </w:tcPr>
          <w:p w:rsidR="001D73DF" w:rsidRPr="002F17B5" w:rsidRDefault="00945B35">
            <w:pPr>
              <w:jc w:val="right"/>
              <w:rPr>
                <w:b/>
                <w:bCs/>
                <w:sz w:val="18"/>
                <w:szCs w:val="18"/>
              </w:rPr>
            </w:pPr>
            <w:r w:rsidRPr="002F17B5">
              <w:rPr>
                <w:b/>
                <w:bCs/>
                <w:sz w:val="18"/>
                <w:szCs w:val="18"/>
              </w:rPr>
              <w:t xml:space="preserve">173.9 </w:t>
            </w:r>
          </w:p>
        </w:tc>
      </w:tr>
      <w:tr w:rsidR="00945B35" w:rsidRPr="002F17B5" w:rsidTr="00E0041C">
        <w:trPr>
          <w:trHeight w:val="480"/>
          <w:jc w:val="center"/>
        </w:trPr>
        <w:tc>
          <w:tcPr>
            <w:tcW w:w="5675" w:type="dxa"/>
            <w:tcBorders>
              <w:top w:val="nil"/>
              <w:left w:val="single" w:sz="4" w:space="0" w:color="auto"/>
              <w:right w:val="single" w:sz="4" w:space="0" w:color="auto"/>
            </w:tcBorders>
            <w:shd w:val="clear" w:color="auto" w:fill="FFFFFF" w:themeFill="background1"/>
            <w:vAlign w:val="bottom"/>
            <w:hideMark/>
          </w:tcPr>
          <w:p w:rsidR="00945B35" w:rsidRPr="002F17B5" w:rsidRDefault="00945B35" w:rsidP="00136D94">
            <w:pPr>
              <w:jc w:val="left"/>
              <w:rPr>
                <w:sz w:val="18"/>
                <w:szCs w:val="18"/>
              </w:rPr>
            </w:pPr>
            <w:r w:rsidRPr="002F17B5">
              <w:rPr>
                <w:sz w:val="18"/>
                <w:szCs w:val="18"/>
              </w:rPr>
              <w:t>Adjustments Between Accounting Basis &amp; Funding</w:t>
            </w:r>
            <w:r w:rsidR="00C63CEE" w:rsidRPr="002F17B5">
              <w:rPr>
                <w:sz w:val="18"/>
                <w:szCs w:val="18"/>
              </w:rPr>
              <w:t xml:space="preserve"> Basis Under Regulations (note 6</w:t>
            </w:r>
            <w:r w:rsidRPr="002F17B5">
              <w:rPr>
                <w:sz w:val="18"/>
                <w:szCs w:val="18"/>
              </w:rPr>
              <w:t>)</w:t>
            </w:r>
          </w:p>
        </w:tc>
        <w:tc>
          <w:tcPr>
            <w:tcW w:w="851" w:type="dxa"/>
            <w:tcBorders>
              <w:top w:val="nil"/>
              <w:left w:val="nil"/>
              <w:right w:val="single" w:sz="4" w:space="0" w:color="auto"/>
            </w:tcBorders>
            <w:shd w:val="clear" w:color="auto" w:fill="FFFFFF" w:themeFill="background1"/>
            <w:noWrap/>
            <w:vAlign w:val="bottom"/>
            <w:hideMark/>
          </w:tcPr>
          <w:p w:rsidR="00945B35" w:rsidRPr="002F17B5" w:rsidRDefault="00945B35" w:rsidP="0019010D">
            <w:pPr>
              <w:jc w:val="right"/>
              <w:rPr>
                <w:sz w:val="18"/>
                <w:szCs w:val="18"/>
              </w:rPr>
            </w:pPr>
            <w:r w:rsidRPr="002F17B5">
              <w:rPr>
                <w:sz w:val="18"/>
                <w:szCs w:val="18"/>
              </w:rPr>
              <w:t>(4.8)</w:t>
            </w:r>
          </w:p>
        </w:tc>
        <w:tc>
          <w:tcPr>
            <w:tcW w:w="1276" w:type="dxa"/>
            <w:tcBorders>
              <w:top w:val="nil"/>
              <w:left w:val="nil"/>
              <w:right w:val="single" w:sz="4" w:space="0" w:color="auto"/>
            </w:tcBorders>
            <w:shd w:val="clear" w:color="auto" w:fill="FFFFFF" w:themeFill="background1"/>
            <w:noWrap/>
            <w:vAlign w:val="bottom"/>
            <w:hideMark/>
          </w:tcPr>
          <w:p w:rsidR="00945B35" w:rsidRPr="002F17B5" w:rsidRDefault="00945B35" w:rsidP="0019010D">
            <w:pPr>
              <w:jc w:val="right"/>
              <w:rPr>
                <w:sz w:val="18"/>
                <w:szCs w:val="18"/>
              </w:rPr>
            </w:pPr>
            <w:r w:rsidRPr="002F17B5">
              <w:rPr>
                <w:sz w:val="18"/>
                <w:szCs w:val="18"/>
              </w:rPr>
              <w:t xml:space="preserve">- </w:t>
            </w:r>
          </w:p>
        </w:tc>
        <w:tc>
          <w:tcPr>
            <w:tcW w:w="1275" w:type="dxa"/>
            <w:tcBorders>
              <w:top w:val="nil"/>
              <w:left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(3.7)</w:t>
            </w:r>
          </w:p>
        </w:tc>
        <w:tc>
          <w:tcPr>
            <w:tcW w:w="1134" w:type="dxa"/>
            <w:tcBorders>
              <w:top w:val="nil"/>
              <w:left w:val="nil"/>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28.9 </w:t>
            </w:r>
          </w:p>
        </w:tc>
        <w:tc>
          <w:tcPr>
            <w:tcW w:w="1134" w:type="dxa"/>
            <w:tcBorders>
              <w:top w:val="nil"/>
              <w:left w:val="single" w:sz="8" w:space="0" w:color="auto"/>
              <w:right w:val="single" w:sz="8" w:space="0" w:color="auto"/>
            </w:tcBorders>
            <w:shd w:val="clear" w:color="auto" w:fill="D9D9D9" w:themeFill="background1" w:themeFillShade="D9"/>
            <w:noWrap/>
            <w:vAlign w:val="bottom"/>
            <w:hideMark/>
          </w:tcPr>
          <w:p w:rsidR="001D73DF" w:rsidRPr="002F17B5" w:rsidRDefault="00945B35">
            <w:pPr>
              <w:jc w:val="right"/>
              <w:rPr>
                <w:sz w:val="18"/>
                <w:szCs w:val="18"/>
              </w:rPr>
            </w:pPr>
            <w:r w:rsidRPr="002F17B5">
              <w:rPr>
                <w:sz w:val="18"/>
                <w:szCs w:val="18"/>
              </w:rPr>
              <w:t xml:space="preserve">20.4 </w:t>
            </w:r>
          </w:p>
        </w:tc>
        <w:tc>
          <w:tcPr>
            <w:tcW w:w="1134" w:type="dxa"/>
            <w:tcBorders>
              <w:top w:val="nil"/>
              <w:left w:val="nil"/>
              <w:right w:val="single" w:sz="8" w:space="0" w:color="auto"/>
            </w:tcBorders>
            <w:shd w:val="clear" w:color="auto" w:fill="D9D9D9" w:themeFill="background1" w:themeFillShade="D9"/>
            <w:noWrap/>
            <w:vAlign w:val="bottom"/>
            <w:hideMark/>
          </w:tcPr>
          <w:p w:rsidR="001D73DF" w:rsidRPr="002F17B5" w:rsidRDefault="00945B35">
            <w:pPr>
              <w:jc w:val="right"/>
              <w:rPr>
                <w:sz w:val="18"/>
                <w:szCs w:val="18"/>
              </w:rPr>
            </w:pPr>
            <w:r w:rsidRPr="002F17B5">
              <w:rPr>
                <w:sz w:val="18"/>
                <w:szCs w:val="18"/>
              </w:rPr>
              <w:t>(20.4)</w:t>
            </w:r>
          </w:p>
        </w:tc>
        <w:tc>
          <w:tcPr>
            <w:tcW w:w="1134" w:type="dxa"/>
            <w:tcBorders>
              <w:top w:val="nil"/>
              <w:left w:val="nil"/>
              <w:right w:val="single" w:sz="8" w:space="0" w:color="auto"/>
            </w:tcBorders>
            <w:shd w:val="clear" w:color="auto" w:fill="A6A6A6" w:themeFill="background1" w:themeFillShade="A6"/>
            <w:noWrap/>
            <w:vAlign w:val="bottom"/>
            <w:hideMark/>
          </w:tcPr>
          <w:p w:rsidR="001D73DF" w:rsidRPr="002F17B5" w:rsidRDefault="00945B35">
            <w:pPr>
              <w:jc w:val="right"/>
              <w:rPr>
                <w:sz w:val="18"/>
                <w:szCs w:val="18"/>
              </w:rPr>
            </w:pPr>
            <w:r w:rsidRPr="002F17B5">
              <w:rPr>
                <w:sz w:val="18"/>
                <w:szCs w:val="18"/>
              </w:rPr>
              <w:t xml:space="preserve">- </w:t>
            </w:r>
          </w:p>
        </w:tc>
      </w:tr>
      <w:tr w:rsidR="00945B35" w:rsidRPr="002F17B5" w:rsidTr="00E0041C">
        <w:trPr>
          <w:trHeight w:val="350"/>
          <w:jc w:val="center"/>
        </w:trPr>
        <w:tc>
          <w:tcPr>
            <w:tcW w:w="5675" w:type="dxa"/>
            <w:tcBorders>
              <w:left w:val="single" w:sz="4" w:space="0" w:color="auto"/>
              <w:right w:val="single" w:sz="4" w:space="0" w:color="auto"/>
            </w:tcBorders>
            <w:shd w:val="clear" w:color="auto" w:fill="FFFFFF" w:themeFill="background1"/>
            <w:vAlign w:val="bottom"/>
            <w:hideMark/>
          </w:tcPr>
          <w:p w:rsidR="00945B35" w:rsidRPr="002F17B5" w:rsidRDefault="00945B35" w:rsidP="00136D94">
            <w:pPr>
              <w:jc w:val="left"/>
              <w:rPr>
                <w:b/>
                <w:bCs/>
                <w:sz w:val="18"/>
                <w:szCs w:val="18"/>
              </w:rPr>
            </w:pPr>
            <w:r w:rsidRPr="002F17B5">
              <w:rPr>
                <w:b/>
                <w:bCs/>
                <w:sz w:val="18"/>
                <w:szCs w:val="18"/>
              </w:rPr>
              <w:t xml:space="preserve">Net </w:t>
            </w:r>
            <w:r w:rsidR="00E11D08" w:rsidRPr="002F17B5">
              <w:rPr>
                <w:b/>
                <w:bCs/>
                <w:sz w:val="18"/>
                <w:szCs w:val="18"/>
              </w:rPr>
              <w:t>(</w:t>
            </w:r>
            <w:r w:rsidRPr="002F17B5">
              <w:rPr>
                <w:b/>
                <w:bCs/>
                <w:sz w:val="18"/>
                <w:szCs w:val="18"/>
              </w:rPr>
              <w:t>Increase</w:t>
            </w:r>
            <w:r w:rsidR="00E11D08" w:rsidRPr="002F17B5">
              <w:rPr>
                <w:b/>
                <w:bCs/>
                <w:sz w:val="18"/>
                <w:szCs w:val="18"/>
              </w:rPr>
              <w:t>)</w:t>
            </w:r>
            <w:r w:rsidRPr="002F17B5">
              <w:rPr>
                <w:b/>
                <w:bCs/>
                <w:sz w:val="18"/>
                <w:szCs w:val="18"/>
              </w:rPr>
              <w:t>/Decrease before Transfers to Earmarked Reserves</w:t>
            </w:r>
          </w:p>
        </w:tc>
        <w:tc>
          <w:tcPr>
            <w:tcW w:w="851" w:type="dxa"/>
            <w:tcBorders>
              <w:left w:val="nil"/>
              <w:right w:val="single" w:sz="4" w:space="0" w:color="auto"/>
            </w:tcBorders>
            <w:shd w:val="clear" w:color="auto" w:fill="FFFFFF" w:themeFill="background1"/>
            <w:noWrap/>
            <w:vAlign w:val="bottom"/>
            <w:hideMark/>
          </w:tcPr>
          <w:p w:rsidR="00945B35" w:rsidRPr="002F17B5" w:rsidRDefault="00945B35" w:rsidP="0019010D">
            <w:pPr>
              <w:jc w:val="right"/>
              <w:rPr>
                <w:b/>
                <w:bCs/>
                <w:sz w:val="18"/>
                <w:szCs w:val="18"/>
              </w:rPr>
            </w:pPr>
            <w:r w:rsidRPr="002F17B5">
              <w:rPr>
                <w:b/>
                <w:bCs/>
                <w:sz w:val="18"/>
                <w:szCs w:val="18"/>
              </w:rPr>
              <w:t>(37.6)</w:t>
            </w:r>
          </w:p>
        </w:tc>
        <w:tc>
          <w:tcPr>
            <w:tcW w:w="1276" w:type="dxa"/>
            <w:tcBorders>
              <w:left w:val="nil"/>
              <w:right w:val="single" w:sz="4" w:space="0" w:color="auto"/>
            </w:tcBorders>
            <w:shd w:val="clear" w:color="auto" w:fill="FFFFFF" w:themeFill="background1"/>
            <w:noWrap/>
            <w:vAlign w:val="bottom"/>
            <w:hideMark/>
          </w:tcPr>
          <w:p w:rsidR="00945B35" w:rsidRPr="002F17B5" w:rsidRDefault="00945B35" w:rsidP="0019010D">
            <w:pPr>
              <w:jc w:val="right"/>
              <w:rPr>
                <w:b/>
                <w:bCs/>
                <w:sz w:val="18"/>
                <w:szCs w:val="18"/>
              </w:rPr>
            </w:pPr>
            <w:r w:rsidRPr="002F17B5">
              <w:rPr>
                <w:b/>
                <w:bCs/>
                <w:sz w:val="18"/>
                <w:szCs w:val="18"/>
              </w:rPr>
              <w:t xml:space="preserve">- </w:t>
            </w:r>
          </w:p>
        </w:tc>
        <w:tc>
          <w:tcPr>
            <w:tcW w:w="1275" w:type="dxa"/>
            <w:tcBorders>
              <w:left w:val="nil"/>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 xml:space="preserve">- </w:t>
            </w:r>
          </w:p>
        </w:tc>
        <w:tc>
          <w:tcPr>
            <w:tcW w:w="1134" w:type="dxa"/>
            <w:tcBorders>
              <w:left w:val="nil"/>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 xml:space="preserve">- </w:t>
            </w:r>
          </w:p>
        </w:tc>
        <w:tc>
          <w:tcPr>
            <w:tcW w:w="1134" w:type="dxa"/>
            <w:tcBorders>
              <w:left w:val="nil"/>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(3.7)</w:t>
            </w:r>
          </w:p>
        </w:tc>
        <w:tc>
          <w:tcPr>
            <w:tcW w:w="1134" w:type="dxa"/>
            <w:tcBorders>
              <w:left w:val="nil"/>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 xml:space="preserve">29.2 </w:t>
            </w:r>
          </w:p>
        </w:tc>
        <w:tc>
          <w:tcPr>
            <w:tcW w:w="1134" w:type="dxa"/>
            <w:tcBorders>
              <w:left w:val="single" w:sz="8" w:space="0" w:color="auto"/>
              <w:right w:val="single" w:sz="8" w:space="0" w:color="auto"/>
            </w:tcBorders>
            <w:shd w:val="clear" w:color="auto" w:fill="D9D9D9" w:themeFill="background1" w:themeFillShade="D9"/>
            <w:noWrap/>
            <w:vAlign w:val="bottom"/>
            <w:hideMark/>
          </w:tcPr>
          <w:p w:rsidR="001D73DF" w:rsidRPr="002F17B5" w:rsidRDefault="00945B35">
            <w:pPr>
              <w:jc w:val="right"/>
              <w:rPr>
                <w:b/>
                <w:bCs/>
                <w:sz w:val="18"/>
                <w:szCs w:val="18"/>
              </w:rPr>
            </w:pPr>
            <w:r w:rsidRPr="002F17B5">
              <w:rPr>
                <w:b/>
                <w:bCs/>
                <w:sz w:val="18"/>
                <w:szCs w:val="18"/>
              </w:rPr>
              <w:t>(12.1)</w:t>
            </w:r>
          </w:p>
        </w:tc>
        <w:tc>
          <w:tcPr>
            <w:tcW w:w="1134" w:type="dxa"/>
            <w:tcBorders>
              <w:left w:val="nil"/>
              <w:right w:val="single" w:sz="8" w:space="0" w:color="auto"/>
            </w:tcBorders>
            <w:shd w:val="clear" w:color="auto" w:fill="D9D9D9" w:themeFill="background1" w:themeFillShade="D9"/>
            <w:noWrap/>
            <w:vAlign w:val="bottom"/>
            <w:hideMark/>
          </w:tcPr>
          <w:p w:rsidR="001D73DF" w:rsidRPr="002F17B5" w:rsidRDefault="00945B35">
            <w:pPr>
              <w:jc w:val="right"/>
              <w:rPr>
                <w:b/>
                <w:bCs/>
                <w:sz w:val="18"/>
                <w:szCs w:val="18"/>
              </w:rPr>
            </w:pPr>
            <w:r w:rsidRPr="002F17B5">
              <w:rPr>
                <w:b/>
                <w:bCs/>
                <w:sz w:val="18"/>
                <w:szCs w:val="18"/>
              </w:rPr>
              <w:t xml:space="preserve">186.0 </w:t>
            </w:r>
          </w:p>
        </w:tc>
        <w:tc>
          <w:tcPr>
            <w:tcW w:w="1134" w:type="dxa"/>
            <w:tcBorders>
              <w:left w:val="nil"/>
              <w:right w:val="single" w:sz="4" w:space="0" w:color="auto"/>
            </w:tcBorders>
            <w:shd w:val="clear" w:color="auto" w:fill="A6A6A6" w:themeFill="background1" w:themeFillShade="A6"/>
            <w:noWrap/>
            <w:vAlign w:val="bottom"/>
            <w:hideMark/>
          </w:tcPr>
          <w:p w:rsidR="001D73DF" w:rsidRPr="002F17B5" w:rsidRDefault="00945B35">
            <w:pPr>
              <w:jc w:val="right"/>
              <w:rPr>
                <w:b/>
                <w:bCs/>
                <w:sz w:val="18"/>
                <w:szCs w:val="18"/>
              </w:rPr>
            </w:pPr>
            <w:r w:rsidRPr="002F17B5">
              <w:rPr>
                <w:b/>
                <w:bCs/>
                <w:sz w:val="18"/>
                <w:szCs w:val="18"/>
              </w:rPr>
              <w:t xml:space="preserve">173.9 </w:t>
            </w:r>
          </w:p>
        </w:tc>
      </w:tr>
      <w:tr w:rsidR="00945B35" w:rsidRPr="002F17B5" w:rsidTr="008B439A">
        <w:trPr>
          <w:trHeight w:val="280"/>
          <w:jc w:val="center"/>
        </w:trPr>
        <w:tc>
          <w:tcPr>
            <w:tcW w:w="5675" w:type="dxa"/>
            <w:tcBorders>
              <w:top w:val="nil"/>
              <w:left w:val="single" w:sz="4" w:space="0" w:color="auto"/>
              <w:bottom w:val="single" w:sz="4" w:space="0" w:color="auto"/>
              <w:right w:val="single" w:sz="4" w:space="0" w:color="auto"/>
            </w:tcBorders>
            <w:shd w:val="clear" w:color="auto" w:fill="FFFFFF" w:themeFill="background1"/>
            <w:vAlign w:val="bottom"/>
            <w:hideMark/>
          </w:tcPr>
          <w:p w:rsidR="00945B35" w:rsidRPr="002F17B5" w:rsidRDefault="00945B35" w:rsidP="00B70B4B">
            <w:pPr>
              <w:rPr>
                <w:sz w:val="18"/>
                <w:szCs w:val="18"/>
              </w:rPr>
            </w:pPr>
            <w:r w:rsidRPr="002F17B5">
              <w:rPr>
                <w:sz w:val="18"/>
                <w:szCs w:val="18"/>
              </w:rPr>
              <w:t xml:space="preserve">Transfers </w:t>
            </w:r>
            <w:r w:rsidR="00E11D08" w:rsidRPr="002F17B5">
              <w:rPr>
                <w:sz w:val="18"/>
                <w:szCs w:val="18"/>
              </w:rPr>
              <w:t>(</w:t>
            </w:r>
            <w:r w:rsidRPr="002F17B5">
              <w:rPr>
                <w:sz w:val="18"/>
                <w:szCs w:val="18"/>
              </w:rPr>
              <w:t>to</w:t>
            </w:r>
            <w:r w:rsidR="00E11D08" w:rsidRPr="002F17B5">
              <w:rPr>
                <w:sz w:val="18"/>
                <w:szCs w:val="18"/>
              </w:rPr>
              <w:t>)</w:t>
            </w:r>
            <w:r w:rsidR="00C63CEE" w:rsidRPr="002F17B5">
              <w:rPr>
                <w:sz w:val="18"/>
                <w:szCs w:val="18"/>
              </w:rPr>
              <w:t>/from Earmarked Reserves (note 7</w:t>
            </w:r>
            <w:r w:rsidRPr="002F17B5">
              <w:rPr>
                <w:sz w:val="18"/>
                <w:szCs w:val="18"/>
              </w:rPr>
              <w:t>)</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945B35" w:rsidRPr="002F17B5" w:rsidRDefault="00945B35" w:rsidP="0019010D">
            <w:pPr>
              <w:jc w:val="right"/>
              <w:rPr>
                <w:sz w:val="18"/>
                <w:szCs w:val="18"/>
              </w:rPr>
            </w:pPr>
            <w:r w:rsidRPr="002F17B5">
              <w:rPr>
                <w:sz w:val="18"/>
                <w:szCs w:val="18"/>
              </w:rPr>
              <w:t xml:space="preserve">38.1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5B35" w:rsidRPr="002F17B5" w:rsidRDefault="00945B35" w:rsidP="0019010D">
            <w:pPr>
              <w:jc w:val="right"/>
              <w:rPr>
                <w:sz w:val="18"/>
                <w:szCs w:val="18"/>
              </w:rPr>
            </w:pPr>
            <w:r w:rsidRPr="002F17B5">
              <w:rPr>
                <w:sz w:val="18"/>
                <w:szCs w:val="18"/>
              </w:rPr>
              <w:t>(7.3)</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(0.2)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(30.6)</w:t>
            </w:r>
          </w:p>
        </w:tc>
        <w:tc>
          <w:tcPr>
            <w:tcW w:w="1134" w:type="dxa"/>
            <w:tcBorders>
              <w:top w:val="nil"/>
              <w:left w:val="nil"/>
              <w:bottom w:val="single" w:sz="4" w:space="0" w:color="auto"/>
              <w:right w:val="nil"/>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bottom w:val="single" w:sz="4" w:space="0" w:color="auto"/>
              <w:right w:val="single" w:sz="8" w:space="0" w:color="auto"/>
            </w:tcBorders>
            <w:shd w:val="clear" w:color="auto" w:fill="D9D9D9" w:themeFill="background1" w:themeFillShade="D9"/>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bottom w:val="single" w:sz="4" w:space="0" w:color="auto"/>
              <w:right w:val="single" w:sz="8" w:space="0" w:color="auto"/>
            </w:tcBorders>
            <w:shd w:val="clear" w:color="auto" w:fill="D9D9D9" w:themeFill="background1" w:themeFillShade="D9"/>
            <w:noWrap/>
            <w:vAlign w:val="bottom"/>
            <w:hideMark/>
          </w:tcPr>
          <w:p w:rsidR="001D73DF" w:rsidRPr="002F17B5" w:rsidRDefault="00945B35">
            <w:pPr>
              <w:jc w:val="right"/>
              <w:rPr>
                <w:sz w:val="18"/>
                <w:szCs w:val="18"/>
              </w:rPr>
            </w:pPr>
            <w:r w:rsidRPr="002F17B5">
              <w:rPr>
                <w:sz w:val="18"/>
                <w:szCs w:val="18"/>
              </w:rPr>
              <w:t xml:space="preserve">- </w:t>
            </w:r>
          </w:p>
        </w:tc>
        <w:tc>
          <w:tcPr>
            <w:tcW w:w="1134" w:type="dxa"/>
            <w:tcBorders>
              <w:top w:val="nil"/>
              <w:left w:val="nil"/>
              <w:bottom w:val="single" w:sz="4" w:space="0" w:color="auto"/>
              <w:right w:val="single" w:sz="8" w:space="0" w:color="auto"/>
            </w:tcBorders>
            <w:shd w:val="clear" w:color="auto" w:fill="A6A6A6" w:themeFill="background1" w:themeFillShade="A6"/>
            <w:noWrap/>
            <w:vAlign w:val="bottom"/>
            <w:hideMark/>
          </w:tcPr>
          <w:p w:rsidR="001D73DF" w:rsidRPr="002F17B5" w:rsidRDefault="00945B35">
            <w:pPr>
              <w:jc w:val="right"/>
              <w:rPr>
                <w:sz w:val="18"/>
                <w:szCs w:val="18"/>
              </w:rPr>
            </w:pPr>
            <w:r w:rsidRPr="002F17B5">
              <w:rPr>
                <w:sz w:val="18"/>
                <w:szCs w:val="18"/>
              </w:rPr>
              <w:t xml:space="preserve">- </w:t>
            </w:r>
          </w:p>
        </w:tc>
      </w:tr>
      <w:tr w:rsidR="00945B35" w:rsidRPr="002F17B5" w:rsidTr="008B439A">
        <w:trPr>
          <w:trHeight w:val="315"/>
          <w:jc w:val="center"/>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B35" w:rsidRPr="002F17B5" w:rsidRDefault="008A2960" w:rsidP="00136D94">
            <w:pPr>
              <w:spacing w:before="60"/>
              <w:rPr>
                <w:b/>
                <w:bCs/>
                <w:sz w:val="18"/>
                <w:szCs w:val="18"/>
              </w:rPr>
            </w:pPr>
            <w:r>
              <w:rPr>
                <w:b/>
                <w:bCs/>
                <w:sz w:val="18"/>
                <w:szCs w:val="18"/>
              </w:rPr>
              <w:t>(</w:t>
            </w:r>
            <w:r w:rsidR="00945B35" w:rsidRPr="002F17B5">
              <w:rPr>
                <w:b/>
                <w:bCs/>
                <w:sz w:val="18"/>
                <w:szCs w:val="18"/>
              </w:rPr>
              <w:t>Increase</w:t>
            </w:r>
            <w:r>
              <w:rPr>
                <w:b/>
                <w:bCs/>
                <w:sz w:val="18"/>
                <w:szCs w:val="18"/>
              </w:rPr>
              <w:t>)</w:t>
            </w:r>
            <w:r w:rsidR="00945B35" w:rsidRPr="002F17B5">
              <w:rPr>
                <w:b/>
                <w:bCs/>
                <w:sz w:val="18"/>
                <w:szCs w:val="18"/>
              </w:rPr>
              <w:t>/Decrease in Year</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45B35" w:rsidRPr="002F17B5" w:rsidRDefault="00945B35" w:rsidP="00136D94">
            <w:pPr>
              <w:spacing w:before="60"/>
              <w:jc w:val="right"/>
              <w:rPr>
                <w:b/>
                <w:bCs/>
                <w:sz w:val="18"/>
                <w:szCs w:val="18"/>
              </w:rPr>
            </w:pPr>
            <w:r w:rsidRPr="002F17B5">
              <w:rPr>
                <w:b/>
                <w:bCs/>
                <w:sz w:val="18"/>
                <w:szCs w:val="18"/>
              </w:rPr>
              <w:t xml:space="preserve">0.5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45B35" w:rsidRPr="002F17B5" w:rsidRDefault="00945B35" w:rsidP="00136D94">
            <w:pPr>
              <w:spacing w:before="60"/>
              <w:jc w:val="right"/>
              <w:rPr>
                <w:b/>
                <w:bCs/>
                <w:sz w:val="18"/>
                <w:szCs w:val="18"/>
              </w:rPr>
            </w:pPr>
            <w:r w:rsidRPr="002F17B5">
              <w:rPr>
                <w:b/>
                <w:bCs/>
                <w:sz w:val="18"/>
                <w:szCs w:val="18"/>
              </w:rPr>
              <w:t>(7.3)</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rsidP="00136D94">
            <w:pPr>
              <w:spacing w:before="60"/>
              <w:jc w:val="right"/>
              <w:rPr>
                <w:b/>
                <w:bCs/>
                <w:sz w:val="18"/>
                <w:szCs w:val="18"/>
              </w:rPr>
            </w:pPr>
            <w:r w:rsidRPr="002F17B5">
              <w:rPr>
                <w:b/>
                <w:bCs/>
                <w:sz w:val="18"/>
                <w:szCs w:val="18"/>
              </w:rPr>
              <w:t>(0.2)</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rsidP="00136D94">
            <w:pPr>
              <w:spacing w:before="60"/>
              <w:jc w:val="right"/>
              <w:rPr>
                <w:b/>
                <w:bCs/>
                <w:sz w:val="18"/>
                <w:szCs w:val="18"/>
              </w:rPr>
            </w:pPr>
            <w:r w:rsidRPr="002F17B5">
              <w:rPr>
                <w:b/>
                <w:bCs/>
                <w:sz w:val="18"/>
                <w:szCs w:val="18"/>
              </w:rPr>
              <w:t>(30.6)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rsidP="00136D94">
            <w:pPr>
              <w:spacing w:before="60"/>
              <w:jc w:val="right"/>
              <w:rPr>
                <w:b/>
                <w:bCs/>
                <w:sz w:val="18"/>
                <w:szCs w:val="18"/>
              </w:rPr>
            </w:pPr>
            <w:r w:rsidRPr="002F17B5">
              <w:rPr>
                <w:b/>
                <w:bCs/>
                <w:sz w:val="18"/>
                <w:szCs w:val="18"/>
              </w:rPr>
              <w:t>(3.7)</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rsidP="00136D94">
            <w:pPr>
              <w:spacing w:before="60"/>
              <w:jc w:val="right"/>
              <w:rPr>
                <w:b/>
                <w:bCs/>
                <w:sz w:val="18"/>
                <w:szCs w:val="18"/>
              </w:rPr>
            </w:pPr>
            <w:r w:rsidRPr="002F17B5">
              <w:rPr>
                <w:b/>
                <w:bCs/>
                <w:sz w:val="18"/>
                <w:szCs w:val="18"/>
              </w:rPr>
              <w:t xml:space="preserve">29.2 </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D73DF" w:rsidRPr="002F17B5" w:rsidRDefault="00945B35" w:rsidP="00136D94">
            <w:pPr>
              <w:spacing w:before="60"/>
              <w:jc w:val="right"/>
              <w:rPr>
                <w:b/>
                <w:bCs/>
                <w:sz w:val="18"/>
                <w:szCs w:val="18"/>
              </w:rPr>
            </w:pPr>
            <w:r w:rsidRPr="002F17B5">
              <w:rPr>
                <w:b/>
                <w:bCs/>
                <w:sz w:val="18"/>
                <w:szCs w:val="18"/>
              </w:rPr>
              <w:t>(12.1)</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D73DF" w:rsidRPr="002F17B5" w:rsidRDefault="00945B35" w:rsidP="00136D94">
            <w:pPr>
              <w:spacing w:before="60"/>
              <w:jc w:val="right"/>
              <w:rPr>
                <w:b/>
                <w:bCs/>
                <w:sz w:val="18"/>
                <w:szCs w:val="18"/>
              </w:rPr>
            </w:pPr>
            <w:r w:rsidRPr="002F17B5">
              <w:rPr>
                <w:b/>
                <w:bCs/>
                <w:sz w:val="18"/>
                <w:szCs w:val="18"/>
              </w:rPr>
              <w:t xml:space="preserve">186.0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D73DF" w:rsidRPr="002F17B5" w:rsidRDefault="00945B35" w:rsidP="00136D94">
            <w:pPr>
              <w:spacing w:before="60"/>
              <w:jc w:val="right"/>
              <w:rPr>
                <w:b/>
                <w:bCs/>
                <w:sz w:val="18"/>
                <w:szCs w:val="18"/>
              </w:rPr>
            </w:pPr>
            <w:r w:rsidRPr="002F17B5">
              <w:rPr>
                <w:b/>
                <w:bCs/>
                <w:sz w:val="18"/>
                <w:szCs w:val="18"/>
              </w:rPr>
              <w:t xml:space="preserve">173.9 </w:t>
            </w:r>
          </w:p>
        </w:tc>
      </w:tr>
      <w:tr w:rsidR="00945B35" w:rsidRPr="002F17B5" w:rsidTr="008B439A">
        <w:trPr>
          <w:trHeight w:val="600"/>
          <w:jc w:val="center"/>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B35" w:rsidRPr="002F17B5" w:rsidRDefault="00945B35" w:rsidP="00B70B4B">
            <w:pPr>
              <w:rPr>
                <w:b/>
                <w:bCs/>
                <w:sz w:val="18"/>
                <w:szCs w:val="18"/>
              </w:rPr>
            </w:pPr>
            <w:r w:rsidRPr="002F17B5">
              <w:rPr>
                <w:b/>
                <w:bCs/>
                <w:sz w:val="18"/>
                <w:szCs w:val="18"/>
              </w:rPr>
              <w:t>Balance at 31st March 2013 carried forward</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45B35" w:rsidRPr="002F17B5" w:rsidRDefault="00945B35" w:rsidP="0019010D">
            <w:pPr>
              <w:jc w:val="right"/>
              <w:rPr>
                <w:b/>
                <w:bCs/>
                <w:sz w:val="18"/>
                <w:szCs w:val="18"/>
              </w:rPr>
            </w:pPr>
            <w:r w:rsidRPr="002F17B5">
              <w:rPr>
                <w:b/>
                <w:bCs/>
                <w:sz w:val="18"/>
                <w:szCs w:val="18"/>
              </w:rPr>
              <w:t>(36.0)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45B35" w:rsidRPr="002F17B5" w:rsidRDefault="00945B35" w:rsidP="0019010D">
            <w:pPr>
              <w:jc w:val="right"/>
              <w:rPr>
                <w:b/>
                <w:bCs/>
                <w:sz w:val="18"/>
                <w:szCs w:val="18"/>
              </w:rPr>
            </w:pPr>
            <w:r w:rsidRPr="002F17B5">
              <w:rPr>
                <w:b/>
                <w:bCs/>
                <w:sz w:val="18"/>
                <w:szCs w:val="18"/>
              </w:rPr>
              <w:t>(255.4)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(3.1)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(43.7)</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(26.6)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D73DF" w:rsidRPr="002F17B5" w:rsidRDefault="00945B35">
            <w:pPr>
              <w:jc w:val="right"/>
              <w:rPr>
                <w:b/>
                <w:bCs/>
                <w:sz w:val="18"/>
                <w:szCs w:val="18"/>
              </w:rPr>
            </w:pPr>
            <w:r w:rsidRPr="002F17B5">
              <w:rPr>
                <w:b/>
                <w:bCs/>
                <w:sz w:val="18"/>
                <w:szCs w:val="18"/>
              </w:rPr>
              <w:t>(92.1)</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D73DF" w:rsidRPr="002F17B5" w:rsidRDefault="00945B35">
            <w:pPr>
              <w:jc w:val="right"/>
              <w:rPr>
                <w:b/>
                <w:bCs/>
                <w:sz w:val="18"/>
                <w:szCs w:val="18"/>
              </w:rPr>
            </w:pPr>
            <w:r w:rsidRPr="002F17B5">
              <w:rPr>
                <w:b/>
                <w:bCs/>
                <w:sz w:val="18"/>
                <w:szCs w:val="18"/>
              </w:rPr>
              <w:t>(456.9)</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D73DF" w:rsidRPr="002F17B5" w:rsidRDefault="00945B35">
            <w:pPr>
              <w:jc w:val="right"/>
              <w:rPr>
                <w:b/>
                <w:bCs/>
                <w:sz w:val="18"/>
                <w:szCs w:val="18"/>
              </w:rPr>
            </w:pPr>
            <w:r w:rsidRPr="002F17B5">
              <w:rPr>
                <w:b/>
                <w:bCs/>
                <w:sz w:val="18"/>
                <w:szCs w:val="18"/>
              </w:rPr>
              <w:t>(406.8)</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D73DF" w:rsidRPr="002F17B5" w:rsidRDefault="00945B35">
            <w:pPr>
              <w:jc w:val="right"/>
              <w:rPr>
                <w:b/>
                <w:bCs/>
                <w:sz w:val="18"/>
                <w:szCs w:val="18"/>
              </w:rPr>
            </w:pPr>
            <w:r w:rsidRPr="002F17B5">
              <w:rPr>
                <w:b/>
                <w:bCs/>
                <w:sz w:val="18"/>
                <w:szCs w:val="18"/>
              </w:rPr>
              <w:t>(863.7)</w:t>
            </w:r>
          </w:p>
        </w:tc>
      </w:tr>
    </w:tbl>
    <w:p w:rsidR="00144349" w:rsidRPr="002F17B5" w:rsidRDefault="00144349" w:rsidP="00144349">
      <w:pPr>
        <w:spacing w:after="0"/>
        <w:rPr>
          <w:b/>
          <w:u w:val="single"/>
        </w:rPr>
      </w:pPr>
    </w:p>
    <w:p w:rsidR="00144349" w:rsidRPr="002F17B5" w:rsidRDefault="00144349" w:rsidP="00144349">
      <w:pPr>
        <w:spacing w:after="240"/>
        <w:jc w:val="left"/>
        <w:rPr>
          <w:sz w:val="20"/>
        </w:rPr>
        <w:sectPr w:rsidR="00144349" w:rsidRPr="002F17B5" w:rsidSect="00A67D3A">
          <w:headerReference w:type="even" r:id="rId18"/>
          <w:headerReference w:type="default" r:id="rId19"/>
          <w:footerReference w:type="default" r:id="rId20"/>
          <w:headerReference w:type="first" r:id="rId21"/>
          <w:pgSz w:w="16838" w:h="11906" w:orient="landscape" w:code="9"/>
          <w:pgMar w:top="720" w:right="720" w:bottom="720" w:left="720" w:header="283" w:footer="283" w:gutter="0"/>
          <w:pgNumType w:start="21"/>
          <w:cols w:space="708"/>
          <w:docGrid w:linePitch="360"/>
        </w:sectPr>
      </w:pPr>
    </w:p>
    <w:p w:rsidR="00144349" w:rsidRPr="002F17B5" w:rsidRDefault="00144349" w:rsidP="00144349">
      <w:pPr>
        <w:pStyle w:val="Heading2"/>
      </w:pPr>
      <w:r w:rsidRPr="002F17B5">
        <w:lastRenderedPageBreak/>
        <w:t>Compre</w:t>
      </w:r>
      <w:r w:rsidR="00824DC9" w:rsidRPr="002F17B5">
        <w:t>hensive Income and Expenditure S</w:t>
      </w:r>
      <w:r w:rsidRPr="002F17B5">
        <w:t>tatement</w:t>
      </w:r>
    </w:p>
    <w:p w:rsidR="00144349" w:rsidRPr="002F17B5" w:rsidRDefault="00144349" w:rsidP="00144349">
      <w:pPr>
        <w:rPr>
          <w:sz w:val="22"/>
          <w:szCs w:val="22"/>
        </w:rPr>
      </w:pPr>
      <w:r w:rsidRPr="002F17B5">
        <w:rPr>
          <w:sz w:val="22"/>
          <w:szCs w:val="22"/>
        </w:rPr>
        <w:t xml:space="preserve">This statement shows the accounting cost in year of providing services in accordance with generally accepted practices, rather than the amount to be funded from taxation. Authorities raise taxation to cover expenditure in accordance with regulations; this may be different from accounting costs. </w:t>
      </w:r>
    </w:p>
    <w:tbl>
      <w:tblPr>
        <w:tblW w:w="15201" w:type="dxa"/>
        <w:tblInd w:w="108" w:type="dxa"/>
        <w:tblLook w:val="04A0" w:firstRow="1" w:lastRow="0" w:firstColumn="1" w:lastColumn="0" w:noHBand="0" w:noVBand="1"/>
      </w:tblPr>
      <w:tblGrid>
        <w:gridCol w:w="6379"/>
        <w:gridCol w:w="1276"/>
        <w:gridCol w:w="317"/>
        <w:gridCol w:w="1384"/>
        <w:gridCol w:w="317"/>
        <w:gridCol w:w="1376"/>
        <w:gridCol w:w="1350"/>
        <w:gridCol w:w="1384"/>
        <w:gridCol w:w="1418"/>
      </w:tblGrid>
      <w:tr w:rsidR="000C4509" w:rsidRPr="002F17B5" w:rsidTr="00141ABD">
        <w:trPr>
          <w:trHeight w:val="372"/>
        </w:trPr>
        <w:tc>
          <w:tcPr>
            <w:tcW w:w="6379" w:type="dxa"/>
            <w:tcBorders>
              <w:top w:val="single" w:sz="8" w:space="0" w:color="auto"/>
              <w:left w:val="single" w:sz="8" w:space="0" w:color="auto"/>
              <w:bottom w:val="nil"/>
              <w:right w:val="nil"/>
            </w:tcBorders>
            <w:shd w:val="clear" w:color="000000" w:fill="FFFFFF"/>
            <w:noWrap/>
            <w:vAlign w:val="center"/>
            <w:hideMark/>
          </w:tcPr>
          <w:p w:rsidR="000C4509" w:rsidRPr="002F17B5" w:rsidRDefault="000C4509" w:rsidP="000C4509">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593" w:type="dxa"/>
            <w:gridSpan w:val="2"/>
            <w:tcBorders>
              <w:top w:val="single" w:sz="8" w:space="0" w:color="auto"/>
              <w:left w:val="single" w:sz="8" w:space="0" w:color="auto"/>
              <w:bottom w:val="nil"/>
              <w:right w:val="nil"/>
            </w:tcBorders>
            <w:shd w:val="clear" w:color="000000" w:fill="D8D8D8"/>
            <w:hideMark/>
          </w:tcPr>
          <w:p w:rsidR="000C4509" w:rsidRPr="002F17B5" w:rsidRDefault="000C4509" w:rsidP="000C4509">
            <w:pPr>
              <w:autoSpaceDE/>
              <w:autoSpaceDN/>
              <w:adjustRightInd/>
              <w:spacing w:before="0" w:after="0"/>
              <w:jc w:val="center"/>
              <w:rPr>
                <w:rFonts w:ascii="Cambria" w:eastAsia="Times New Roman" w:hAnsi="Cambria" w:cs="Times New Roman"/>
                <w:sz w:val="20"/>
                <w:szCs w:val="20"/>
                <w:lang w:eastAsia="en-GB"/>
              </w:rPr>
            </w:pPr>
            <w:r w:rsidRPr="002F17B5">
              <w:rPr>
                <w:rFonts w:ascii="Cambria" w:eastAsia="Times New Roman" w:hAnsi="Cambria" w:cs="Times New Roman"/>
                <w:sz w:val="20"/>
                <w:szCs w:val="20"/>
                <w:lang w:eastAsia="en-GB"/>
              </w:rPr>
              <w:t> </w:t>
            </w:r>
          </w:p>
        </w:tc>
        <w:tc>
          <w:tcPr>
            <w:tcW w:w="1701" w:type="dxa"/>
            <w:gridSpan w:val="2"/>
            <w:tcBorders>
              <w:top w:val="single" w:sz="8" w:space="0" w:color="auto"/>
              <w:left w:val="nil"/>
              <w:bottom w:val="nil"/>
              <w:right w:val="nil"/>
            </w:tcBorders>
            <w:shd w:val="clear" w:color="000000" w:fill="D8D8D8"/>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2013/14</w:t>
            </w:r>
          </w:p>
        </w:tc>
        <w:tc>
          <w:tcPr>
            <w:tcW w:w="1376" w:type="dxa"/>
            <w:tcBorders>
              <w:top w:val="single" w:sz="8" w:space="0" w:color="auto"/>
              <w:left w:val="nil"/>
              <w:bottom w:val="nil"/>
              <w:right w:val="single" w:sz="8" w:space="0" w:color="auto"/>
            </w:tcBorders>
            <w:shd w:val="clear" w:color="000000" w:fill="D8D8D8"/>
            <w:hideMark/>
          </w:tcPr>
          <w:p w:rsidR="000C4509" w:rsidRPr="002F17B5" w:rsidRDefault="000C4509" w:rsidP="000C4509">
            <w:pPr>
              <w:autoSpaceDE/>
              <w:autoSpaceDN/>
              <w:adjustRightInd/>
              <w:spacing w:before="0" w:after="0"/>
              <w:jc w:val="center"/>
              <w:rPr>
                <w:rFonts w:ascii="Cambria" w:eastAsia="Times New Roman" w:hAnsi="Cambria" w:cs="Times New Roman"/>
                <w:sz w:val="20"/>
                <w:szCs w:val="20"/>
                <w:lang w:eastAsia="en-GB"/>
              </w:rPr>
            </w:pPr>
            <w:r w:rsidRPr="002F17B5">
              <w:rPr>
                <w:rFonts w:ascii="Cambria" w:eastAsia="Times New Roman" w:hAnsi="Cambria" w:cs="Times New Roman"/>
                <w:sz w:val="20"/>
                <w:szCs w:val="20"/>
                <w:lang w:eastAsia="en-GB"/>
              </w:rPr>
              <w:t> </w:t>
            </w:r>
          </w:p>
        </w:tc>
        <w:tc>
          <w:tcPr>
            <w:tcW w:w="1350" w:type="dxa"/>
            <w:tcBorders>
              <w:top w:val="single" w:sz="8" w:space="0" w:color="auto"/>
              <w:left w:val="nil"/>
              <w:bottom w:val="nil"/>
              <w:right w:val="nil"/>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 xml:space="preserve"> </w:t>
            </w:r>
          </w:p>
        </w:tc>
        <w:tc>
          <w:tcPr>
            <w:tcW w:w="1384" w:type="dxa"/>
            <w:tcBorders>
              <w:top w:val="single" w:sz="8" w:space="0" w:color="auto"/>
              <w:left w:val="nil"/>
              <w:bottom w:val="nil"/>
              <w:right w:val="nil"/>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2012/13</w:t>
            </w:r>
          </w:p>
        </w:tc>
        <w:tc>
          <w:tcPr>
            <w:tcW w:w="1418" w:type="dxa"/>
            <w:tcBorders>
              <w:top w:val="single" w:sz="8" w:space="0" w:color="auto"/>
              <w:left w:val="nil"/>
              <w:bottom w:val="nil"/>
              <w:right w:val="single" w:sz="8" w:space="0" w:color="auto"/>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 </w:t>
            </w:r>
          </w:p>
        </w:tc>
      </w:tr>
      <w:tr w:rsidR="000C4509" w:rsidRPr="002F17B5" w:rsidTr="00141ABD">
        <w:trPr>
          <w:trHeight w:val="257"/>
        </w:trPr>
        <w:tc>
          <w:tcPr>
            <w:tcW w:w="6379" w:type="dxa"/>
            <w:tcBorders>
              <w:top w:val="nil"/>
              <w:left w:val="single" w:sz="8" w:space="0" w:color="auto"/>
              <w:bottom w:val="nil"/>
              <w:right w:val="nil"/>
            </w:tcBorders>
            <w:shd w:val="clear" w:color="000000" w:fill="FFFFFF"/>
            <w:noWrap/>
            <w:vAlign w:val="center"/>
            <w:hideMark/>
          </w:tcPr>
          <w:p w:rsidR="000C4509" w:rsidRPr="002F17B5" w:rsidRDefault="000C4509" w:rsidP="000C4509">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593" w:type="dxa"/>
            <w:gridSpan w:val="2"/>
            <w:tcBorders>
              <w:top w:val="nil"/>
              <w:left w:val="single" w:sz="8" w:space="0" w:color="auto"/>
              <w:bottom w:val="nil"/>
              <w:right w:val="nil"/>
            </w:tcBorders>
            <w:shd w:val="clear" w:color="000000" w:fill="D8D8D8"/>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Gross</w:t>
            </w:r>
          </w:p>
        </w:tc>
        <w:tc>
          <w:tcPr>
            <w:tcW w:w="1701" w:type="dxa"/>
            <w:gridSpan w:val="2"/>
            <w:tcBorders>
              <w:top w:val="nil"/>
              <w:left w:val="nil"/>
              <w:bottom w:val="nil"/>
              <w:right w:val="nil"/>
            </w:tcBorders>
            <w:shd w:val="clear" w:color="000000" w:fill="D8D8D8"/>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Gross</w:t>
            </w:r>
          </w:p>
        </w:tc>
        <w:tc>
          <w:tcPr>
            <w:tcW w:w="1376" w:type="dxa"/>
            <w:tcBorders>
              <w:top w:val="nil"/>
              <w:left w:val="nil"/>
              <w:bottom w:val="nil"/>
              <w:right w:val="single" w:sz="8" w:space="0" w:color="auto"/>
            </w:tcBorders>
            <w:shd w:val="clear" w:color="000000" w:fill="D8D8D8"/>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Net</w:t>
            </w:r>
          </w:p>
        </w:tc>
        <w:tc>
          <w:tcPr>
            <w:tcW w:w="1350" w:type="dxa"/>
            <w:tcBorders>
              <w:top w:val="nil"/>
              <w:left w:val="nil"/>
              <w:bottom w:val="nil"/>
              <w:right w:val="nil"/>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Gross</w:t>
            </w:r>
          </w:p>
        </w:tc>
        <w:tc>
          <w:tcPr>
            <w:tcW w:w="1384" w:type="dxa"/>
            <w:tcBorders>
              <w:top w:val="nil"/>
              <w:left w:val="nil"/>
              <w:bottom w:val="nil"/>
              <w:right w:val="nil"/>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Gross</w:t>
            </w:r>
          </w:p>
        </w:tc>
        <w:tc>
          <w:tcPr>
            <w:tcW w:w="1418" w:type="dxa"/>
            <w:tcBorders>
              <w:top w:val="nil"/>
              <w:left w:val="nil"/>
              <w:bottom w:val="nil"/>
              <w:right w:val="single" w:sz="8" w:space="0" w:color="auto"/>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Net</w:t>
            </w:r>
          </w:p>
        </w:tc>
      </w:tr>
      <w:tr w:rsidR="000C4509" w:rsidRPr="002F17B5" w:rsidTr="00141ABD">
        <w:trPr>
          <w:trHeight w:val="360"/>
        </w:trPr>
        <w:tc>
          <w:tcPr>
            <w:tcW w:w="6379" w:type="dxa"/>
            <w:tcBorders>
              <w:top w:val="nil"/>
              <w:left w:val="single" w:sz="8" w:space="0" w:color="auto"/>
              <w:bottom w:val="nil"/>
              <w:right w:val="nil"/>
            </w:tcBorders>
            <w:shd w:val="clear" w:color="000000" w:fill="FFFFFF"/>
            <w:noWrap/>
            <w:vAlign w:val="center"/>
            <w:hideMark/>
          </w:tcPr>
          <w:p w:rsidR="000C4509" w:rsidRPr="002F17B5" w:rsidRDefault="000C4509" w:rsidP="000C4509">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593" w:type="dxa"/>
            <w:gridSpan w:val="2"/>
            <w:tcBorders>
              <w:top w:val="nil"/>
              <w:left w:val="single" w:sz="8" w:space="0" w:color="auto"/>
              <w:bottom w:val="nil"/>
              <w:right w:val="nil"/>
            </w:tcBorders>
            <w:shd w:val="clear" w:color="000000" w:fill="D8D8D8"/>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expenditure</w:t>
            </w:r>
          </w:p>
        </w:tc>
        <w:tc>
          <w:tcPr>
            <w:tcW w:w="1701" w:type="dxa"/>
            <w:gridSpan w:val="2"/>
            <w:tcBorders>
              <w:top w:val="nil"/>
              <w:left w:val="nil"/>
              <w:bottom w:val="nil"/>
              <w:right w:val="nil"/>
            </w:tcBorders>
            <w:shd w:val="clear" w:color="000000" w:fill="D8D8D8"/>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income</w:t>
            </w:r>
          </w:p>
        </w:tc>
        <w:tc>
          <w:tcPr>
            <w:tcW w:w="1376" w:type="dxa"/>
            <w:tcBorders>
              <w:top w:val="nil"/>
              <w:left w:val="nil"/>
              <w:bottom w:val="nil"/>
              <w:right w:val="single" w:sz="8" w:space="0" w:color="auto"/>
            </w:tcBorders>
            <w:shd w:val="clear" w:color="000000" w:fill="D8D8D8"/>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expenditure</w:t>
            </w:r>
          </w:p>
        </w:tc>
        <w:tc>
          <w:tcPr>
            <w:tcW w:w="1350" w:type="dxa"/>
            <w:tcBorders>
              <w:top w:val="nil"/>
              <w:left w:val="nil"/>
              <w:bottom w:val="nil"/>
              <w:right w:val="nil"/>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expenditure</w:t>
            </w:r>
          </w:p>
        </w:tc>
        <w:tc>
          <w:tcPr>
            <w:tcW w:w="1384" w:type="dxa"/>
            <w:tcBorders>
              <w:top w:val="nil"/>
              <w:left w:val="nil"/>
              <w:bottom w:val="nil"/>
              <w:right w:val="nil"/>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income</w:t>
            </w:r>
          </w:p>
        </w:tc>
        <w:tc>
          <w:tcPr>
            <w:tcW w:w="1418" w:type="dxa"/>
            <w:tcBorders>
              <w:top w:val="nil"/>
              <w:left w:val="nil"/>
              <w:bottom w:val="nil"/>
              <w:right w:val="single" w:sz="8" w:space="0" w:color="auto"/>
            </w:tcBorders>
            <w:shd w:val="clear" w:color="000000" w:fill="D9D9D9"/>
            <w:vAlign w:val="center"/>
            <w:hideMark/>
          </w:tcPr>
          <w:p w:rsidR="000C4509" w:rsidRPr="002F17B5" w:rsidRDefault="000C4509" w:rsidP="000C4509">
            <w:pPr>
              <w:autoSpaceDE/>
              <w:autoSpaceDN/>
              <w:adjustRightInd/>
              <w:spacing w:before="0" w:after="0"/>
              <w:jc w:val="center"/>
              <w:rPr>
                <w:rFonts w:eastAsia="Times New Roman" w:cs="Arial"/>
                <w:b/>
                <w:bCs/>
                <w:sz w:val="20"/>
                <w:szCs w:val="20"/>
                <w:lang w:eastAsia="en-GB"/>
              </w:rPr>
            </w:pPr>
            <w:r w:rsidRPr="002F17B5">
              <w:rPr>
                <w:rFonts w:eastAsia="Times New Roman" w:cs="Arial"/>
                <w:b/>
                <w:bCs/>
                <w:sz w:val="20"/>
                <w:szCs w:val="20"/>
                <w:lang w:eastAsia="en-GB"/>
              </w:rPr>
              <w:t>expenditure</w:t>
            </w:r>
          </w:p>
        </w:tc>
      </w:tr>
      <w:tr w:rsidR="000C4509" w:rsidRPr="002F17B5" w:rsidTr="00141ABD">
        <w:trPr>
          <w:trHeight w:val="95"/>
        </w:trPr>
        <w:tc>
          <w:tcPr>
            <w:tcW w:w="6379" w:type="dxa"/>
            <w:tcBorders>
              <w:top w:val="nil"/>
              <w:left w:val="single" w:sz="8" w:space="0" w:color="auto"/>
              <w:bottom w:val="nil"/>
              <w:right w:val="nil"/>
            </w:tcBorders>
            <w:shd w:val="clear" w:color="000000" w:fill="FFFFFF"/>
            <w:noWrap/>
            <w:vAlign w:val="center"/>
            <w:hideMark/>
          </w:tcPr>
          <w:p w:rsidR="000C4509" w:rsidRPr="002F17B5" w:rsidRDefault="000C4509" w:rsidP="000C4509">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593" w:type="dxa"/>
            <w:gridSpan w:val="2"/>
            <w:tcBorders>
              <w:top w:val="nil"/>
              <w:left w:val="single" w:sz="8" w:space="0" w:color="auto"/>
              <w:bottom w:val="single" w:sz="8" w:space="0" w:color="auto"/>
              <w:right w:val="nil"/>
            </w:tcBorders>
            <w:shd w:val="clear" w:color="000000" w:fill="D8D8D8"/>
            <w:vAlign w:val="center"/>
            <w:hideMark/>
          </w:tcPr>
          <w:p w:rsidR="000C4509" w:rsidRPr="002F17B5" w:rsidRDefault="00141ABD" w:rsidP="000C4509">
            <w:pPr>
              <w:autoSpaceDE/>
              <w:autoSpaceDN/>
              <w:adjustRightInd/>
              <w:spacing w:before="0" w:after="0"/>
              <w:jc w:val="center"/>
              <w:rPr>
                <w:rFonts w:eastAsia="Times New Roman" w:cs="Arial"/>
                <w:b/>
                <w:bCs/>
                <w:sz w:val="20"/>
                <w:szCs w:val="20"/>
                <w:lang w:eastAsia="en-GB"/>
              </w:rPr>
            </w:pPr>
            <w:r>
              <w:rPr>
                <w:rFonts w:eastAsia="Times New Roman" w:cs="Arial"/>
                <w:b/>
                <w:bCs/>
                <w:sz w:val="20"/>
                <w:szCs w:val="20"/>
                <w:lang w:eastAsia="en-GB"/>
              </w:rPr>
              <w:t xml:space="preserve">   </w:t>
            </w:r>
            <w:r w:rsidR="000C4509" w:rsidRPr="002F17B5">
              <w:rPr>
                <w:rFonts w:eastAsia="Times New Roman" w:cs="Arial"/>
                <w:b/>
                <w:bCs/>
                <w:sz w:val="20"/>
                <w:szCs w:val="20"/>
                <w:lang w:eastAsia="en-GB"/>
              </w:rPr>
              <w:t>£m</w:t>
            </w:r>
          </w:p>
        </w:tc>
        <w:tc>
          <w:tcPr>
            <w:tcW w:w="1701" w:type="dxa"/>
            <w:gridSpan w:val="2"/>
            <w:tcBorders>
              <w:top w:val="nil"/>
              <w:left w:val="nil"/>
              <w:bottom w:val="single" w:sz="8" w:space="0" w:color="auto"/>
              <w:right w:val="nil"/>
            </w:tcBorders>
            <w:shd w:val="clear" w:color="000000" w:fill="D8D8D8"/>
            <w:vAlign w:val="center"/>
            <w:hideMark/>
          </w:tcPr>
          <w:p w:rsidR="000C4509" w:rsidRPr="002F17B5" w:rsidRDefault="00141ABD" w:rsidP="000C4509">
            <w:pPr>
              <w:autoSpaceDE/>
              <w:autoSpaceDN/>
              <w:adjustRightInd/>
              <w:spacing w:before="0" w:after="0"/>
              <w:jc w:val="center"/>
              <w:rPr>
                <w:rFonts w:eastAsia="Times New Roman" w:cs="Arial"/>
                <w:b/>
                <w:bCs/>
                <w:sz w:val="20"/>
                <w:szCs w:val="20"/>
                <w:lang w:eastAsia="en-GB"/>
              </w:rPr>
            </w:pPr>
            <w:r>
              <w:rPr>
                <w:rFonts w:eastAsia="Times New Roman" w:cs="Arial"/>
                <w:b/>
                <w:bCs/>
                <w:sz w:val="20"/>
                <w:szCs w:val="20"/>
                <w:lang w:eastAsia="en-GB"/>
              </w:rPr>
              <w:t xml:space="preserve">    </w:t>
            </w:r>
            <w:r w:rsidR="000C4509" w:rsidRPr="002F17B5">
              <w:rPr>
                <w:rFonts w:eastAsia="Times New Roman" w:cs="Arial"/>
                <w:b/>
                <w:bCs/>
                <w:sz w:val="20"/>
                <w:szCs w:val="20"/>
                <w:lang w:eastAsia="en-GB"/>
              </w:rPr>
              <w:t>£m</w:t>
            </w:r>
          </w:p>
        </w:tc>
        <w:tc>
          <w:tcPr>
            <w:tcW w:w="1376" w:type="dxa"/>
            <w:tcBorders>
              <w:top w:val="nil"/>
              <w:left w:val="nil"/>
              <w:bottom w:val="single" w:sz="8" w:space="0" w:color="auto"/>
              <w:right w:val="single" w:sz="8" w:space="0" w:color="auto"/>
            </w:tcBorders>
            <w:shd w:val="clear" w:color="000000" w:fill="D8D8D8"/>
            <w:vAlign w:val="center"/>
            <w:hideMark/>
          </w:tcPr>
          <w:p w:rsidR="000C4509" w:rsidRPr="002F17B5" w:rsidRDefault="00141ABD" w:rsidP="000C4509">
            <w:pPr>
              <w:autoSpaceDE/>
              <w:autoSpaceDN/>
              <w:adjustRightInd/>
              <w:spacing w:before="0" w:after="0"/>
              <w:jc w:val="center"/>
              <w:rPr>
                <w:rFonts w:eastAsia="Times New Roman" w:cs="Arial"/>
                <w:b/>
                <w:bCs/>
                <w:sz w:val="20"/>
                <w:szCs w:val="20"/>
                <w:lang w:eastAsia="en-GB"/>
              </w:rPr>
            </w:pPr>
            <w:r>
              <w:rPr>
                <w:rFonts w:eastAsia="Times New Roman" w:cs="Arial"/>
                <w:b/>
                <w:bCs/>
                <w:sz w:val="20"/>
                <w:szCs w:val="20"/>
                <w:lang w:eastAsia="en-GB"/>
              </w:rPr>
              <w:t xml:space="preserve">     </w:t>
            </w:r>
            <w:r w:rsidR="000C4509" w:rsidRPr="002F17B5">
              <w:rPr>
                <w:rFonts w:eastAsia="Times New Roman" w:cs="Arial"/>
                <w:b/>
                <w:bCs/>
                <w:sz w:val="20"/>
                <w:szCs w:val="20"/>
                <w:lang w:eastAsia="en-GB"/>
              </w:rPr>
              <w:t>£m</w:t>
            </w:r>
          </w:p>
        </w:tc>
        <w:tc>
          <w:tcPr>
            <w:tcW w:w="1350" w:type="dxa"/>
            <w:tcBorders>
              <w:top w:val="nil"/>
              <w:left w:val="nil"/>
              <w:bottom w:val="single" w:sz="8" w:space="0" w:color="auto"/>
              <w:right w:val="nil"/>
            </w:tcBorders>
            <w:shd w:val="clear" w:color="000000" w:fill="D9D9D9"/>
            <w:vAlign w:val="center"/>
            <w:hideMark/>
          </w:tcPr>
          <w:p w:rsidR="000C4509" w:rsidRPr="002F17B5" w:rsidRDefault="00141ABD" w:rsidP="000C4509">
            <w:pPr>
              <w:autoSpaceDE/>
              <w:autoSpaceDN/>
              <w:adjustRightInd/>
              <w:spacing w:before="0" w:after="0"/>
              <w:jc w:val="center"/>
              <w:rPr>
                <w:rFonts w:eastAsia="Times New Roman" w:cs="Arial"/>
                <w:b/>
                <w:bCs/>
                <w:sz w:val="20"/>
                <w:szCs w:val="20"/>
                <w:lang w:eastAsia="en-GB"/>
              </w:rPr>
            </w:pPr>
            <w:r>
              <w:rPr>
                <w:rFonts w:eastAsia="Times New Roman" w:cs="Arial"/>
                <w:b/>
                <w:bCs/>
                <w:sz w:val="20"/>
                <w:szCs w:val="20"/>
                <w:lang w:eastAsia="en-GB"/>
              </w:rPr>
              <w:t xml:space="preserve">      </w:t>
            </w:r>
            <w:r w:rsidR="000C4509" w:rsidRPr="002F17B5">
              <w:rPr>
                <w:rFonts w:eastAsia="Times New Roman" w:cs="Arial"/>
                <w:b/>
                <w:bCs/>
                <w:sz w:val="20"/>
                <w:szCs w:val="20"/>
                <w:lang w:eastAsia="en-GB"/>
              </w:rPr>
              <w:t>£m</w:t>
            </w:r>
          </w:p>
        </w:tc>
        <w:tc>
          <w:tcPr>
            <w:tcW w:w="1384" w:type="dxa"/>
            <w:tcBorders>
              <w:top w:val="nil"/>
              <w:left w:val="nil"/>
              <w:bottom w:val="single" w:sz="8" w:space="0" w:color="auto"/>
              <w:right w:val="nil"/>
            </w:tcBorders>
            <w:shd w:val="clear" w:color="000000" w:fill="D9D9D9"/>
            <w:vAlign w:val="center"/>
            <w:hideMark/>
          </w:tcPr>
          <w:p w:rsidR="000C4509" w:rsidRPr="002F17B5" w:rsidRDefault="00141ABD" w:rsidP="000C4509">
            <w:pPr>
              <w:autoSpaceDE/>
              <w:autoSpaceDN/>
              <w:adjustRightInd/>
              <w:spacing w:before="0" w:after="0"/>
              <w:jc w:val="center"/>
              <w:rPr>
                <w:rFonts w:eastAsia="Times New Roman" w:cs="Arial"/>
                <w:b/>
                <w:bCs/>
                <w:sz w:val="20"/>
                <w:szCs w:val="20"/>
                <w:lang w:eastAsia="en-GB"/>
              </w:rPr>
            </w:pPr>
            <w:r>
              <w:rPr>
                <w:rFonts w:eastAsia="Times New Roman" w:cs="Arial"/>
                <w:b/>
                <w:bCs/>
                <w:sz w:val="20"/>
                <w:szCs w:val="20"/>
                <w:lang w:eastAsia="en-GB"/>
              </w:rPr>
              <w:t xml:space="preserve">      </w:t>
            </w:r>
            <w:r w:rsidR="000C4509" w:rsidRPr="002F17B5">
              <w:rPr>
                <w:rFonts w:eastAsia="Times New Roman" w:cs="Arial"/>
                <w:b/>
                <w:bCs/>
                <w:sz w:val="20"/>
                <w:szCs w:val="20"/>
                <w:lang w:eastAsia="en-GB"/>
              </w:rPr>
              <w:t>£m</w:t>
            </w:r>
          </w:p>
        </w:tc>
        <w:tc>
          <w:tcPr>
            <w:tcW w:w="1418" w:type="dxa"/>
            <w:tcBorders>
              <w:top w:val="nil"/>
              <w:left w:val="nil"/>
              <w:bottom w:val="single" w:sz="8" w:space="0" w:color="auto"/>
              <w:right w:val="single" w:sz="8" w:space="0" w:color="auto"/>
            </w:tcBorders>
            <w:shd w:val="clear" w:color="000000" w:fill="D9D9D9"/>
            <w:vAlign w:val="center"/>
            <w:hideMark/>
          </w:tcPr>
          <w:p w:rsidR="000C4509" w:rsidRPr="002F17B5" w:rsidRDefault="00141ABD" w:rsidP="000C4509">
            <w:pPr>
              <w:autoSpaceDE/>
              <w:autoSpaceDN/>
              <w:adjustRightInd/>
              <w:spacing w:before="0" w:after="0"/>
              <w:jc w:val="center"/>
              <w:rPr>
                <w:rFonts w:eastAsia="Times New Roman" w:cs="Arial"/>
                <w:b/>
                <w:bCs/>
                <w:sz w:val="20"/>
                <w:szCs w:val="20"/>
                <w:lang w:eastAsia="en-GB"/>
              </w:rPr>
            </w:pPr>
            <w:r>
              <w:rPr>
                <w:rFonts w:eastAsia="Times New Roman" w:cs="Arial"/>
                <w:b/>
                <w:bCs/>
                <w:sz w:val="20"/>
                <w:szCs w:val="20"/>
                <w:lang w:eastAsia="en-GB"/>
              </w:rPr>
              <w:t xml:space="preserve">    </w:t>
            </w:r>
            <w:r w:rsidR="000C4509" w:rsidRPr="002F17B5">
              <w:rPr>
                <w:rFonts w:eastAsia="Times New Roman" w:cs="Arial"/>
                <w:b/>
                <w:bCs/>
                <w:sz w:val="20"/>
                <w:szCs w:val="20"/>
                <w:lang w:eastAsia="en-GB"/>
              </w:rPr>
              <w:t>£m</w:t>
            </w:r>
          </w:p>
        </w:tc>
      </w:tr>
      <w:tr w:rsidR="00F13567" w:rsidRPr="002F17B5" w:rsidTr="00141ABD">
        <w:trPr>
          <w:trHeight w:val="465"/>
        </w:trPr>
        <w:tc>
          <w:tcPr>
            <w:tcW w:w="6379" w:type="dxa"/>
            <w:tcBorders>
              <w:top w:val="single" w:sz="8" w:space="0" w:color="auto"/>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Cultural and Related Services</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28.3</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4.3</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24.0</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26.6</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(4.9)</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21.7</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Environmental and Regulatory Services</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99.9</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23.6</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76.3</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110</w:t>
            </w:r>
            <w:r w:rsidR="005A6868">
              <w:rPr>
                <w:rFonts w:eastAsia="Times New Roman" w:cs="Arial"/>
                <w:sz w:val="20"/>
                <w:szCs w:val="20"/>
                <w:lang w:eastAsia="en-GB"/>
              </w:rPr>
              <w:t>.0</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(23.1)</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86.9</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Planning Services</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18.8</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3.0</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15.8</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15.8</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(2.9)</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12.9</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Education Services</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1</w:t>
            </w:r>
            <w:r w:rsidR="00341FA8" w:rsidRPr="002F17B5">
              <w:rPr>
                <w:rFonts w:cs="Arial"/>
                <w:sz w:val="20"/>
                <w:szCs w:val="20"/>
              </w:rPr>
              <w:t>,</w:t>
            </w:r>
            <w:r w:rsidRPr="002F17B5">
              <w:rPr>
                <w:rFonts w:cs="Arial"/>
                <w:sz w:val="20"/>
                <w:szCs w:val="20"/>
              </w:rPr>
              <w:t>016.2</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946.7</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69.5</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979.8</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(894.1)</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85.7</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Children's Social Care</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137.</w:t>
            </w:r>
            <w:r w:rsidR="00C96AA8" w:rsidRPr="002F17B5">
              <w:rPr>
                <w:rFonts w:cs="Arial"/>
                <w:sz w:val="20"/>
                <w:szCs w:val="20"/>
              </w:rPr>
              <w:t>8</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9.7</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128.1</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117.6</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(5.6)</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112</w:t>
            </w:r>
            <w:r w:rsidR="00CA62F4">
              <w:rPr>
                <w:rFonts w:eastAsia="Times New Roman" w:cs="Arial"/>
                <w:sz w:val="20"/>
                <w:szCs w:val="20"/>
                <w:lang w:eastAsia="en-GB"/>
              </w:rPr>
              <w:t>.0</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Highways and Transport Services</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140.6</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40.7</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99.9</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122.9</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(30.9)</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92</w:t>
            </w:r>
            <w:r w:rsidR="00CA62F4">
              <w:rPr>
                <w:rFonts w:eastAsia="Times New Roman" w:cs="Arial"/>
                <w:sz w:val="20"/>
                <w:szCs w:val="20"/>
                <w:lang w:eastAsia="en-GB"/>
              </w:rPr>
              <w:t>.0</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Adult Social Care</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459.5</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108.5</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351.</w:t>
            </w:r>
            <w:r w:rsidR="00500B26" w:rsidRPr="002F17B5">
              <w:rPr>
                <w:rFonts w:cs="Arial"/>
                <w:sz w:val="20"/>
                <w:szCs w:val="20"/>
              </w:rPr>
              <w:t>0</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460.3</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(155.3)</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305</w:t>
            </w:r>
            <w:r w:rsidR="00CA62F4">
              <w:rPr>
                <w:rFonts w:eastAsia="Times New Roman" w:cs="Arial"/>
                <w:sz w:val="20"/>
                <w:szCs w:val="20"/>
                <w:lang w:eastAsia="en-GB"/>
              </w:rPr>
              <w:t>.0</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Central Services to the Public</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9.1</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5.2</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3.9</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6.8</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(2.2)</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4.6</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Corporate and Democratic core</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14.2</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10.6</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3.6</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15.2</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(8.8)</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6.4</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Non Distributed Costs</w:t>
            </w:r>
            <w:r w:rsidR="005A6868">
              <w:rPr>
                <w:rFonts w:eastAsia="Times New Roman" w:cs="Arial"/>
                <w:sz w:val="20"/>
                <w:szCs w:val="20"/>
                <w:lang w:eastAsia="en-GB"/>
              </w:rPr>
              <w:t>**</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F13567" w:rsidP="00141ABD">
            <w:pPr>
              <w:autoSpaceDE/>
              <w:autoSpaceDN/>
              <w:adjustRightInd/>
              <w:spacing w:before="0" w:after="0"/>
              <w:jc w:val="right"/>
              <w:rPr>
                <w:rFonts w:eastAsia="Times New Roman" w:cs="Arial"/>
                <w:sz w:val="20"/>
                <w:szCs w:val="20"/>
                <w:lang w:eastAsia="en-GB"/>
              </w:rPr>
            </w:pPr>
            <w:r w:rsidRPr="002F17B5">
              <w:rPr>
                <w:rFonts w:cs="Arial"/>
                <w:sz w:val="20"/>
                <w:szCs w:val="20"/>
              </w:rPr>
              <w:t>87.8</w:t>
            </w:r>
          </w:p>
        </w:tc>
        <w:tc>
          <w:tcPr>
            <w:tcW w:w="1701" w:type="dxa"/>
            <w:gridSpan w:val="2"/>
            <w:tcBorders>
              <w:top w:val="nil"/>
              <w:left w:val="nil"/>
              <w:bottom w:val="nil"/>
              <w:right w:val="nil"/>
            </w:tcBorders>
            <w:shd w:val="clear" w:color="000000" w:fill="FFFFFF"/>
            <w:noWrap/>
            <w:vAlign w:val="center"/>
            <w:hideMark/>
          </w:tcPr>
          <w:p w:rsidR="001D73DF" w:rsidRPr="002F17B5" w:rsidRDefault="00FD5E37">
            <w:pPr>
              <w:autoSpaceDE/>
              <w:autoSpaceDN/>
              <w:adjustRightInd/>
              <w:spacing w:before="0" w:after="0"/>
              <w:jc w:val="right"/>
              <w:rPr>
                <w:rFonts w:eastAsia="Times New Roman" w:cs="Arial"/>
                <w:sz w:val="20"/>
                <w:szCs w:val="20"/>
                <w:lang w:eastAsia="en-GB"/>
              </w:rPr>
            </w:pPr>
            <w:r w:rsidRPr="002F17B5">
              <w:rPr>
                <w:rFonts w:cs="Arial"/>
                <w:sz w:val="20"/>
                <w:szCs w:val="20"/>
              </w:rPr>
              <w:t>(</w:t>
            </w:r>
            <w:r w:rsidR="00F13567" w:rsidRPr="002F17B5">
              <w:rPr>
                <w:rFonts w:cs="Arial"/>
                <w:sz w:val="20"/>
                <w:szCs w:val="20"/>
              </w:rPr>
              <w:t>70.9</w:t>
            </w:r>
            <w:r w:rsidRPr="002F17B5">
              <w:rPr>
                <w:rFonts w:cs="Arial"/>
                <w:sz w:val="20"/>
                <w:szCs w:val="20"/>
              </w:rPr>
              <w:t>)</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16.9</w:t>
            </w:r>
          </w:p>
        </w:tc>
        <w:tc>
          <w:tcPr>
            <w:tcW w:w="1350" w:type="dxa"/>
            <w:tcBorders>
              <w:top w:val="nil"/>
              <w:left w:val="nil"/>
              <w:bottom w:val="nil"/>
              <w:right w:val="nil"/>
            </w:tcBorders>
            <w:shd w:val="clear" w:color="000000" w:fill="FFFFFF"/>
            <w:noWrap/>
            <w:vAlign w:val="center"/>
            <w:hideMark/>
          </w:tcPr>
          <w:p w:rsidR="001D73DF" w:rsidRPr="002F17B5" w:rsidRDefault="005A6868" w:rsidP="005A6868">
            <w:pPr>
              <w:autoSpaceDE/>
              <w:autoSpaceDN/>
              <w:adjustRightInd/>
              <w:spacing w:before="0" w:after="0"/>
              <w:jc w:val="right"/>
              <w:rPr>
                <w:rFonts w:eastAsia="Times New Roman" w:cs="Arial"/>
                <w:sz w:val="20"/>
                <w:szCs w:val="20"/>
                <w:lang w:eastAsia="en-GB"/>
              </w:rPr>
            </w:pPr>
            <w:r>
              <w:rPr>
                <w:rFonts w:eastAsia="Times New Roman" w:cs="Arial"/>
                <w:sz w:val="20"/>
                <w:szCs w:val="20"/>
                <w:lang w:eastAsia="en-GB"/>
              </w:rPr>
              <w:t>69</w:t>
            </w:r>
            <w:r w:rsidR="00F13567" w:rsidRPr="002F17B5">
              <w:rPr>
                <w:rFonts w:eastAsia="Times New Roman" w:cs="Arial"/>
                <w:sz w:val="20"/>
                <w:szCs w:val="20"/>
                <w:lang w:eastAsia="en-GB"/>
              </w:rPr>
              <w:t>.4</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r w:rsidR="005A6868">
              <w:rPr>
                <w:rFonts w:eastAsia="Times New Roman" w:cs="Arial"/>
                <w:sz w:val="20"/>
                <w:szCs w:val="20"/>
                <w:lang w:eastAsia="en-GB"/>
              </w:rPr>
              <w:t>65</w:t>
            </w:r>
            <w:r w:rsidRPr="002F17B5">
              <w:rPr>
                <w:rFonts w:eastAsia="Times New Roman" w:cs="Arial"/>
                <w:sz w:val="20"/>
                <w:szCs w:val="20"/>
                <w:lang w:eastAsia="en-GB"/>
              </w:rPr>
              <w:t>.9)</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3.5</w:t>
            </w:r>
          </w:p>
        </w:tc>
      </w:tr>
      <w:tr w:rsidR="00F13567"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Travellers’ Sites</w:t>
            </w:r>
          </w:p>
        </w:tc>
        <w:tc>
          <w:tcPr>
            <w:tcW w:w="1276" w:type="dxa"/>
            <w:tcBorders>
              <w:top w:val="nil"/>
              <w:left w:val="single" w:sz="8" w:space="0" w:color="auto"/>
              <w:bottom w:val="nil"/>
              <w:right w:val="nil"/>
            </w:tcBorders>
            <w:shd w:val="clear" w:color="000000" w:fill="FFFFFF"/>
            <w:noWrap/>
            <w:vAlign w:val="center"/>
            <w:hideMark/>
          </w:tcPr>
          <w:p w:rsidR="001D73DF" w:rsidRPr="002F17B5" w:rsidRDefault="00341FA8" w:rsidP="00141ABD">
            <w:pPr>
              <w:autoSpaceDE/>
              <w:autoSpaceDN/>
              <w:adjustRightInd/>
              <w:spacing w:before="0" w:after="0"/>
              <w:jc w:val="right"/>
              <w:rPr>
                <w:rFonts w:eastAsia="Times New Roman" w:cs="Arial"/>
                <w:sz w:val="20"/>
                <w:szCs w:val="20"/>
                <w:lang w:eastAsia="en-GB"/>
              </w:rPr>
            </w:pPr>
            <w:r w:rsidRPr="002F17B5">
              <w:rPr>
                <w:rFonts w:cs="Arial"/>
                <w:sz w:val="20"/>
                <w:szCs w:val="20"/>
              </w:rPr>
              <w:t>0.2</w:t>
            </w:r>
          </w:p>
        </w:tc>
        <w:tc>
          <w:tcPr>
            <w:tcW w:w="1701" w:type="dxa"/>
            <w:gridSpan w:val="2"/>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cs="Arial"/>
                <w:sz w:val="20"/>
                <w:szCs w:val="20"/>
              </w:rPr>
              <w:t>- </w:t>
            </w:r>
          </w:p>
        </w:tc>
        <w:tc>
          <w:tcPr>
            <w:tcW w:w="1693" w:type="dxa"/>
            <w:gridSpan w:val="2"/>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227"/>
              <w:jc w:val="right"/>
              <w:rPr>
                <w:rFonts w:eastAsia="Times New Roman" w:cs="Arial"/>
                <w:sz w:val="20"/>
                <w:szCs w:val="20"/>
                <w:lang w:eastAsia="en-GB"/>
              </w:rPr>
            </w:pPr>
            <w:r w:rsidRPr="002F17B5">
              <w:rPr>
                <w:rFonts w:cs="Arial"/>
                <w:sz w:val="20"/>
                <w:szCs w:val="20"/>
              </w:rPr>
              <w:t>0.</w:t>
            </w:r>
            <w:r w:rsidR="00341FA8" w:rsidRPr="002F17B5">
              <w:rPr>
                <w:rFonts w:cs="Arial"/>
                <w:sz w:val="20"/>
                <w:szCs w:val="20"/>
              </w:rPr>
              <w:t>2</w:t>
            </w:r>
          </w:p>
        </w:tc>
        <w:tc>
          <w:tcPr>
            <w:tcW w:w="1350"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0.2</w:t>
            </w:r>
          </w:p>
        </w:tc>
        <w:tc>
          <w:tcPr>
            <w:tcW w:w="1384" w:type="dxa"/>
            <w:tcBorders>
              <w:top w:val="nil"/>
              <w:left w:val="nil"/>
              <w:bottom w:val="nil"/>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c>
          <w:tcPr>
            <w:tcW w:w="1418" w:type="dxa"/>
            <w:tcBorders>
              <w:top w:val="nil"/>
              <w:left w:val="nil"/>
              <w:bottom w:val="nil"/>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sz w:val="20"/>
                <w:szCs w:val="20"/>
                <w:lang w:eastAsia="en-GB"/>
              </w:rPr>
            </w:pPr>
            <w:r w:rsidRPr="002F17B5">
              <w:rPr>
                <w:rFonts w:eastAsia="Times New Roman" w:cs="Arial"/>
                <w:sz w:val="20"/>
                <w:szCs w:val="20"/>
                <w:lang w:eastAsia="en-GB"/>
              </w:rPr>
              <w:t>0.2</w:t>
            </w:r>
          </w:p>
        </w:tc>
      </w:tr>
      <w:tr w:rsidR="00F13567" w:rsidRPr="002F17B5" w:rsidTr="00141ABD">
        <w:trPr>
          <w:trHeight w:val="465"/>
        </w:trPr>
        <w:tc>
          <w:tcPr>
            <w:tcW w:w="6379" w:type="dxa"/>
            <w:tcBorders>
              <w:top w:val="single" w:sz="8" w:space="0" w:color="auto"/>
              <w:left w:val="single" w:sz="8" w:space="0" w:color="auto"/>
              <w:bottom w:val="single" w:sz="8" w:space="0" w:color="auto"/>
              <w:right w:val="nil"/>
            </w:tcBorders>
            <w:shd w:val="clear" w:color="000000" w:fill="FFFFFF"/>
            <w:vAlign w:val="center"/>
            <w:hideMark/>
          </w:tcPr>
          <w:p w:rsidR="00F13567" w:rsidRPr="002F17B5" w:rsidRDefault="00F13567" w:rsidP="000C4509">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Cost of services</w:t>
            </w:r>
            <w:r w:rsidR="00630928">
              <w:rPr>
                <w:rFonts w:eastAsia="Times New Roman" w:cs="Arial"/>
                <w:b/>
                <w:bCs/>
                <w:sz w:val="20"/>
                <w:szCs w:val="20"/>
                <w:lang w:eastAsia="en-GB"/>
              </w:rPr>
              <w:t xml:space="preserve"> for continued operations</w:t>
            </w:r>
          </w:p>
        </w:tc>
        <w:tc>
          <w:tcPr>
            <w:tcW w:w="1276" w:type="dxa"/>
            <w:tcBorders>
              <w:top w:val="single" w:sz="8" w:space="0" w:color="auto"/>
              <w:left w:val="single" w:sz="8" w:space="0" w:color="auto"/>
              <w:bottom w:val="single" w:sz="8" w:space="0" w:color="auto"/>
              <w:right w:val="nil"/>
            </w:tcBorders>
            <w:shd w:val="clear" w:color="000000" w:fill="FFFFFF"/>
            <w:noWrap/>
            <w:vAlign w:val="center"/>
            <w:hideMark/>
          </w:tcPr>
          <w:p w:rsidR="001D73DF" w:rsidRPr="002F17B5" w:rsidRDefault="00630928" w:rsidP="00141ABD">
            <w:pPr>
              <w:autoSpaceDE/>
              <w:autoSpaceDN/>
              <w:adjustRightInd/>
              <w:spacing w:before="0" w:after="0"/>
              <w:jc w:val="right"/>
              <w:rPr>
                <w:rFonts w:eastAsia="Times New Roman" w:cs="Arial"/>
                <w:b/>
                <w:bCs/>
                <w:sz w:val="20"/>
                <w:szCs w:val="20"/>
                <w:lang w:eastAsia="en-GB"/>
              </w:rPr>
            </w:pPr>
            <w:r>
              <w:rPr>
                <w:rFonts w:cs="Arial"/>
                <w:b/>
                <w:bCs/>
                <w:sz w:val="20"/>
                <w:szCs w:val="20"/>
              </w:rPr>
              <w:t>2012.4</w:t>
            </w:r>
          </w:p>
        </w:tc>
        <w:tc>
          <w:tcPr>
            <w:tcW w:w="1701" w:type="dxa"/>
            <w:gridSpan w:val="2"/>
            <w:tcBorders>
              <w:top w:val="single" w:sz="8" w:space="0" w:color="auto"/>
              <w:left w:val="nil"/>
              <w:bottom w:val="single" w:sz="8" w:space="0" w:color="auto"/>
              <w:right w:val="nil"/>
            </w:tcBorders>
            <w:shd w:val="clear" w:color="000000" w:fill="FFFFFF"/>
            <w:noWrap/>
            <w:vAlign w:val="center"/>
            <w:hideMark/>
          </w:tcPr>
          <w:p w:rsidR="001D73DF" w:rsidRPr="002F17B5" w:rsidRDefault="00E11D08">
            <w:pPr>
              <w:autoSpaceDE/>
              <w:autoSpaceDN/>
              <w:adjustRightInd/>
              <w:spacing w:before="0" w:after="0"/>
              <w:jc w:val="right"/>
              <w:rPr>
                <w:rFonts w:eastAsia="Times New Roman" w:cs="Arial"/>
                <w:b/>
                <w:bCs/>
                <w:sz w:val="20"/>
                <w:szCs w:val="20"/>
                <w:lang w:eastAsia="en-GB"/>
              </w:rPr>
            </w:pPr>
            <w:r w:rsidRPr="002F17B5">
              <w:rPr>
                <w:rFonts w:cs="Arial"/>
                <w:b/>
                <w:bCs/>
                <w:sz w:val="20"/>
                <w:szCs w:val="20"/>
              </w:rPr>
              <w:t>(</w:t>
            </w:r>
            <w:r w:rsidR="00F13567" w:rsidRPr="002F17B5">
              <w:rPr>
                <w:rFonts w:cs="Arial"/>
                <w:b/>
                <w:bCs/>
                <w:sz w:val="20"/>
                <w:szCs w:val="20"/>
              </w:rPr>
              <w:t>1</w:t>
            </w:r>
            <w:r w:rsidR="00341FA8" w:rsidRPr="002F17B5">
              <w:rPr>
                <w:rFonts w:cs="Arial"/>
                <w:b/>
                <w:bCs/>
                <w:sz w:val="20"/>
                <w:szCs w:val="20"/>
              </w:rPr>
              <w:t>,</w:t>
            </w:r>
            <w:r w:rsidR="00630928">
              <w:rPr>
                <w:rFonts w:cs="Arial"/>
                <w:b/>
                <w:bCs/>
                <w:sz w:val="20"/>
                <w:szCs w:val="20"/>
              </w:rPr>
              <w:t>223.2</w:t>
            </w:r>
            <w:r w:rsidR="00FD5E37" w:rsidRPr="002F17B5">
              <w:rPr>
                <w:rFonts w:cs="Arial"/>
                <w:b/>
                <w:bCs/>
                <w:sz w:val="20"/>
                <w:szCs w:val="20"/>
              </w:rPr>
              <w:t>)</w:t>
            </w:r>
          </w:p>
        </w:tc>
        <w:tc>
          <w:tcPr>
            <w:tcW w:w="169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1D73DF" w:rsidRPr="002F17B5" w:rsidRDefault="00630928" w:rsidP="00141ABD">
            <w:pPr>
              <w:autoSpaceDE/>
              <w:autoSpaceDN/>
              <w:adjustRightInd/>
              <w:spacing w:before="0" w:after="0"/>
              <w:ind w:right="227"/>
              <w:jc w:val="right"/>
              <w:rPr>
                <w:rFonts w:eastAsia="Times New Roman" w:cs="Arial"/>
                <w:b/>
                <w:bCs/>
                <w:sz w:val="20"/>
                <w:szCs w:val="20"/>
                <w:lang w:eastAsia="en-GB"/>
              </w:rPr>
            </w:pPr>
            <w:r>
              <w:rPr>
                <w:rFonts w:cs="Arial"/>
                <w:b/>
                <w:bCs/>
                <w:sz w:val="20"/>
                <w:szCs w:val="20"/>
              </w:rPr>
              <w:t>789</w:t>
            </w:r>
            <w:r w:rsidR="00E94057" w:rsidRPr="002F17B5">
              <w:rPr>
                <w:rFonts w:cs="Arial"/>
                <w:b/>
                <w:bCs/>
                <w:sz w:val="20"/>
                <w:szCs w:val="20"/>
              </w:rPr>
              <w:t>.2</w:t>
            </w:r>
          </w:p>
        </w:tc>
        <w:tc>
          <w:tcPr>
            <w:tcW w:w="1350" w:type="dxa"/>
            <w:tcBorders>
              <w:top w:val="single" w:sz="8" w:space="0" w:color="auto"/>
              <w:left w:val="nil"/>
              <w:bottom w:val="single" w:sz="8" w:space="0" w:color="auto"/>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1,9</w:t>
            </w:r>
            <w:r w:rsidR="005A6868">
              <w:rPr>
                <w:rFonts w:eastAsia="Times New Roman" w:cs="Arial"/>
                <w:b/>
                <w:bCs/>
                <w:sz w:val="20"/>
                <w:szCs w:val="20"/>
                <w:lang w:eastAsia="en-GB"/>
              </w:rPr>
              <w:t>24</w:t>
            </w:r>
            <w:r w:rsidRPr="002F17B5">
              <w:rPr>
                <w:rFonts w:eastAsia="Times New Roman" w:cs="Arial"/>
                <w:b/>
                <w:bCs/>
                <w:sz w:val="20"/>
                <w:szCs w:val="20"/>
                <w:lang w:eastAsia="en-GB"/>
              </w:rPr>
              <w:t>.6</w:t>
            </w:r>
          </w:p>
        </w:tc>
        <w:tc>
          <w:tcPr>
            <w:tcW w:w="1384" w:type="dxa"/>
            <w:tcBorders>
              <w:top w:val="single" w:sz="8" w:space="0" w:color="auto"/>
              <w:left w:val="nil"/>
              <w:bottom w:val="single" w:sz="8" w:space="0" w:color="auto"/>
              <w:right w:val="nil"/>
            </w:tcBorders>
            <w:shd w:val="clear" w:color="000000" w:fill="FFFFFF"/>
            <w:noWrap/>
            <w:vAlign w:val="center"/>
            <w:hideMark/>
          </w:tcPr>
          <w:p w:rsidR="001D73DF" w:rsidRPr="002F17B5" w:rsidRDefault="00F13567">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(1,</w:t>
            </w:r>
            <w:r w:rsidR="005A6868">
              <w:rPr>
                <w:rFonts w:eastAsia="Times New Roman" w:cs="Arial"/>
                <w:b/>
                <w:bCs/>
                <w:sz w:val="20"/>
                <w:szCs w:val="20"/>
                <w:lang w:eastAsia="en-GB"/>
              </w:rPr>
              <w:t>193</w:t>
            </w:r>
            <w:r w:rsidRPr="002F17B5">
              <w:rPr>
                <w:rFonts w:eastAsia="Times New Roman" w:cs="Arial"/>
                <w:b/>
                <w:bCs/>
                <w:sz w:val="20"/>
                <w:szCs w:val="20"/>
                <w:lang w:eastAsia="en-GB"/>
              </w:rPr>
              <w:t>.7)</w:t>
            </w:r>
          </w:p>
        </w:tc>
        <w:tc>
          <w:tcPr>
            <w:tcW w:w="1418" w:type="dxa"/>
            <w:tcBorders>
              <w:top w:val="single" w:sz="8" w:space="0" w:color="auto"/>
              <w:left w:val="nil"/>
              <w:bottom w:val="single" w:sz="8" w:space="0" w:color="auto"/>
              <w:right w:val="single" w:sz="8" w:space="0" w:color="auto"/>
            </w:tcBorders>
            <w:shd w:val="clear" w:color="000000" w:fill="FFFFFF"/>
            <w:noWrap/>
            <w:vAlign w:val="center"/>
            <w:hideMark/>
          </w:tcPr>
          <w:p w:rsidR="001D73DF" w:rsidRPr="002F17B5" w:rsidRDefault="00F13567" w:rsidP="00141ABD">
            <w:pPr>
              <w:autoSpaceDE/>
              <w:autoSpaceDN/>
              <w:adjustRightInd/>
              <w:spacing w:before="0" w:after="0"/>
              <w:ind w:right="170"/>
              <w:jc w:val="right"/>
              <w:rPr>
                <w:rFonts w:eastAsia="Times New Roman" w:cs="Arial"/>
                <w:b/>
                <w:bCs/>
                <w:sz w:val="20"/>
                <w:szCs w:val="20"/>
                <w:lang w:eastAsia="en-GB"/>
              </w:rPr>
            </w:pPr>
            <w:r w:rsidRPr="002F17B5">
              <w:rPr>
                <w:rFonts w:eastAsia="Times New Roman" w:cs="Arial"/>
                <w:b/>
                <w:bCs/>
                <w:sz w:val="20"/>
                <w:szCs w:val="20"/>
                <w:lang w:eastAsia="en-GB"/>
              </w:rPr>
              <w:t>730.9 </w:t>
            </w:r>
          </w:p>
        </w:tc>
      </w:tr>
      <w:tr w:rsidR="00630928" w:rsidRPr="002F17B5" w:rsidTr="00141ABD">
        <w:trPr>
          <w:trHeight w:val="465"/>
        </w:trPr>
        <w:tc>
          <w:tcPr>
            <w:tcW w:w="6379" w:type="dxa"/>
            <w:tcBorders>
              <w:top w:val="nil"/>
              <w:left w:val="single" w:sz="8" w:space="0" w:color="auto"/>
              <w:bottom w:val="single" w:sz="4" w:space="0" w:color="auto"/>
              <w:right w:val="nil"/>
            </w:tcBorders>
            <w:shd w:val="clear" w:color="000000" w:fill="FFFFFF"/>
            <w:vAlign w:val="center"/>
            <w:hideMark/>
          </w:tcPr>
          <w:p w:rsidR="00630928" w:rsidRPr="002F17B5" w:rsidRDefault="00630928" w:rsidP="00630928">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Public Health*</w:t>
            </w:r>
          </w:p>
        </w:tc>
        <w:tc>
          <w:tcPr>
            <w:tcW w:w="1593" w:type="dxa"/>
            <w:gridSpan w:val="2"/>
            <w:tcBorders>
              <w:top w:val="nil"/>
              <w:left w:val="single" w:sz="8" w:space="0" w:color="auto"/>
              <w:bottom w:val="single" w:sz="4" w:space="0" w:color="auto"/>
              <w:right w:val="nil"/>
            </w:tcBorders>
            <w:shd w:val="clear" w:color="000000" w:fill="FFFFFF"/>
            <w:noWrap/>
            <w:vAlign w:val="center"/>
            <w:hideMark/>
          </w:tcPr>
          <w:p w:rsidR="00630928" w:rsidRPr="002F17B5" w:rsidRDefault="00630928" w:rsidP="00141ABD">
            <w:pPr>
              <w:autoSpaceDE/>
              <w:autoSpaceDN/>
              <w:adjustRightInd/>
              <w:spacing w:before="0" w:after="0"/>
              <w:ind w:right="283"/>
              <w:jc w:val="right"/>
              <w:rPr>
                <w:rFonts w:eastAsia="Times New Roman" w:cs="Arial"/>
                <w:sz w:val="20"/>
                <w:szCs w:val="20"/>
                <w:lang w:eastAsia="en-GB"/>
              </w:rPr>
            </w:pPr>
            <w:r w:rsidRPr="002F17B5">
              <w:rPr>
                <w:rFonts w:cs="Arial"/>
                <w:sz w:val="20"/>
                <w:szCs w:val="20"/>
              </w:rPr>
              <w:t>57.8</w:t>
            </w:r>
          </w:p>
        </w:tc>
        <w:tc>
          <w:tcPr>
            <w:tcW w:w="1701" w:type="dxa"/>
            <w:gridSpan w:val="2"/>
            <w:tcBorders>
              <w:top w:val="nil"/>
              <w:left w:val="nil"/>
              <w:bottom w:val="single" w:sz="4" w:space="0" w:color="auto"/>
              <w:right w:val="nil"/>
            </w:tcBorders>
            <w:shd w:val="clear" w:color="000000" w:fill="FFFFFF"/>
            <w:noWrap/>
            <w:vAlign w:val="center"/>
            <w:hideMark/>
          </w:tcPr>
          <w:p w:rsidR="00630928" w:rsidRPr="002F17B5" w:rsidRDefault="00630928" w:rsidP="00141ABD">
            <w:pPr>
              <w:autoSpaceDE/>
              <w:autoSpaceDN/>
              <w:adjustRightInd/>
              <w:spacing w:before="0" w:after="0"/>
              <w:ind w:right="340"/>
              <w:jc w:val="right"/>
              <w:rPr>
                <w:rFonts w:eastAsia="Times New Roman" w:cs="Arial"/>
                <w:sz w:val="20"/>
                <w:szCs w:val="20"/>
                <w:lang w:eastAsia="en-GB"/>
              </w:rPr>
            </w:pPr>
            <w:r w:rsidRPr="002F17B5">
              <w:rPr>
                <w:rFonts w:cs="Arial"/>
                <w:sz w:val="20"/>
                <w:szCs w:val="20"/>
              </w:rPr>
              <w:t>(59.8)</w:t>
            </w:r>
          </w:p>
        </w:tc>
        <w:tc>
          <w:tcPr>
            <w:tcW w:w="1376" w:type="dxa"/>
            <w:tcBorders>
              <w:top w:val="nil"/>
              <w:left w:val="nil"/>
              <w:bottom w:val="single" w:sz="4" w:space="0" w:color="auto"/>
              <w:right w:val="single" w:sz="8" w:space="0" w:color="auto"/>
            </w:tcBorders>
            <w:shd w:val="clear" w:color="000000" w:fill="FFFFFF"/>
            <w:noWrap/>
            <w:vAlign w:val="center"/>
            <w:hideMark/>
          </w:tcPr>
          <w:p w:rsidR="00630928" w:rsidRPr="002F17B5" w:rsidRDefault="00630928" w:rsidP="00141ABD">
            <w:pPr>
              <w:autoSpaceDE/>
              <w:autoSpaceDN/>
              <w:adjustRightInd/>
              <w:spacing w:before="0" w:after="0"/>
              <w:ind w:right="170"/>
              <w:jc w:val="right"/>
              <w:rPr>
                <w:rFonts w:eastAsia="Times New Roman" w:cs="Arial"/>
                <w:sz w:val="20"/>
                <w:szCs w:val="20"/>
                <w:lang w:eastAsia="en-GB"/>
              </w:rPr>
            </w:pPr>
            <w:r w:rsidRPr="002F17B5">
              <w:rPr>
                <w:rFonts w:cs="Arial"/>
                <w:sz w:val="20"/>
                <w:szCs w:val="20"/>
              </w:rPr>
              <w:t>(2.0)</w:t>
            </w:r>
          </w:p>
        </w:tc>
        <w:tc>
          <w:tcPr>
            <w:tcW w:w="1350" w:type="dxa"/>
            <w:tcBorders>
              <w:top w:val="nil"/>
              <w:left w:val="nil"/>
              <w:bottom w:val="single" w:sz="4" w:space="0" w:color="auto"/>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384" w:type="dxa"/>
            <w:tcBorders>
              <w:top w:val="nil"/>
              <w:left w:val="nil"/>
              <w:bottom w:val="single" w:sz="4" w:space="0" w:color="auto"/>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418" w:type="dxa"/>
            <w:tcBorders>
              <w:top w:val="nil"/>
              <w:left w:val="nil"/>
              <w:bottom w:val="single" w:sz="4" w:space="0" w:color="auto"/>
              <w:right w:val="single" w:sz="8"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r>
      <w:tr w:rsidR="00630928" w:rsidRPr="002F17B5" w:rsidTr="00141ABD">
        <w:trPr>
          <w:trHeight w:val="465"/>
        </w:trPr>
        <w:tc>
          <w:tcPr>
            <w:tcW w:w="6379" w:type="dxa"/>
            <w:tcBorders>
              <w:top w:val="single" w:sz="4" w:space="0" w:color="auto"/>
              <w:left w:val="single" w:sz="8" w:space="0" w:color="auto"/>
              <w:bottom w:val="single" w:sz="4" w:space="0" w:color="auto"/>
              <w:right w:val="nil"/>
            </w:tcBorders>
            <w:shd w:val="clear" w:color="000000" w:fill="FFFFFF"/>
            <w:vAlign w:val="center"/>
          </w:tcPr>
          <w:p w:rsidR="00630928" w:rsidRPr="00630928" w:rsidRDefault="00630928" w:rsidP="00630928">
            <w:pPr>
              <w:autoSpaceDE/>
              <w:autoSpaceDN/>
              <w:adjustRightInd/>
              <w:spacing w:before="0" w:after="0"/>
              <w:jc w:val="left"/>
              <w:rPr>
                <w:rFonts w:eastAsia="Times New Roman" w:cs="Arial"/>
                <w:b/>
                <w:sz w:val="20"/>
                <w:szCs w:val="20"/>
                <w:lang w:eastAsia="en-GB"/>
              </w:rPr>
            </w:pPr>
            <w:r>
              <w:rPr>
                <w:rFonts w:eastAsia="Times New Roman" w:cs="Arial"/>
                <w:b/>
                <w:sz w:val="20"/>
                <w:szCs w:val="20"/>
                <w:lang w:eastAsia="en-GB"/>
              </w:rPr>
              <w:lastRenderedPageBreak/>
              <w:t>Cost of services for acquired operations</w:t>
            </w:r>
          </w:p>
        </w:tc>
        <w:tc>
          <w:tcPr>
            <w:tcW w:w="1593" w:type="dxa"/>
            <w:gridSpan w:val="2"/>
            <w:tcBorders>
              <w:top w:val="single" w:sz="4" w:space="0" w:color="auto"/>
              <w:left w:val="single" w:sz="8" w:space="0" w:color="auto"/>
              <w:bottom w:val="single" w:sz="4" w:space="0" w:color="auto"/>
              <w:right w:val="nil"/>
            </w:tcBorders>
            <w:shd w:val="clear" w:color="000000" w:fill="FFFFFF"/>
            <w:noWrap/>
            <w:vAlign w:val="center"/>
          </w:tcPr>
          <w:p w:rsidR="00630928" w:rsidRPr="00630928" w:rsidRDefault="00630928" w:rsidP="00141ABD">
            <w:pPr>
              <w:autoSpaceDE/>
              <w:autoSpaceDN/>
              <w:adjustRightInd/>
              <w:spacing w:before="0" w:after="0"/>
              <w:ind w:right="227"/>
              <w:jc w:val="right"/>
              <w:rPr>
                <w:rFonts w:cs="Arial"/>
                <w:b/>
                <w:sz w:val="20"/>
                <w:szCs w:val="20"/>
              </w:rPr>
            </w:pPr>
            <w:r w:rsidRPr="00630928">
              <w:rPr>
                <w:rFonts w:cs="Arial"/>
                <w:b/>
                <w:sz w:val="20"/>
                <w:szCs w:val="20"/>
              </w:rPr>
              <w:t>57.8</w:t>
            </w:r>
          </w:p>
        </w:tc>
        <w:tc>
          <w:tcPr>
            <w:tcW w:w="1701" w:type="dxa"/>
            <w:gridSpan w:val="2"/>
            <w:tcBorders>
              <w:top w:val="single" w:sz="4" w:space="0" w:color="auto"/>
              <w:left w:val="nil"/>
              <w:bottom w:val="single" w:sz="4" w:space="0" w:color="auto"/>
              <w:right w:val="nil"/>
            </w:tcBorders>
            <w:shd w:val="clear" w:color="000000" w:fill="FFFFFF"/>
            <w:noWrap/>
            <w:vAlign w:val="center"/>
          </w:tcPr>
          <w:p w:rsidR="00630928" w:rsidRPr="00630928" w:rsidRDefault="00630928" w:rsidP="00141ABD">
            <w:pPr>
              <w:autoSpaceDE/>
              <w:autoSpaceDN/>
              <w:adjustRightInd/>
              <w:spacing w:before="0" w:after="0"/>
              <w:ind w:right="170"/>
              <w:jc w:val="right"/>
              <w:rPr>
                <w:rFonts w:cs="Arial"/>
                <w:b/>
                <w:sz w:val="20"/>
                <w:szCs w:val="20"/>
              </w:rPr>
            </w:pPr>
            <w:r w:rsidRPr="00630928">
              <w:rPr>
                <w:rFonts w:cs="Arial"/>
                <w:b/>
                <w:sz w:val="20"/>
                <w:szCs w:val="20"/>
              </w:rPr>
              <w:t>(59.8)</w:t>
            </w:r>
          </w:p>
        </w:tc>
        <w:tc>
          <w:tcPr>
            <w:tcW w:w="1376" w:type="dxa"/>
            <w:tcBorders>
              <w:top w:val="single" w:sz="4" w:space="0" w:color="auto"/>
              <w:left w:val="nil"/>
              <w:bottom w:val="single" w:sz="4" w:space="0" w:color="auto"/>
              <w:right w:val="single" w:sz="8" w:space="0" w:color="auto"/>
            </w:tcBorders>
            <w:shd w:val="clear" w:color="000000" w:fill="FFFFFF"/>
            <w:noWrap/>
            <w:vAlign w:val="center"/>
          </w:tcPr>
          <w:p w:rsidR="00630928" w:rsidRPr="00630928" w:rsidRDefault="00630928" w:rsidP="00141ABD">
            <w:pPr>
              <w:autoSpaceDE/>
              <w:autoSpaceDN/>
              <w:adjustRightInd/>
              <w:spacing w:before="0" w:after="0"/>
              <w:ind w:right="113"/>
              <w:jc w:val="right"/>
              <w:rPr>
                <w:rFonts w:cs="Arial"/>
                <w:b/>
                <w:sz w:val="20"/>
                <w:szCs w:val="20"/>
              </w:rPr>
            </w:pPr>
            <w:r w:rsidRPr="00630928">
              <w:rPr>
                <w:rFonts w:cs="Arial"/>
                <w:b/>
                <w:sz w:val="20"/>
                <w:szCs w:val="20"/>
              </w:rPr>
              <w:t>(2.0)</w:t>
            </w:r>
          </w:p>
        </w:tc>
        <w:tc>
          <w:tcPr>
            <w:tcW w:w="1350" w:type="dxa"/>
            <w:tcBorders>
              <w:top w:val="single" w:sz="4" w:space="0" w:color="auto"/>
              <w:left w:val="nil"/>
              <w:bottom w:val="single" w:sz="4" w:space="0" w:color="auto"/>
              <w:right w:val="nil"/>
            </w:tcBorders>
            <w:shd w:val="clear" w:color="000000" w:fill="FFFFFF"/>
            <w:noWrap/>
            <w:vAlign w:val="center"/>
          </w:tcPr>
          <w:p w:rsidR="00630928" w:rsidRPr="00630928" w:rsidRDefault="00630928" w:rsidP="00630928">
            <w:pPr>
              <w:autoSpaceDE/>
              <w:autoSpaceDN/>
              <w:adjustRightInd/>
              <w:spacing w:before="0" w:after="0"/>
              <w:jc w:val="right"/>
              <w:rPr>
                <w:rFonts w:eastAsia="Times New Roman" w:cs="Arial"/>
                <w:b/>
                <w:sz w:val="20"/>
                <w:szCs w:val="20"/>
                <w:lang w:eastAsia="en-GB"/>
              </w:rPr>
            </w:pPr>
            <w:r w:rsidRPr="00630928">
              <w:rPr>
                <w:rFonts w:eastAsia="Times New Roman" w:cs="Arial"/>
                <w:b/>
                <w:sz w:val="20"/>
                <w:szCs w:val="20"/>
                <w:lang w:eastAsia="en-GB"/>
              </w:rPr>
              <w:t>-</w:t>
            </w:r>
          </w:p>
        </w:tc>
        <w:tc>
          <w:tcPr>
            <w:tcW w:w="1384" w:type="dxa"/>
            <w:tcBorders>
              <w:top w:val="single" w:sz="4" w:space="0" w:color="auto"/>
              <w:left w:val="nil"/>
              <w:bottom w:val="single" w:sz="4" w:space="0" w:color="auto"/>
              <w:right w:val="nil"/>
            </w:tcBorders>
            <w:shd w:val="clear" w:color="000000" w:fill="FFFFFF"/>
            <w:noWrap/>
            <w:vAlign w:val="center"/>
          </w:tcPr>
          <w:p w:rsidR="00630928" w:rsidRPr="00630928" w:rsidRDefault="00630928" w:rsidP="00630928">
            <w:pPr>
              <w:autoSpaceDE/>
              <w:autoSpaceDN/>
              <w:adjustRightInd/>
              <w:spacing w:before="0" w:after="0"/>
              <w:jc w:val="right"/>
              <w:rPr>
                <w:rFonts w:eastAsia="Times New Roman" w:cs="Arial"/>
                <w:b/>
                <w:sz w:val="20"/>
                <w:szCs w:val="20"/>
                <w:lang w:eastAsia="en-GB"/>
              </w:rPr>
            </w:pPr>
            <w:r w:rsidRPr="00630928">
              <w:rPr>
                <w:rFonts w:eastAsia="Times New Roman" w:cs="Arial"/>
                <w:b/>
                <w:sz w:val="20"/>
                <w:szCs w:val="20"/>
                <w:lang w:eastAsia="en-GB"/>
              </w:rPr>
              <w:t>-</w:t>
            </w:r>
          </w:p>
        </w:tc>
        <w:tc>
          <w:tcPr>
            <w:tcW w:w="1418" w:type="dxa"/>
            <w:tcBorders>
              <w:top w:val="single" w:sz="4" w:space="0" w:color="auto"/>
              <w:left w:val="nil"/>
              <w:bottom w:val="single" w:sz="4" w:space="0" w:color="auto"/>
              <w:right w:val="single" w:sz="8" w:space="0" w:color="auto"/>
            </w:tcBorders>
            <w:shd w:val="clear" w:color="000000" w:fill="FFFFFF"/>
            <w:noWrap/>
            <w:vAlign w:val="center"/>
          </w:tcPr>
          <w:p w:rsidR="00630928" w:rsidRPr="00630928" w:rsidRDefault="00630928" w:rsidP="00630928">
            <w:pPr>
              <w:autoSpaceDE/>
              <w:autoSpaceDN/>
              <w:adjustRightInd/>
              <w:spacing w:before="0" w:after="0"/>
              <w:jc w:val="right"/>
              <w:rPr>
                <w:rFonts w:eastAsia="Times New Roman" w:cs="Arial"/>
                <w:b/>
                <w:sz w:val="20"/>
                <w:szCs w:val="20"/>
                <w:lang w:eastAsia="en-GB"/>
              </w:rPr>
            </w:pPr>
            <w:r w:rsidRPr="00630928">
              <w:rPr>
                <w:rFonts w:eastAsia="Times New Roman" w:cs="Arial"/>
                <w:b/>
                <w:sz w:val="20"/>
                <w:szCs w:val="20"/>
                <w:lang w:eastAsia="en-GB"/>
              </w:rPr>
              <w:t>-</w:t>
            </w:r>
          </w:p>
        </w:tc>
      </w:tr>
      <w:tr w:rsidR="00630928" w:rsidRPr="002F17B5" w:rsidTr="00141ABD">
        <w:trPr>
          <w:trHeight w:val="465"/>
        </w:trPr>
        <w:tc>
          <w:tcPr>
            <w:tcW w:w="6379" w:type="dxa"/>
            <w:tcBorders>
              <w:top w:val="single" w:sz="4" w:space="0" w:color="auto"/>
              <w:left w:val="single" w:sz="8" w:space="0" w:color="auto"/>
              <w:bottom w:val="single" w:sz="4" w:space="0" w:color="auto"/>
              <w:right w:val="nil"/>
            </w:tcBorders>
            <w:shd w:val="clear" w:color="000000" w:fill="FFFFFF"/>
            <w:vAlign w:val="center"/>
          </w:tcPr>
          <w:p w:rsidR="00630928" w:rsidRPr="00630928" w:rsidRDefault="00630928" w:rsidP="00630928">
            <w:pPr>
              <w:autoSpaceDE/>
              <w:autoSpaceDN/>
              <w:adjustRightInd/>
              <w:spacing w:before="0" w:after="0"/>
              <w:jc w:val="left"/>
              <w:rPr>
                <w:rFonts w:eastAsia="Times New Roman" w:cs="Arial"/>
                <w:b/>
                <w:sz w:val="20"/>
                <w:szCs w:val="20"/>
                <w:lang w:eastAsia="en-GB"/>
              </w:rPr>
            </w:pPr>
            <w:r>
              <w:rPr>
                <w:rFonts w:eastAsia="Times New Roman" w:cs="Arial"/>
                <w:b/>
                <w:sz w:val="20"/>
                <w:szCs w:val="20"/>
                <w:lang w:eastAsia="en-GB"/>
              </w:rPr>
              <w:t>Total cost of services</w:t>
            </w:r>
          </w:p>
        </w:tc>
        <w:tc>
          <w:tcPr>
            <w:tcW w:w="1593" w:type="dxa"/>
            <w:gridSpan w:val="2"/>
            <w:tcBorders>
              <w:top w:val="single" w:sz="4" w:space="0" w:color="auto"/>
              <w:left w:val="single" w:sz="8" w:space="0" w:color="auto"/>
              <w:bottom w:val="single" w:sz="4" w:space="0" w:color="auto"/>
              <w:right w:val="nil"/>
            </w:tcBorders>
            <w:shd w:val="clear" w:color="000000" w:fill="FFFFFF"/>
            <w:noWrap/>
            <w:vAlign w:val="center"/>
          </w:tcPr>
          <w:p w:rsidR="00630928" w:rsidRPr="00630928" w:rsidRDefault="00630928" w:rsidP="00141ABD">
            <w:pPr>
              <w:autoSpaceDE/>
              <w:autoSpaceDN/>
              <w:adjustRightInd/>
              <w:spacing w:before="0" w:after="0"/>
              <w:ind w:right="227"/>
              <w:jc w:val="right"/>
              <w:rPr>
                <w:rFonts w:cs="Arial"/>
                <w:b/>
                <w:sz w:val="20"/>
                <w:szCs w:val="20"/>
              </w:rPr>
            </w:pPr>
            <w:r>
              <w:rPr>
                <w:rFonts w:cs="Arial"/>
                <w:b/>
                <w:sz w:val="20"/>
                <w:szCs w:val="20"/>
              </w:rPr>
              <w:t>2070.2</w:t>
            </w:r>
          </w:p>
        </w:tc>
        <w:tc>
          <w:tcPr>
            <w:tcW w:w="1701" w:type="dxa"/>
            <w:gridSpan w:val="2"/>
            <w:tcBorders>
              <w:top w:val="single" w:sz="4" w:space="0" w:color="auto"/>
              <w:left w:val="nil"/>
              <w:bottom w:val="single" w:sz="4" w:space="0" w:color="auto"/>
              <w:right w:val="nil"/>
            </w:tcBorders>
            <w:shd w:val="clear" w:color="000000" w:fill="FFFFFF"/>
            <w:noWrap/>
            <w:vAlign w:val="center"/>
          </w:tcPr>
          <w:p w:rsidR="00630928" w:rsidRPr="00630928" w:rsidRDefault="00630928" w:rsidP="00141ABD">
            <w:pPr>
              <w:autoSpaceDE/>
              <w:autoSpaceDN/>
              <w:adjustRightInd/>
              <w:spacing w:before="0" w:after="0"/>
              <w:ind w:right="170"/>
              <w:jc w:val="right"/>
              <w:rPr>
                <w:rFonts w:cs="Arial"/>
                <w:b/>
                <w:sz w:val="20"/>
                <w:szCs w:val="20"/>
              </w:rPr>
            </w:pPr>
            <w:r>
              <w:rPr>
                <w:rFonts w:cs="Arial"/>
                <w:b/>
                <w:sz w:val="20"/>
                <w:szCs w:val="20"/>
              </w:rPr>
              <w:t>(1283.0)</w:t>
            </w:r>
          </w:p>
        </w:tc>
        <w:tc>
          <w:tcPr>
            <w:tcW w:w="1376" w:type="dxa"/>
            <w:tcBorders>
              <w:top w:val="single" w:sz="4" w:space="0" w:color="auto"/>
              <w:left w:val="nil"/>
              <w:bottom w:val="single" w:sz="4" w:space="0" w:color="auto"/>
              <w:right w:val="single" w:sz="8" w:space="0" w:color="auto"/>
            </w:tcBorders>
            <w:shd w:val="clear" w:color="000000" w:fill="FFFFFF"/>
            <w:noWrap/>
            <w:vAlign w:val="center"/>
          </w:tcPr>
          <w:p w:rsidR="00630928" w:rsidRPr="00630928" w:rsidRDefault="00630928" w:rsidP="00141ABD">
            <w:pPr>
              <w:autoSpaceDE/>
              <w:autoSpaceDN/>
              <w:adjustRightInd/>
              <w:spacing w:before="0" w:after="0"/>
              <w:ind w:right="113"/>
              <w:jc w:val="right"/>
              <w:rPr>
                <w:rFonts w:cs="Arial"/>
                <w:b/>
                <w:sz w:val="20"/>
                <w:szCs w:val="20"/>
              </w:rPr>
            </w:pPr>
            <w:r>
              <w:rPr>
                <w:rFonts w:cs="Arial"/>
                <w:b/>
                <w:sz w:val="20"/>
                <w:szCs w:val="20"/>
              </w:rPr>
              <w:t>787.2</w:t>
            </w:r>
          </w:p>
        </w:tc>
        <w:tc>
          <w:tcPr>
            <w:tcW w:w="1350" w:type="dxa"/>
            <w:tcBorders>
              <w:top w:val="single" w:sz="4" w:space="0" w:color="auto"/>
              <w:left w:val="nil"/>
              <w:bottom w:val="single" w:sz="4" w:space="0" w:color="auto"/>
              <w:right w:val="nil"/>
            </w:tcBorders>
            <w:shd w:val="clear" w:color="000000" w:fill="FFFFFF"/>
            <w:noWrap/>
            <w:vAlign w:val="center"/>
          </w:tcPr>
          <w:p w:rsidR="00630928" w:rsidRPr="002F17B5" w:rsidRDefault="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1,9</w:t>
            </w:r>
            <w:r w:rsidR="005A6868">
              <w:rPr>
                <w:rFonts w:eastAsia="Times New Roman" w:cs="Arial"/>
                <w:b/>
                <w:bCs/>
                <w:sz w:val="20"/>
                <w:szCs w:val="20"/>
                <w:lang w:eastAsia="en-GB"/>
              </w:rPr>
              <w:t>24</w:t>
            </w:r>
            <w:r w:rsidRPr="002F17B5">
              <w:rPr>
                <w:rFonts w:eastAsia="Times New Roman" w:cs="Arial"/>
                <w:b/>
                <w:bCs/>
                <w:sz w:val="20"/>
                <w:szCs w:val="20"/>
                <w:lang w:eastAsia="en-GB"/>
              </w:rPr>
              <w:t>.6</w:t>
            </w:r>
          </w:p>
        </w:tc>
        <w:tc>
          <w:tcPr>
            <w:tcW w:w="1384" w:type="dxa"/>
            <w:tcBorders>
              <w:top w:val="single" w:sz="4" w:space="0" w:color="auto"/>
              <w:left w:val="nil"/>
              <w:bottom w:val="single" w:sz="4" w:space="0" w:color="auto"/>
              <w:right w:val="nil"/>
            </w:tcBorders>
            <w:shd w:val="clear" w:color="000000" w:fill="FFFFFF"/>
            <w:noWrap/>
            <w:vAlign w:val="center"/>
          </w:tcPr>
          <w:p w:rsidR="00630928" w:rsidRPr="002F17B5" w:rsidRDefault="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(1,</w:t>
            </w:r>
            <w:r w:rsidR="005A6868">
              <w:rPr>
                <w:rFonts w:eastAsia="Times New Roman" w:cs="Arial"/>
                <w:b/>
                <w:bCs/>
                <w:sz w:val="20"/>
                <w:szCs w:val="20"/>
                <w:lang w:eastAsia="en-GB"/>
              </w:rPr>
              <w:t>193</w:t>
            </w:r>
            <w:r w:rsidRPr="002F17B5">
              <w:rPr>
                <w:rFonts w:eastAsia="Times New Roman" w:cs="Arial"/>
                <w:b/>
                <w:bCs/>
                <w:sz w:val="20"/>
                <w:szCs w:val="20"/>
                <w:lang w:eastAsia="en-GB"/>
              </w:rPr>
              <w:t>.7)</w:t>
            </w:r>
          </w:p>
        </w:tc>
        <w:tc>
          <w:tcPr>
            <w:tcW w:w="1418" w:type="dxa"/>
            <w:tcBorders>
              <w:top w:val="single" w:sz="4" w:space="0" w:color="auto"/>
              <w:left w:val="nil"/>
              <w:bottom w:val="single" w:sz="4" w:space="0" w:color="auto"/>
              <w:right w:val="single" w:sz="8" w:space="0" w:color="auto"/>
            </w:tcBorders>
            <w:shd w:val="clear" w:color="000000" w:fill="FFFFFF"/>
            <w:noWrap/>
            <w:vAlign w:val="center"/>
          </w:tcPr>
          <w:p w:rsidR="00630928" w:rsidRPr="002F17B5" w:rsidRDefault="00630928" w:rsidP="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730.9 </w:t>
            </w:r>
          </w:p>
        </w:tc>
      </w:tr>
      <w:tr w:rsidR="00630928" w:rsidRPr="002F17B5" w:rsidTr="00141ABD">
        <w:trPr>
          <w:trHeight w:val="465"/>
        </w:trPr>
        <w:tc>
          <w:tcPr>
            <w:tcW w:w="6379" w:type="dxa"/>
            <w:tcBorders>
              <w:top w:val="single" w:sz="4" w:space="0" w:color="auto"/>
              <w:left w:val="single" w:sz="8" w:space="0" w:color="auto"/>
              <w:bottom w:val="nil"/>
              <w:right w:val="nil"/>
            </w:tcBorders>
            <w:shd w:val="clear" w:color="000000" w:fill="FFFFFF"/>
            <w:vAlign w:val="center"/>
            <w:hideMark/>
          </w:tcPr>
          <w:p w:rsidR="00630928" w:rsidRPr="002F17B5" w:rsidRDefault="00630928" w:rsidP="00630928">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Other Operating Income and Expenditure (note 9)</w:t>
            </w:r>
          </w:p>
        </w:tc>
        <w:tc>
          <w:tcPr>
            <w:tcW w:w="1593" w:type="dxa"/>
            <w:gridSpan w:val="2"/>
            <w:tcBorders>
              <w:top w:val="single" w:sz="4" w:space="0" w:color="auto"/>
              <w:left w:val="single" w:sz="8" w:space="0" w:color="auto"/>
              <w:bottom w:val="nil"/>
              <w:right w:val="nil"/>
            </w:tcBorders>
            <w:shd w:val="clear" w:color="000000" w:fill="FFFFFF"/>
            <w:noWrap/>
            <w:vAlign w:val="center"/>
            <w:hideMark/>
          </w:tcPr>
          <w:p w:rsidR="00630928" w:rsidRPr="00630928" w:rsidRDefault="00630928" w:rsidP="00141ABD">
            <w:pPr>
              <w:autoSpaceDE/>
              <w:autoSpaceDN/>
              <w:adjustRightInd/>
              <w:spacing w:before="0" w:after="0"/>
              <w:ind w:right="227"/>
              <w:jc w:val="right"/>
              <w:rPr>
                <w:rFonts w:eastAsia="Times New Roman" w:cs="Arial"/>
                <w:bCs/>
                <w:sz w:val="20"/>
                <w:szCs w:val="20"/>
                <w:lang w:eastAsia="en-GB"/>
              </w:rPr>
            </w:pPr>
            <w:r w:rsidRPr="00630928">
              <w:rPr>
                <w:rFonts w:eastAsia="Times New Roman" w:cs="Arial"/>
                <w:bCs/>
                <w:sz w:val="20"/>
                <w:szCs w:val="20"/>
                <w:lang w:eastAsia="en-GB"/>
              </w:rPr>
              <w:t>36.8</w:t>
            </w:r>
          </w:p>
        </w:tc>
        <w:tc>
          <w:tcPr>
            <w:tcW w:w="1701" w:type="dxa"/>
            <w:gridSpan w:val="2"/>
            <w:tcBorders>
              <w:top w:val="single" w:sz="4" w:space="0" w:color="auto"/>
              <w:left w:val="nil"/>
              <w:bottom w:val="nil"/>
              <w:right w:val="nil"/>
            </w:tcBorders>
            <w:shd w:val="clear" w:color="000000" w:fill="FFFFFF"/>
            <w:noWrap/>
            <w:vAlign w:val="center"/>
            <w:hideMark/>
          </w:tcPr>
          <w:p w:rsidR="00630928" w:rsidRPr="00630928" w:rsidRDefault="00630928" w:rsidP="00141ABD">
            <w:pPr>
              <w:autoSpaceDE/>
              <w:autoSpaceDN/>
              <w:adjustRightInd/>
              <w:spacing w:before="0" w:after="0"/>
              <w:ind w:right="170"/>
              <w:jc w:val="right"/>
              <w:rPr>
                <w:rFonts w:eastAsia="Times New Roman" w:cs="Arial"/>
                <w:bCs/>
                <w:sz w:val="20"/>
                <w:szCs w:val="20"/>
                <w:lang w:eastAsia="en-GB"/>
              </w:rPr>
            </w:pPr>
            <w:r w:rsidRPr="00630928">
              <w:rPr>
                <w:rFonts w:eastAsia="Times New Roman" w:cs="Arial"/>
                <w:bCs/>
                <w:sz w:val="20"/>
                <w:szCs w:val="20"/>
                <w:lang w:eastAsia="en-GB"/>
              </w:rPr>
              <w:t>(4.7)</w:t>
            </w:r>
          </w:p>
        </w:tc>
        <w:tc>
          <w:tcPr>
            <w:tcW w:w="1376" w:type="dxa"/>
            <w:tcBorders>
              <w:top w:val="single" w:sz="4" w:space="0" w:color="auto"/>
              <w:left w:val="nil"/>
              <w:bottom w:val="nil"/>
              <w:right w:val="single" w:sz="8" w:space="0" w:color="auto"/>
            </w:tcBorders>
            <w:shd w:val="clear" w:color="000000" w:fill="FFFFFF"/>
            <w:noWrap/>
            <w:vAlign w:val="center"/>
            <w:hideMark/>
          </w:tcPr>
          <w:p w:rsidR="00630928" w:rsidRPr="00630928" w:rsidRDefault="00630928" w:rsidP="00141ABD">
            <w:pPr>
              <w:autoSpaceDE/>
              <w:autoSpaceDN/>
              <w:adjustRightInd/>
              <w:spacing w:before="0" w:after="0"/>
              <w:ind w:right="113"/>
              <w:jc w:val="right"/>
              <w:rPr>
                <w:rFonts w:eastAsia="Times New Roman" w:cs="Arial"/>
                <w:bCs/>
                <w:sz w:val="20"/>
                <w:szCs w:val="20"/>
                <w:lang w:eastAsia="en-GB"/>
              </w:rPr>
            </w:pPr>
            <w:r w:rsidRPr="00630928">
              <w:rPr>
                <w:rFonts w:eastAsia="Times New Roman" w:cs="Arial"/>
                <w:bCs/>
                <w:sz w:val="20"/>
                <w:szCs w:val="20"/>
                <w:lang w:eastAsia="en-GB"/>
              </w:rPr>
              <w:t>32.1</w:t>
            </w:r>
          </w:p>
        </w:tc>
        <w:tc>
          <w:tcPr>
            <w:tcW w:w="1350" w:type="dxa"/>
            <w:tcBorders>
              <w:top w:val="single" w:sz="4" w:space="0" w:color="auto"/>
              <w:left w:val="nil"/>
              <w:bottom w:val="nil"/>
              <w:right w:val="nil"/>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50.0</w:t>
            </w:r>
          </w:p>
        </w:tc>
        <w:tc>
          <w:tcPr>
            <w:tcW w:w="1384" w:type="dxa"/>
            <w:tcBorders>
              <w:top w:val="single" w:sz="4" w:space="0" w:color="auto"/>
              <w:left w:val="nil"/>
              <w:bottom w:val="nil"/>
              <w:right w:val="nil"/>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(3.7)</w:t>
            </w:r>
          </w:p>
        </w:tc>
        <w:tc>
          <w:tcPr>
            <w:tcW w:w="1418" w:type="dxa"/>
            <w:tcBorders>
              <w:top w:val="single" w:sz="4" w:space="0" w:color="auto"/>
              <w:left w:val="nil"/>
              <w:bottom w:val="nil"/>
              <w:right w:val="single" w:sz="8" w:space="0" w:color="auto"/>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46.3 </w:t>
            </w:r>
          </w:p>
        </w:tc>
      </w:tr>
      <w:tr w:rsidR="00630928" w:rsidRPr="002F17B5" w:rsidTr="00141ABD">
        <w:trPr>
          <w:trHeight w:val="465"/>
        </w:trPr>
        <w:tc>
          <w:tcPr>
            <w:tcW w:w="6379" w:type="dxa"/>
            <w:tcBorders>
              <w:top w:val="nil"/>
              <w:left w:val="single" w:sz="8" w:space="0" w:color="auto"/>
              <w:bottom w:val="nil"/>
              <w:right w:val="nil"/>
            </w:tcBorders>
            <w:shd w:val="clear" w:color="000000" w:fill="FFFFFF"/>
            <w:vAlign w:val="center"/>
            <w:hideMark/>
          </w:tcPr>
          <w:p w:rsidR="00630928" w:rsidRPr="002F17B5" w:rsidRDefault="00630928" w:rsidP="00630928">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Financing and Investment Income &amp; Expenditure (note 10)</w:t>
            </w:r>
            <w:r w:rsidR="00A64CC3">
              <w:rPr>
                <w:rFonts w:eastAsia="Times New Roman" w:cs="Arial"/>
                <w:sz w:val="20"/>
                <w:szCs w:val="20"/>
                <w:lang w:eastAsia="en-GB"/>
              </w:rPr>
              <w:t>**</w:t>
            </w:r>
            <w:r w:rsidR="005A6868">
              <w:rPr>
                <w:rFonts w:eastAsia="Times New Roman" w:cs="Arial"/>
                <w:sz w:val="20"/>
                <w:szCs w:val="20"/>
                <w:lang w:eastAsia="en-GB"/>
              </w:rPr>
              <w:t>*</w:t>
            </w:r>
          </w:p>
        </w:tc>
        <w:tc>
          <w:tcPr>
            <w:tcW w:w="1593" w:type="dxa"/>
            <w:gridSpan w:val="2"/>
            <w:tcBorders>
              <w:top w:val="nil"/>
              <w:left w:val="single" w:sz="8" w:space="0" w:color="auto"/>
              <w:bottom w:val="nil"/>
              <w:right w:val="nil"/>
            </w:tcBorders>
            <w:shd w:val="clear" w:color="000000" w:fill="FFFFFF"/>
            <w:noWrap/>
            <w:vAlign w:val="center"/>
            <w:hideMark/>
          </w:tcPr>
          <w:p w:rsidR="00630928" w:rsidRPr="00630928" w:rsidRDefault="00630928" w:rsidP="00141ABD">
            <w:pPr>
              <w:autoSpaceDE/>
              <w:autoSpaceDN/>
              <w:adjustRightInd/>
              <w:spacing w:before="0" w:after="0"/>
              <w:ind w:right="227"/>
              <w:jc w:val="right"/>
              <w:rPr>
                <w:rFonts w:eastAsia="Times New Roman" w:cs="Arial"/>
                <w:bCs/>
                <w:sz w:val="20"/>
                <w:szCs w:val="20"/>
                <w:lang w:eastAsia="en-GB"/>
              </w:rPr>
            </w:pPr>
            <w:r w:rsidRPr="00630928">
              <w:rPr>
                <w:rFonts w:cs="Arial"/>
                <w:bCs/>
                <w:sz w:val="20"/>
                <w:szCs w:val="20"/>
              </w:rPr>
              <w:t>119.5</w:t>
            </w:r>
          </w:p>
        </w:tc>
        <w:tc>
          <w:tcPr>
            <w:tcW w:w="1701" w:type="dxa"/>
            <w:gridSpan w:val="2"/>
            <w:tcBorders>
              <w:top w:val="nil"/>
              <w:left w:val="nil"/>
              <w:bottom w:val="nil"/>
              <w:right w:val="nil"/>
            </w:tcBorders>
            <w:shd w:val="clear" w:color="000000" w:fill="FFFFFF"/>
            <w:noWrap/>
            <w:vAlign w:val="center"/>
            <w:hideMark/>
          </w:tcPr>
          <w:p w:rsidR="00630928" w:rsidRPr="00630928" w:rsidRDefault="00630928" w:rsidP="00141ABD">
            <w:pPr>
              <w:autoSpaceDE/>
              <w:autoSpaceDN/>
              <w:adjustRightInd/>
              <w:spacing w:before="0" w:after="0"/>
              <w:ind w:right="170"/>
              <w:jc w:val="right"/>
              <w:rPr>
                <w:rFonts w:eastAsia="Times New Roman" w:cs="Arial"/>
                <w:bCs/>
                <w:sz w:val="20"/>
                <w:szCs w:val="20"/>
                <w:lang w:eastAsia="en-GB"/>
              </w:rPr>
            </w:pPr>
            <w:r w:rsidRPr="00630928">
              <w:rPr>
                <w:rFonts w:cs="Arial"/>
                <w:bCs/>
                <w:sz w:val="20"/>
                <w:szCs w:val="20"/>
              </w:rPr>
              <w:t>(28.9)</w:t>
            </w:r>
          </w:p>
        </w:tc>
        <w:tc>
          <w:tcPr>
            <w:tcW w:w="1376" w:type="dxa"/>
            <w:tcBorders>
              <w:top w:val="nil"/>
              <w:left w:val="nil"/>
              <w:bottom w:val="nil"/>
              <w:right w:val="single" w:sz="8" w:space="0" w:color="auto"/>
            </w:tcBorders>
            <w:shd w:val="clear" w:color="000000" w:fill="FFFFFF"/>
            <w:noWrap/>
            <w:vAlign w:val="center"/>
            <w:hideMark/>
          </w:tcPr>
          <w:p w:rsidR="00630928" w:rsidRPr="00630928" w:rsidRDefault="00630928" w:rsidP="00141ABD">
            <w:pPr>
              <w:autoSpaceDE/>
              <w:autoSpaceDN/>
              <w:adjustRightInd/>
              <w:spacing w:before="0" w:after="0"/>
              <w:ind w:right="113"/>
              <w:jc w:val="right"/>
              <w:rPr>
                <w:rFonts w:eastAsia="Times New Roman" w:cs="Arial"/>
                <w:bCs/>
                <w:sz w:val="20"/>
                <w:szCs w:val="20"/>
                <w:lang w:eastAsia="en-GB"/>
              </w:rPr>
            </w:pPr>
            <w:r w:rsidRPr="00630928">
              <w:rPr>
                <w:rFonts w:cs="Arial"/>
                <w:bCs/>
                <w:sz w:val="20"/>
                <w:szCs w:val="20"/>
              </w:rPr>
              <w:t>90.6</w:t>
            </w:r>
          </w:p>
        </w:tc>
        <w:tc>
          <w:tcPr>
            <w:tcW w:w="1350" w:type="dxa"/>
            <w:tcBorders>
              <w:top w:val="nil"/>
              <w:left w:val="nil"/>
              <w:bottom w:val="nil"/>
              <w:right w:val="nil"/>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115.3</w:t>
            </w:r>
          </w:p>
        </w:tc>
        <w:tc>
          <w:tcPr>
            <w:tcW w:w="1384" w:type="dxa"/>
            <w:tcBorders>
              <w:top w:val="nil"/>
              <w:left w:val="nil"/>
              <w:bottom w:val="nil"/>
              <w:right w:val="nil"/>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(40.3)</w:t>
            </w:r>
          </w:p>
        </w:tc>
        <w:tc>
          <w:tcPr>
            <w:tcW w:w="1418" w:type="dxa"/>
            <w:tcBorders>
              <w:top w:val="nil"/>
              <w:left w:val="nil"/>
              <w:bottom w:val="nil"/>
              <w:right w:val="single" w:sz="8" w:space="0" w:color="auto"/>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75.0 </w:t>
            </w:r>
          </w:p>
        </w:tc>
      </w:tr>
      <w:tr w:rsidR="00630928" w:rsidRPr="002F17B5" w:rsidTr="00141ABD">
        <w:trPr>
          <w:trHeight w:val="465"/>
        </w:trPr>
        <w:tc>
          <w:tcPr>
            <w:tcW w:w="6379" w:type="dxa"/>
            <w:tcBorders>
              <w:top w:val="nil"/>
              <w:left w:val="single" w:sz="8" w:space="0" w:color="auto"/>
              <w:bottom w:val="single" w:sz="8" w:space="0" w:color="auto"/>
              <w:right w:val="nil"/>
            </w:tcBorders>
            <w:shd w:val="clear" w:color="000000" w:fill="FFFFFF"/>
            <w:vAlign w:val="center"/>
            <w:hideMark/>
          </w:tcPr>
          <w:p w:rsidR="00630928" w:rsidRPr="002F17B5" w:rsidRDefault="00630928" w:rsidP="00630928">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Taxation and Non Specific Grant Income (note 11)</w:t>
            </w:r>
          </w:p>
        </w:tc>
        <w:tc>
          <w:tcPr>
            <w:tcW w:w="1593" w:type="dxa"/>
            <w:gridSpan w:val="2"/>
            <w:tcBorders>
              <w:top w:val="nil"/>
              <w:left w:val="single" w:sz="8" w:space="0" w:color="auto"/>
              <w:bottom w:val="single" w:sz="8" w:space="0" w:color="auto"/>
              <w:right w:val="nil"/>
            </w:tcBorders>
            <w:shd w:val="clear" w:color="000000" w:fill="FFFFFF"/>
            <w:noWrap/>
            <w:vAlign w:val="center"/>
            <w:hideMark/>
          </w:tcPr>
          <w:p w:rsidR="00630928" w:rsidRPr="00630928" w:rsidRDefault="00630928" w:rsidP="00141ABD">
            <w:pPr>
              <w:autoSpaceDE/>
              <w:autoSpaceDN/>
              <w:adjustRightInd/>
              <w:spacing w:before="0" w:after="0"/>
              <w:ind w:right="227"/>
              <w:jc w:val="right"/>
              <w:rPr>
                <w:rFonts w:eastAsia="Times New Roman" w:cs="Arial"/>
                <w:bCs/>
                <w:sz w:val="20"/>
                <w:szCs w:val="20"/>
                <w:lang w:eastAsia="en-GB"/>
              </w:rPr>
            </w:pPr>
            <w:r w:rsidRPr="00630928">
              <w:rPr>
                <w:rFonts w:cs="Arial"/>
                <w:bCs/>
                <w:sz w:val="20"/>
                <w:szCs w:val="20"/>
              </w:rPr>
              <w:t> -</w:t>
            </w:r>
          </w:p>
        </w:tc>
        <w:tc>
          <w:tcPr>
            <w:tcW w:w="1701" w:type="dxa"/>
            <w:gridSpan w:val="2"/>
            <w:tcBorders>
              <w:top w:val="nil"/>
              <w:left w:val="nil"/>
              <w:bottom w:val="single" w:sz="8" w:space="0" w:color="auto"/>
              <w:right w:val="nil"/>
            </w:tcBorders>
            <w:shd w:val="clear" w:color="000000" w:fill="FFFFFF"/>
            <w:noWrap/>
            <w:vAlign w:val="center"/>
            <w:hideMark/>
          </w:tcPr>
          <w:p w:rsidR="00630928" w:rsidRPr="00630928" w:rsidRDefault="00630928" w:rsidP="00141ABD">
            <w:pPr>
              <w:autoSpaceDE/>
              <w:autoSpaceDN/>
              <w:adjustRightInd/>
              <w:spacing w:before="0" w:after="0"/>
              <w:ind w:right="170"/>
              <w:jc w:val="right"/>
              <w:rPr>
                <w:rFonts w:eastAsia="Times New Roman" w:cs="Arial"/>
                <w:bCs/>
                <w:sz w:val="20"/>
                <w:szCs w:val="20"/>
                <w:lang w:eastAsia="en-GB"/>
              </w:rPr>
            </w:pPr>
            <w:r w:rsidRPr="00630928">
              <w:rPr>
                <w:rFonts w:cs="Arial"/>
                <w:bCs/>
                <w:sz w:val="20"/>
                <w:szCs w:val="20"/>
              </w:rPr>
              <w:t>(890.0)</w:t>
            </w:r>
          </w:p>
        </w:tc>
        <w:tc>
          <w:tcPr>
            <w:tcW w:w="1376" w:type="dxa"/>
            <w:tcBorders>
              <w:top w:val="nil"/>
              <w:left w:val="nil"/>
              <w:bottom w:val="single" w:sz="8" w:space="0" w:color="auto"/>
              <w:right w:val="single" w:sz="8" w:space="0" w:color="auto"/>
            </w:tcBorders>
            <w:shd w:val="clear" w:color="000000" w:fill="FFFFFF"/>
            <w:noWrap/>
            <w:vAlign w:val="center"/>
            <w:hideMark/>
          </w:tcPr>
          <w:p w:rsidR="00630928" w:rsidRPr="00630928" w:rsidRDefault="00630928" w:rsidP="00141ABD">
            <w:pPr>
              <w:autoSpaceDE/>
              <w:autoSpaceDN/>
              <w:adjustRightInd/>
              <w:spacing w:before="0" w:after="0"/>
              <w:ind w:right="113"/>
              <w:jc w:val="right"/>
              <w:rPr>
                <w:rFonts w:eastAsia="Times New Roman" w:cs="Arial"/>
                <w:bCs/>
                <w:sz w:val="20"/>
                <w:szCs w:val="20"/>
                <w:lang w:eastAsia="en-GB"/>
              </w:rPr>
            </w:pPr>
            <w:r w:rsidRPr="00630928">
              <w:rPr>
                <w:rFonts w:cs="Arial"/>
                <w:bCs/>
                <w:sz w:val="20"/>
                <w:szCs w:val="20"/>
              </w:rPr>
              <w:t>(890.0)</w:t>
            </w:r>
          </w:p>
        </w:tc>
        <w:tc>
          <w:tcPr>
            <w:tcW w:w="1350" w:type="dxa"/>
            <w:tcBorders>
              <w:top w:val="nil"/>
              <w:left w:val="nil"/>
              <w:bottom w:val="single" w:sz="8" w:space="0" w:color="auto"/>
              <w:right w:val="nil"/>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w:t>
            </w:r>
          </w:p>
        </w:tc>
        <w:tc>
          <w:tcPr>
            <w:tcW w:w="1384" w:type="dxa"/>
            <w:tcBorders>
              <w:top w:val="nil"/>
              <w:left w:val="nil"/>
              <w:bottom w:val="single" w:sz="8" w:space="0" w:color="auto"/>
              <w:right w:val="nil"/>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(885.2)</w:t>
            </w:r>
          </w:p>
        </w:tc>
        <w:tc>
          <w:tcPr>
            <w:tcW w:w="1418" w:type="dxa"/>
            <w:tcBorders>
              <w:top w:val="nil"/>
              <w:left w:val="nil"/>
              <w:bottom w:val="single" w:sz="8" w:space="0" w:color="auto"/>
              <w:right w:val="single" w:sz="8" w:space="0" w:color="auto"/>
            </w:tcBorders>
            <w:shd w:val="clear" w:color="000000" w:fill="FFFFFF"/>
            <w:noWrap/>
            <w:vAlign w:val="center"/>
            <w:hideMark/>
          </w:tcPr>
          <w:p w:rsidR="00630928" w:rsidRPr="00630928" w:rsidRDefault="00630928" w:rsidP="00630928">
            <w:pPr>
              <w:autoSpaceDE/>
              <w:autoSpaceDN/>
              <w:adjustRightInd/>
              <w:spacing w:before="0" w:after="0"/>
              <w:jc w:val="right"/>
              <w:rPr>
                <w:rFonts w:eastAsia="Times New Roman" w:cs="Arial"/>
                <w:bCs/>
                <w:sz w:val="20"/>
                <w:szCs w:val="20"/>
                <w:lang w:eastAsia="en-GB"/>
              </w:rPr>
            </w:pPr>
            <w:r w:rsidRPr="00630928">
              <w:rPr>
                <w:rFonts w:eastAsia="Times New Roman" w:cs="Arial"/>
                <w:bCs/>
                <w:sz w:val="20"/>
                <w:szCs w:val="20"/>
                <w:lang w:eastAsia="en-GB"/>
              </w:rPr>
              <w:t>(885.2) </w:t>
            </w:r>
          </w:p>
        </w:tc>
      </w:tr>
      <w:tr w:rsidR="00630928" w:rsidRPr="002F17B5" w:rsidTr="00141ABD">
        <w:trPr>
          <w:trHeight w:val="354"/>
        </w:trPr>
        <w:tc>
          <w:tcPr>
            <w:tcW w:w="6379" w:type="dxa"/>
            <w:tcBorders>
              <w:top w:val="nil"/>
              <w:left w:val="single" w:sz="8" w:space="0" w:color="auto"/>
              <w:bottom w:val="single" w:sz="8" w:space="0" w:color="auto"/>
              <w:right w:val="nil"/>
            </w:tcBorders>
            <w:shd w:val="clear" w:color="000000" w:fill="FFFFFF"/>
            <w:vAlign w:val="center"/>
            <w:hideMark/>
          </w:tcPr>
          <w:p w:rsidR="00630928" w:rsidRPr="002F17B5" w:rsidRDefault="00630928" w:rsidP="00630928">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(Surplus) or Deficit</w:t>
            </w:r>
          </w:p>
        </w:tc>
        <w:tc>
          <w:tcPr>
            <w:tcW w:w="1593" w:type="dxa"/>
            <w:gridSpan w:val="2"/>
            <w:tcBorders>
              <w:top w:val="nil"/>
              <w:left w:val="single" w:sz="8" w:space="0" w:color="auto"/>
              <w:bottom w:val="single" w:sz="8" w:space="0" w:color="auto"/>
              <w:right w:val="nil"/>
            </w:tcBorders>
            <w:shd w:val="clear" w:color="000000" w:fill="FFFFFF"/>
            <w:noWrap/>
            <w:vAlign w:val="center"/>
            <w:hideMark/>
          </w:tcPr>
          <w:p w:rsidR="00630928" w:rsidRPr="002F17B5" w:rsidRDefault="00630928" w:rsidP="00141ABD">
            <w:pPr>
              <w:autoSpaceDE/>
              <w:autoSpaceDN/>
              <w:adjustRightInd/>
              <w:spacing w:before="0" w:after="0"/>
              <w:ind w:right="227"/>
              <w:jc w:val="right"/>
              <w:rPr>
                <w:rFonts w:eastAsia="Times New Roman" w:cs="Arial"/>
                <w:b/>
                <w:bCs/>
                <w:sz w:val="20"/>
                <w:szCs w:val="20"/>
                <w:lang w:eastAsia="en-GB"/>
              </w:rPr>
            </w:pPr>
            <w:r w:rsidRPr="002F17B5">
              <w:rPr>
                <w:rFonts w:cs="Arial"/>
                <w:b/>
                <w:bCs/>
                <w:sz w:val="20"/>
                <w:szCs w:val="20"/>
              </w:rPr>
              <w:t>2,226.5</w:t>
            </w:r>
          </w:p>
        </w:tc>
        <w:tc>
          <w:tcPr>
            <w:tcW w:w="1701" w:type="dxa"/>
            <w:gridSpan w:val="2"/>
            <w:tcBorders>
              <w:top w:val="nil"/>
              <w:left w:val="nil"/>
              <w:bottom w:val="single" w:sz="8" w:space="0" w:color="auto"/>
              <w:right w:val="nil"/>
            </w:tcBorders>
            <w:shd w:val="clear" w:color="000000" w:fill="FFFFFF"/>
            <w:noWrap/>
            <w:vAlign w:val="center"/>
            <w:hideMark/>
          </w:tcPr>
          <w:p w:rsidR="00630928" w:rsidRPr="002F17B5" w:rsidRDefault="00630928" w:rsidP="00141ABD">
            <w:pPr>
              <w:autoSpaceDE/>
              <w:autoSpaceDN/>
              <w:adjustRightInd/>
              <w:spacing w:before="0" w:after="0"/>
              <w:ind w:right="170"/>
              <w:jc w:val="right"/>
              <w:rPr>
                <w:rFonts w:eastAsia="Times New Roman" w:cs="Arial"/>
                <w:b/>
                <w:bCs/>
                <w:sz w:val="20"/>
                <w:szCs w:val="20"/>
                <w:lang w:eastAsia="en-GB"/>
              </w:rPr>
            </w:pPr>
            <w:r w:rsidRPr="002F17B5">
              <w:rPr>
                <w:rFonts w:cs="Arial"/>
                <w:b/>
                <w:bCs/>
                <w:sz w:val="20"/>
                <w:szCs w:val="20"/>
              </w:rPr>
              <w:t>(2,206.6)</w:t>
            </w:r>
          </w:p>
        </w:tc>
        <w:tc>
          <w:tcPr>
            <w:tcW w:w="1376" w:type="dxa"/>
            <w:tcBorders>
              <w:top w:val="nil"/>
              <w:left w:val="nil"/>
              <w:bottom w:val="single" w:sz="8" w:space="0" w:color="auto"/>
              <w:right w:val="single" w:sz="8" w:space="0" w:color="auto"/>
            </w:tcBorders>
            <w:shd w:val="clear" w:color="000000" w:fill="FFFFFF"/>
            <w:noWrap/>
            <w:vAlign w:val="center"/>
            <w:hideMark/>
          </w:tcPr>
          <w:p w:rsidR="00630928" w:rsidRPr="002F17B5" w:rsidRDefault="00630928" w:rsidP="00141ABD">
            <w:pPr>
              <w:autoSpaceDE/>
              <w:autoSpaceDN/>
              <w:adjustRightInd/>
              <w:spacing w:before="0" w:after="0"/>
              <w:ind w:right="113"/>
              <w:jc w:val="right"/>
              <w:rPr>
                <w:rFonts w:eastAsia="Times New Roman" w:cs="Arial"/>
                <w:b/>
                <w:bCs/>
                <w:sz w:val="20"/>
                <w:szCs w:val="20"/>
                <w:lang w:eastAsia="en-GB"/>
              </w:rPr>
            </w:pPr>
            <w:r w:rsidRPr="002F17B5">
              <w:rPr>
                <w:rFonts w:cs="Arial"/>
                <w:b/>
                <w:bCs/>
                <w:sz w:val="20"/>
                <w:szCs w:val="20"/>
              </w:rPr>
              <w:t>19.9</w:t>
            </w:r>
          </w:p>
        </w:tc>
        <w:tc>
          <w:tcPr>
            <w:tcW w:w="1350" w:type="dxa"/>
            <w:tcBorders>
              <w:top w:val="nil"/>
              <w:left w:val="nil"/>
              <w:bottom w:val="single" w:sz="8" w:space="0" w:color="auto"/>
              <w:right w:val="nil"/>
            </w:tcBorders>
            <w:shd w:val="clear" w:color="000000" w:fill="FFFFFF"/>
            <w:noWrap/>
            <w:vAlign w:val="center"/>
            <w:hideMark/>
          </w:tcPr>
          <w:p w:rsidR="00630928" w:rsidRPr="002F17B5" w:rsidRDefault="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2,</w:t>
            </w:r>
            <w:r w:rsidR="005A6868">
              <w:rPr>
                <w:rFonts w:eastAsia="Times New Roman" w:cs="Arial"/>
                <w:b/>
                <w:bCs/>
                <w:sz w:val="20"/>
                <w:szCs w:val="20"/>
                <w:lang w:eastAsia="en-GB"/>
              </w:rPr>
              <w:t>089</w:t>
            </w:r>
            <w:r>
              <w:rPr>
                <w:rFonts w:eastAsia="Times New Roman" w:cs="Arial"/>
                <w:b/>
                <w:bCs/>
                <w:sz w:val="20"/>
                <w:szCs w:val="20"/>
                <w:lang w:eastAsia="en-GB"/>
              </w:rPr>
              <w:t>.9</w:t>
            </w:r>
          </w:p>
        </w:tc>
        <w:tc>
          <w:tcPr>
            <w:tcW w:w="1384" w:type="dxa"/>
            <w:tcBorders>
              <w:top w:val="nil"/>
              <w:left w:val="nil"/>
              <w:bottom w:val="single" w:sz="8" w:space="0" w:color="auto"/>
              <w:right w:val="nil"/>
            </w:tcBorders>
            <w:shd w:val="clear" w:color="000000" w:fill="FFFFFF"/>
            <w:noWrap/>
            <w:vAlign w:val="center"/>
            <w:hideMark/>
          </w:tcPr>
          <w:p w:rsidR="00630928" w:rsidRPr="002F17B5" w:rsidRDefault="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(2,</w:t>
            </w:r>
            <w:r>
              <w:rPr>
                <w:rFonts w:eastAsia="Times New Roman" w:cs="Arial"/>
                <w:b/>
                <w:bCs/>
                <w:sz w:val="20"/>
                <w:szCs w:val="20"/>
                <w:lang w:eastAsia="en-GB"/>
              </w:rPr>
              <w:t>1</w:t>
            </w:r>
            <w:r w:rsidR="005A6868">
              <w:rPr>
                <w:rFonts w:eastAsia="Times New Roman" w:cs="Arial"/>
                <w:b/>
                <w:bCs/>
                <w:sz w:val="20"/>
                <w:szCs w:val="20"/>
                <w:lang w:eastAsia="en-GB"/>
              </w:rPr>
              <w:t>22</w:t>
            </w:r>
            <w:r>
              <w:rPr>
                <w:rFonts w:eastAsia="Times New Roman" w:cs="Arial"/>
                <w:b/>
                <w:bCs/>
                <w:sz w:val="20"/>
                <w:szCs w:val="20"/>
                <w:lang w:eastAsia="en-GB"/>
              </w:rPr>
              <w:t>.9</w:t>
            </w:r>
            <w:r w:rsidRPr="002F17B5">
              <w:rPr>
                <w:rFonts w:eastAsia="Times New Roman" w:cs="Arial"/>
                <w:b/>
                <w:bCs/>
                <w:sz w:val="20"/>
                <w:szCs w:val="20"/>
                <w:lang w:eastAsia="en-GB"/>
              </w:rPr>
              <w:t>)</w:t>
            </w:r>
          </w:p>
        </w:tc>
        <w:tc>
          <w:tcPr>
            <w:tcW w:w="1418" w:type="dxa"/>
            <w:tcBorders>
              <w:top w:val="nil"/>
              <w:left w:val="nil"/>
              <w:bottom w:val="single" w:sz="8" w:space="0" w:color="auto"/>
              <w:right w:val="single" w:sz="8"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(33.0) </w:t>
            </w:r>
          </w:p>
        </w:tc>
      </w:tr>
      <w:tr w:rsidR="00630928" w:rsidRPr="002F17B5" w:rsidTr="00A64CC3">
        <w:trPr>
          <w:trHeight w:val="764"/>
        </w:trPr>
        <w:tc>
          <w:tcPr>
            <w:tcW w:w="6379" w:type="dxa"/>
            <w:tcBorders>
              <w:top w:val="nil"/>
              <w:left w:val="single" w:sz="8" w:space="0" w:color="auto"/>
              <w:bottom w:val="nil"/>
              <w:right w:val="single" w:sz="8" w:space="0" w:color="auto"/>
            </w:tcBorders>
            <w:shd w:val="clear" w:color="auto" w:fill="auto"/>
            <w:noWrap/>
            <w:vAlign w:val="center"/>
            <w:hideMark/>
          </w:tcPr>
          <w:p w:rsidR="00630928" w:rsidRPr="002F17B5" w:rsidRDefault="00630928" w:rsidP="00630928">
            <w:pPr>
              <w:autoSpaceDE/>
              <w:autoSpaceDN/>
              <w:adjustRightInd/>
              <w:spacing w:before="0" w:after="0"/>
              <w:jc w:val="left"/>
              <w:rPr>
                <w:rFonts w:eastAsia="Times New Roman" w:cs="Arial"/>
                <w:b/>
                <w:bCs/>
                <w:sz w:val="20"/>
                <w:szCs w:val="20"/>
                <w:lang w:eastAsia="en-GB"/>
              </w:rPr>
            </w:pPr>
          </w:p>
          <w:p w:rsidR="00630928" w:rsidRPr="002F17B5" w:rsidRDefault="00630928" w:rsidP="00630928">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Items that will not be reclassified to the (Surplus) or Deficit on the Provision of Services</w:t>
            </w:r>
          </w:p>
          <w:p w:rsidR="00630928" w:rsidRPr="00A64CC3" w:rsidRDefault="00630928" w:rsidP="00630928">
            <w:pPr>
              <w:autoSpaceDE/>
              <w:autoSpaceDN/>
              <w:adjustRightInd/>
              <w:spacing w:before="0" w:after="0"/>
              <w:jc w:val="left"/>
              <w:rPr>
                <w:rFonts w:ascii="Verdana" w:eastAsia="Times New Roman" w:hAnsi="Verdana" w:cs="Times New Roman"/>
                <w:b/>
                <w:bCs/>
                <w:sz w:val="4"/>
                <w:szCs w:val="16"/>
                <w:lang w:eastAsia="en-GB"/>
              </w:rPr>
            </w:pPr>
          </w:p>
        </w:tc>
        <w:tc>
          <w:tcPr>
            <w:tcW w:w="1593" w:type="dxa"/>
            <w:gridSpan w:val="2"/>
            <w:tcBorders>
              <w:top w:val="nil"/>
              <w:left w:val="nil"/>
              <w:bottom w:val="nil"/>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 </w:t>
            </w:r>
          </w:p>
        </w:tc>
        <w:tc>
          <w:tcPr>
            <w:tcW w:w="1701" w:type="dxa"/>
            <w:gridSpan w:val="2"/>
            <w:tcBorders>
              <w:top w:val="nil"/>
              <w:left w:val="nil"/>
              <w:bottom w:val="nil"/>
              <w:right w:val="nil"/>
            </w:tcBorders>
            <w:shd w:val="clear" w:color="000000" w:fill="FFFFFF"/>
            <w:noWrap/>
            <w:vAlign w:val="center"/>
            <w:hideMark/>
          </w:tcPr>
          <w:p w:rsidR="00630928" w:rsidRPr="002F17B5" w:rsidRDefault="00630928" w:rsidP="00141ABD">
            <w:pPr>
              <w:autoSpaceDE/>
              <w:autoSpaceDN/>
              <w:adjustRightInd/>
              <w:spacing w:before="0" w:after="0"/>
              <w:ind w:right="170"/>
              <w:jc w:val="right"/>
              <w:rPr>
                <w:rFonts w:eastAsia="Times New Roman" w:cs="Arial"/>
                <w:b/>
                <w:bCs/>
                <w:sz w:val="20"/>
                <w:szCs w:val="20"/>
                <w:lang w:eastAsia="en-GB"/>
              </w:rPr>
            </w:pPr>
            <w:r w:rsidRPr="002F17B5">
              <w:rPr>
                <w:rFonts w:eastAsia="Times New Roman" w:cs="Arial"/>
                <w:b/>
                <w:bCs/>
                <w:sz w:val="20"/>
                <w:szCs w:val="20"/>
                <w:lang w:eastAsia="en-GB"/>
              </w:rPr>
              <w:t> </w:t>
            </w:r>
          </w:p>
        </w:tc>
        <w:tc>
          <w:tcPr>
            <w:tcW w:w="1376" w:type="dxa"/>
            <w:tcBorders>
              <w:top w:val="nil"/>
              <w:left w:val="nil"/>
              <w:bottom w:val="nil"/>
              <w:right w:val="single" w:sz="8" w:space="0" w:color="auto"/>
            </w:tcBorders>
            <w:shd w:val="clear" w:color="000000" w:fill="FFFFFF"/>
            <w:noWrap/>
            <w:vAlign w:val="center"/>
            <w:hideMark/>
          </w:tcPr>
          <w:p w:rsidR="00630928" w:rsidRPr="002F17B5" w:rsidRDefault="00630928" w:rsidP="00141ABD">
            <w:pPr>
              <w:autoSpaceDE/>
              <w:autoSpaceDN/>
              <w:adjustRightInd/>
              <w:spacing w:before="0" w:after="0"/>
              <w:ind w:right="113"/>
              <w:jc w:val="right"/>
              <w:rPr>
                <w:rFonts w:eastAsia="Times New Roman" w:cs="Arial"/>
                <w:b/>
                <w:bCs/>
                <w:sz w:val="20"/>
                <w:szCs w:val="20"/>
                <w:lang w:eastAsia="en-GB"/>
              </w:rPr>
            </w:pPr>
            <w:r w:rsidRPr="002F17B5">
              <w:rPr>
                <w:rFonts w:eastAsia="Times New Roman" w:cs="Arial"/>
                <w:b/>
                <w:bCs/>
                <w:sz w:val="20"/>
                <w:szCs w:val="20"/>
                <w:lang w:eastAsia="en-GB"/>
              </w:rPr>
              <w:t> </w:t>
            </w:r>
          </w:p>
        </w:tc>
        <w:tc>
          <w:tcPr>
            <w:tcW w:w="1350" w:type="dxa"/>
            <w:tcBorders>
              <w:top w:val="nil"/>
              <w:left w:val="nil"/>
              <w:bottom w:val="nil"/>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 </w:t>
            </w:r>
          </w:p>
        </w:tc>
        <w:tc>
          <w:tcPr>
            <w:tcW w:w="1384" w:type="dxa"/>
            <w:tcBorders>
              <w:top w:val="nil"/>
              <w:left w:val="nil"/>
              <w:bottom w:val="nil"/>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 </w:t>
            </w:r>
          </w:p>
        </w:tc>
        <w:tc>
          <w:tcPr>
            <w:tcW w:w="1418" w:type="dxa"/>
            <w:tcBorders>
              <w:top w:val="nil"/>
              <w:left w:val="nil"/>
              <w:bottom w:val="nil"/>
              <w:right w:val="single" w:sz="8"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 </w:t>
            </w:r>
          </w:p>
        </w:tc>
      </w:tr>
      <w:tr w:rsidR="00630928" w:rsidRPr="002F17B5" w:rsidTr="006F6AB1">
        <w:trPr>
          <w:trHeight w:val="600"/>
        </w:trPr>
        <w:tc>
          <w:tcPr>
            <w:tcW w:w="6379" w:type="dxa"/>
            <w:tcBorders>
              <w:top w:val="nil"/>
              <w:left w:val="single" w:sz="8" w:space="0" w:color="auto"/>
              <w:right w:val="nil"/>
            </w:tcBorders>
            <w:shd w:val="clear" w:color="000000" w:fill="FFFFFF"/>
            <w:vAlign w:val="center"/>
            <w:hideMark/>
          </w:tcPr>
          <w:p w:rsidR="00630928" w:rsidRPr="002F17B5" w:rsidRDefault="00630928" w:rsidP="00630928">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Surplus or deficit on revaluation</w:t>
            </w:r>
            <w:r>
              <w:rPr>
                <w:rFonts w:eastAsia="Times New Roman" w:cs="Arial"/>
                <w:sz w:val="20"/>
                <w:szCs w:val="20"/>
                <w:lang w:eastAsia="en-GB"/>
              </w:rPr>
              <w:t xml:space="preserve"> of</w:t>
            </w:r>
            <w:r w:rsidRPr="002F17B5">
              <w:rPr>
                <w:rFonts w:eastAsia="Times New Roman" w:cs="Arial"/>
                <w:sz w:val="20"/>
                <w:szCs w:val="20"/>
                <w:lang w:eastAsia="en-GB"/>
              </w:rPr>
              <w:t xml:space="preserve"> </w:t>
            </w:r>
            <w:r>
              <w:rPr>
                <w:rFonts w:eastAsia="Times New Roman" w:cs="Arial"/>
                <w:sz w:val="20"/>
                <w:szCs w:val="20"/>
                <w:lang w:eastAsia="en-GB"/>
              </w:rPr>
              <w:t>non-current assets not posted to the Surplus or Deficit on the Provision of Services</w:t>
            </w:r>
            <w:r w:rsidRPr="002F17B5">
              <w:rPr>
                <w:rFonts w:eastAsia="Times New Roman" w:cs="Arial"/>
                <w:sz w:val="20"/>
                <w:szCs w:val="20"/>
                <w:lang w:eastAsia="en-GB"/>
              </w:rPr>
              <w:t xml:space="preserve"> (note 3</w:t>
            </w:r>
            <w:r w:rsidR="001A7773">
              <w:rPr>
                <w:rFonts w:eastAsia="Times New Roman" w:cs="Arial"/>
                <w:sz w:val="20"/>
                <w:szCs w:val="20"/>
                <w:lang w:eastAsia="en-GB"/>
              </w:rPr>
              <w:t>3</w:t>
            </w:r>
            <w:r w:rsidRPr="002F17B5">
              <w:rPr>
                <w:rFonts w:eastAsia="Times New Roman" w:cs="Arial"/>
                <w:sz w:val="20"/>
                <w:szCs w:val="20"/>
                <w:lang w:eastAsia="en-GB"/>
              </w:rPr>
              <w:t>)</w:t>
            </w:r>
          </w:p>
        </w:tc>
        <w:tc>
          <w:tcPr>
            <w:tcW w:w="1593" w:type="dxa"/>
            <w:gridSpan w:val="2"/>
            <w:tcBorders>
              <w:top w:val="nil"/>
              <w:left w:val="single" w:sz="8" w:space="0" w:color="auto"/>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lang w:eastAsia="en-GB"/>
              </w:rPr>
            </w:pPr>
            <w:r w:rsidRPr="002F17B5">
              <w:rPr>
                <w:rFonts w:eastAsia="Times New Roman" w:cs="Arial"/>
                <w:lang w:eastAsia="en-GB"/>
              </w:rPr>
              <w:t> </w:t>
            </w:r>
          </w:p>
        </w:tc>
        <w:tc>
          <w:tcPr>
            <w:tcW w:w="1701" w:type="dxa"/>
            <w:gridSpan w:val="2"/>
            <w:tcBorders>
              <w:top w:val="nil"/>
              <w:left w:val="nil"/>
              <w:right w:val="nil"/>
            </w:tcBorders>
            <w:shd w:val="clear" w:color="000000" w:fill="FFFFFF"/>
            <w:noWrap/>
            <w:vAlign w:val="center"/>
            <w:hideMark/>
          </w:tcPr>
          <w:p w:rsidR="00630928" w:rsidRPr="002F17B5" w:rsidRDefault="00630928" w:rsidP="00141ABD">
            <w:pPr>
              <w:autoSpaceDE/>
              <w:autoSpaceDN/>
              <w:adjustRightInd/>
              <w:spacing w:before="0" w:after="0"/>
              <w:ind w:right="170"/>
              <w:jc w:val="right"/>
              <w:rPr>
                <w:rFonts w:ascii="Cambria" w:eastAsia="Times New Roman" w:hAnsi="Cambria" w:cs="Times New Roman"/>
                <w:sz w:val="20"/>
                <w:szCs w:val="20"/>
                <w:lang w:eastAsia="en-GB"/>
              </w:rPr>
            </w:pPr>
            <w:r w:rsidRPr="002F17B5">
              <w:rPr>
                <w:rFonts w:ascii="Cambria" w:eastAsia="Times New Roman" w:hAnsi="Cambria" w:cs="Times New Roman"/>
                <w:sz w:val="20"/>
                <w:szCs w:val="20"/>
                <w:lang w:eastAsia="en-GB"/>
              </w:rPr>
              <w:t> </w:t>
            </w:r>
          </w:p>
        </w:tc>
        <w:tc>
          <w:tcPr>
            <w:tcW w:w="1376" w:type="dxa"/>
            <w:tcBorders>
              <w:top w:val="nil"/>
              <w:left w:val="nil"/>
              <w:right w:val="single" w:sz="8" w:space="0" w:color="auto"/>
            </w:tcBorders>
            <w:shd w:val="clear" w:color="auto" w:fill="auto"/>
            <w:noWrap/>
            <w:vAlign w:val="center"/>
            <w:hideMark/>
          </w:tcPr>
          <w:p w:rsidR="00630928" w:rsidRPr="002F17B5" w:rsidRDefault="00630928" w:rsidP="00141ABD">
            <w:pPr>
              <w:autoSpaceDE/>
              <w:autoSpaceDN/>
              <w:adjustRightInd/>
              <w:spacing w:before="0" w:after="0"/>
              <w:ind w:right="113"/>
              <w:jc w:val="right"/>
              <w:rPr>
                <w:rFonts w:eastAsia="Times New Roman" w:cs="Arial"/>
                <w:sz w:val="20"/>
                <w:szCs w:val="20"/>
                <w:lang w:eastAsia="en-GB"/>
              </w:rPr>
            </w:pPr>
            <w:r w:rsidRPr="002F17B5">
              <w:rPr>
                <w:rFonts w:eastAsia="Times New Roman" w:cs="Arial"/>
                <w:sz w:val="20"/>
                <w:szCs w:val="20"/>
                <w:lang w:eastAsia="en-GB"/>
              </w:rPr>
              <w:t>(14.7)</w:t>
            </w:r>
          </w:p>
        </w:tc>
        <w:tc>
          <w:tcPr>
            <w:tcW w:w="1350" w:type="dxa"/>
            <w:tcBorders>
              <w:top w:val="nil"/>
              <w:left w:val="nil"/>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p>
        </w:tc>
        <w:tc>
          <w:tcPr>
            <w:tcW w:w="1384" w:type="dxa"/>
            <w:tcBorders>
              <w:top w:val="nil"/>
              <w:left w:val="nil"/>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p>
        </w:tc>
        <w:tc>
          <w:tcPr>
            <w:tcW w:w="1418" w:type="dxa"/>
            <w:tcBorders>
              <w:top w:val="nil"/>
              <w:left w:val="nil"/>
              <w:right w:val="single" w:sz="8"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23.7</w:t>
            </w:r>
          </w:p>
        </w:tc>
      </w:tr>
      <w:tr w:rsidR="00630928" w:rsidRPr="002F17B5" w:rsidTr="006F6AB1">
        <w:trPr>
          <w:trHeight w:val="465"/>
        </w:trPr>
        <w:tc>
          <w:tcPr>
            <w:tcW w:w="6379" w:type="dxa"/>
            <w:tcBorders>
              <w:top w:val="nil"/>
              <w:left w:val="single" w:sz="4" w:space="0" w:color="auto"/>
              <w:right w:val="single" w:sz="4" w:space="0" w:color="auto"/>
            </w:tcBorders>
            <w:shd w:val="clear" w:color="000000" w:fill="FFFFFF"/>
            <w:vAlign w:val="center"/>
            <w:hideMark/>
          </w:tcPr>
          <w:p w:rsidR="00630928" w:rsidRPr="002F17B5" w:rsidRDefault="00B845C9">
            <w:pPr>
              <w:autoSpaceDE/>
              <w:autoSpaceDN/>
              <w:adjustRightInd/>
              <w:spacing w:before="0" w:after="0"/>
              <w:jc w:val="left"/>
              <w:rPr>
                <w:rFonts w:eastAsia="Times New Roman" w:cs="Arial"/>
                <w:sz w:val="20"/>
                <w:szCs w:val="20"/>
                <w:lang w:eastAsia="en-GB"/>
              </w:rPr>
            </w:pPr>
            <w:proofErr w:type="spellStart"/>
            <w:r>
              <w:rPr>
                <w:rFonts w:eastAsia="Times New Roman" w:cs="Arial"/>
                <w:sz w:val="20"/>
                <w:szCs w:val="20"/>
                <w:lang w:eastAsia="en-GB"/>
              </w:rPr>
              <w:t>Re</w:t>
            </w:r>
            <w:r w:rsidR="00630928">
              <w:rPr>
                <w:rFonts w:eastAsia="Times New Roman" w:cs="Arial"/>
                <w:sz w:val="20"/>
                <w:szCs w:val="20"/>
                <w:lang w:eastAsia="en-GB"/>
              </w:rPr>
              <w:t>measurement</w:t>
            </w:r>
            <w:proofErr w:type="spellEnd"/>
            <w:r>
              <w:rPr>
                <w:rFonts w:eastAsia="Times New Roman" w:cs="Arial"/>
                <w:sz w:val="20"/>
                <w:szCs w:val="20"/>
                <w:lang w:eastAsia="en-GB"/>
              </w:rPr>
              <w:t xml:space="preserve"> of the </w:t>
            </w:r>
            <w:r w:rsidR="00630928" w:rsidRPr="002F17B5">
              <w:rPr>
                <w:rFonts w:eastAsia="Times New Roman" w:cs="Arial"/>
                <w:sz w:val="20"/>
                <w:szCs w:val="20"/>
                <w:lang w:eastAsia="en-GB"/>
              </w:rPr>
              <w:t xml:space="preserve"> </w:t>
            </w:r>
            <w:r>
              <w:rPr>
                <w:rFonts w:eastAsia="Times New Roman" w:cs="Arial"/>
                <w:sz w:val="20"/>
                <w:szCs w:val="20"/>
                <w:lang w:eastAsia="en-GB"/>
              </w:rPr>
              <w:t xml:space="preserve">net defined </w:t>
            </w:r>
            <w:r w:rsidR="00630928" w:rsidRPr="002F17B5">
              <w:rPr>
                <w:rFonts w:eastAsia="Times New Roman" w:cs="Arial"/>
                <w:sz w:val="20"/>
                <w:szCs w:val="20"/>
                <w:lang w:eastAsia="en-GB"/>
              </w:rPr>
              <w:t>liabilit</w:t>
            </w:r>
            <w:r>
              <w:rPr>
                <w:rFonts w:eastAsia="Times New Roman" w:cs="Arial"/>
                <w:sz w:val="20"/>
                <w:szCs w:val="20"/>
                <w:lang w:eastAsia="en-GB"/>
              </w:rPr>
              <w:t>y</w:t>
            </w:r>
            <w:r w:rsidR="00630928" w:rsidRPr="002F17B5">
              <w:rPr>
                <w:rFonts w:eastAsia="Times New Roman" w:cs="Arial"/>
                <w:sz w:val="20"/>
                <w:szCs w:val="20"/>
                <w:lang w:eastAsia="en-GB"/>
              </w:rPr>
              <w:t xml:space="preserve"> (note3</w:t>
            </w:r>
            <w:r w:rsidR="001A7773">
              <w:rPr>
                <w:rFonts w:eastAsia="Times New Roman" w:cs="Arial"/>
                <w:sz w:val="20"/>
                <w:szCs w:val="20"/>
                <w:lang w:eastAsia="en-GB"/>
              </w:rPr>
              <w:t>3</w:t>
            </w:r>
            <w:r w:rsidR="00630928" w:rsidRPr="002F17B5">
              <w:rPr>
                <w:rFonts w:eastAsia="Times New Roman" w:cs="Arial"/>
                <w:sz w:val="20"/>
                <w:szCs w:val="20"/>
                <w:lang w:eastAsia="en-GB"/>
              </w:rPr>
              <w:t>)</w:t>
            </w:r>
            <w:r w:rsidR="00630928">
              <w:rPr>
                <w:rFonts w:eastAsia="Times New Roman" w:cs="Arial"/>
                <w:sz w:val="20"/>
                <w:szCs w:val="20"/>
                <w:lang w:eastAsia="en-GB"/>
              </w:rPr>
              <w:t xml:space="preserve"> </w:t>
            </w:r>
          </w:p>
        </w:tc>
        <w:tc>
          <w:tcPr>
            <w:tcW w:w="1593" w:type="dxa"/>
            <w:gridSpan w:val="2"/>
            <w:tcBorders>
              <w:top w:val="nil"/>
              <w:left w:val="single" w:sz="4"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lang w:eastAsia="en-GB"/>
              </w:rPr>
            </w:pPr>
            <w:r w:rsidRPr="002F17B5">
              <w:rPr>
                <w:rFonts w:eastAsia="Times New Roman" w:cs="Arial"/>
                <w:lang w:eastAsia="en-GB"/>
              </w:rPr>
              <w:t> </w:t>
            </w:r>
          </w:p>
        </w:tc>
        <w:tc>
          <w:tcPr>
            <w:tcW w:w="1701" w:type="dxa"/>
            <w:gridSpan w:val="2"/>
            <w:tcBorders>
              <w:top w:val="nil"/>
            </w:tcBorders>
            <w:shd w:val="clear" w:color="000000" w:fill="FFFFFF"/>
            <w:noWrap/>
            <w:vAlign w:val="center"/>
            <w:hideMark/>
          </w:tcPr>
          <w:p w:rsidR="00630928" w:rsidRPr="002F17B5" w:rsidRDefault="00630928" w:rsidP="00141ABD">
            <w:pPr>
              <w:autoSpaceDE/>
              <w:autoSpaceDN/>
              <w:adjustRightInd/>
              <w:spacing w:before="0" w:after="0"/>
              <w:ind w:right="170"/>
              <w:jc w:val="right"/>
              <w:rPr>
                <w:rFonts w:ascii="Cambria" w:eastAsia="Times New Roman" w:hAnsi="Cambria" w:cs="Times New Roman"/>
                <w:sz w:val="20"/>
                <w:szCs w:val="20"/>
                <w:lang w:eastAsia="en-GB"/>
              </w:rPr>
            </w:pPr>
            <w:r w:rsidRPr="002F17B5">
              <w:rPr>
                <w:rFonts w:ascii="Cambria" w:eastAsia="Times New Roman" w:hAnsi="Cambria" w:cs="Times New Roman"/>
                <w:sz w:val="20"/>
                <w:szCs w:val="20"/>
                <w:lang w:eastAsia="en-GB"/>
              </w:rPr>
              <w:t> </w:t>
            </w:r>
          </w:p>
        </w:tc>
        <w:tc>
          <w:tcPr>
            <w:tcW w:w="1376" w:type="dxa"/>
            <w:tcBorders>
              <w:top w:val="nil"/>
              <w:right w:val="single" w:sz="4" w:space="0" w:color="auto"/>
            </w:tcBorders>
            <w:shd w:val="clear" w:color="auto" w:fill="auto"/>
            <w:noWrap/>
            <w:vAlign w:val="center"/>
            <w:hideMark/>
          </w:tcPr>
          <w:p w:rsidR="00630928" w:rsidRPr="002F17B5" w:rsidRDefault="00630928" w:rsidP="00141ABD">
            <w:pPr>
              <w:autoSpaceDE/>
              <w:autoSpaceDN/>
              <w:adjustRightInd/>
              <w:spacing w:before="0" w:after="0"/>
              <w:ind w:right="113"/>
              <w:jc w:val="right"/>
              <w:rPr>
                <w:rFonts w:eastAsia="Times New Roman" w:cs="Arial"/>
                <w:sz w:val="20"/>
                <w:szCs w:val="20"/>
                <w:lang w:eastAsia="en-GB"/>
              </w:rPr>
            </w:pPr>
            <w:r w:rsidRPr="002F17B5">
              <w:rPr>
                <w:rFonts w:eastAsia="Times New Roman" w:cs="Arial"/>
                <w:sz w:val="20"/>
                <w:szCs w:val="20"/>
                <w:lang w:eastAsia="en-GB"/>
              </w:rPr>
              <w:t>(273.8)</w:t>
            </w:r>
          </w:p>
        </w:tc>
        <w:tc>
          <w:tcPr>
            <w:tcW w:w="1350" w:type="dxa"/>
            <w:tcBorders>
              <w:top w:val="nil"/>
              <w:left w:val="single" w:sz="4"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p>
        </w:tc>
        <w:tc>
          <w:tcPr>
            <w:tcW w:w="1384" w:type="dxa"/>
            <w:tcBorders>
              <w:top w:val="nil"/>
              <w:lef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p>
        </w:tc>
        <w:tc>
          <w:tcPr>
            <w:tcW w:w="1418" w:type="dxa"/>
            <w:tcBorders>
              <w:top w:val="nil"/>
              <w:right w:val="single" w:sz="4"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173.3</w:t>
            </w:r>
          </w:p>
        </w:tc>
      </w:tr>
      <w:tr w:rsidR="00630928" w:rsidRPr="002F17B5" w:rsidTr="006F6AB1">
        <w:trPr>
          <w:trHeight w:val="465"/>
        </w:trPr>
        <w:tc>
          <w:tcPr>
            <w:tcW w:w="6379" w:type="dxa"/>
            <w:tcBorders>
              <w:left w:val="single" w:sz="4" w:space="0" w:color="auto"/>
              <w:right w:val="single" w:sz="4" w:space="0" w:color="auto"/>
            </w:tcBorders>
            <w:shd w:val="clear" w:color="000000" w:fill="FFFFFF"/>
            <w:vAlign w:val="center"/>
            <w:hideMark/>
          </w:tcPr>
          <w:p w:rsidR="00630928" w:rsidRPr="002F17B5" w:rsidRDefault="00630928" w:rsidP="00630928">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xml:space="preserve">Other Adjustments </w:t>
            </w:r>
          </w:p>
        </w:tc>
        <w:tc>
          <w:tcPr>
            <w:tcW w:w="1593" w:type="dxa"/>
            <w:gridSpan w:val="2"/>
            <w:tcBorders>
              <w:left w:val="single" w:sz="4"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lang w:eastAsia="en-GB"/>
              </w:rPr>
            </w:pPr>
            <w:r w:rsidRPr="002F17B5">
              <w:rPr>
                <w:rFonts w:eastAsia="Times New Roman" w:cs="Arial"/>
                <w:lang w:eastAsia="en-GB"/>
              </w:rPr>
              <w:t> </w:t>
            </w:r>
          </w:p>
        </w:tc>
        <w:tc>
          <w:tcPr>
            <w:tcW w:w="1701" w:type="dxa"/>
            <w:gridSpan w:val="2"/>
            <w:shd w:val="clear" w:color="000000" w:fill="FFFFFF"/>
            <w:noWrap/>
            <w:vAlign w:val="center"/>
            <w:hideMark/>
          </w:tcPr>
          <w:p w:rsidR="00630928" w:rsidRPr="002F17B5" w:rsidRDefault="00630928" w:rsidP="00141ABD">
            <w:pPr>
              <w:autoSpaceDE/>
              <w:autoSpaceDN/>
              <w:adjustRightInd/>
              <w:spacing w:before="0" w:after="0"/>
              <w:ind w:right="170"/>
              <w:jc w:val="right"/>
              <w:rPr>
                <w:rFonts w:ascii="Cambria" w:eastAsia="Times New Roman" w:hAnsi="Cambria" w:cs="Times New Roman"/>
                <w:sz w:val="20"/>
                <w:szCs w:val="20"/>
                <w:lang w:eastAsia="en-GB"/>
              </w:rPr>
            </w:pPr>
            <w:r w:rsidRPr="002F17B5">
              <w:rPr>
                <w:rFonts w:ascii="Cambria" w:eastAsia="Times New Roman" w:hAnsi="Cambria" w:cs="Times New Roman"/>
                <w:sz w:val="20"/>
                <w:szCs w:val="20"/>
                <w:lang w:eastAsia="en-GB"/>
              </w:rPr>
              <w:t> </w:t>
            </w:r>
          </w:p>
        </w:tc>
        <w:tc>
          <w:tcPr>
            <w:tcW w:w="1376" w:type="dxa"/>
            <w:tcBorders>
              <w:right w:val="single" w:sz="4" w:space="0" w:color="auto"/>
            </w:tcBorders>
            <w:shd w:val="clear" w:color="auto" w:fill="auto"/>
            <w:noWrap/>
            <w:vAlign w:val="center"/>
            <w:hideMark/>
          </w:tcPr>
          <w:p w:rsidR="00630928" w:rsidRPr="002F17B5" w:rsidRDefault="00630928" w:rsidP="00141ABD">
            <w:pPr>
              <w:autoSpaceDE/>
              <w:autoSpaceDN/>
              <w:adjustRightInd/>
              <w:spacing w:before="0" w:after="0"/>
              <w:ind w:right="113"/>
              <w:jc w:val="right"/>
              <w:rPr>
                <w:rFonts w:eastAsia="Times New Roman" w:cs="Arial"/>
                <w:sz w:val="20"/>
                <w:szCs w:val="20"/>
                <w:lang w:eastAsia="en-GB"/>
              </w:rPr>
            </w:pPr>
            <w:r w:rsidRPr="002F17B5">
              <w:rPr>
                <w:rFonts w:eastAsia="Times New Roman" w:cs="Arial"/>
                <w:sz w:val="20"/>
                <w:szCs w:val="20"/>
                <w:lang w:eastAsia="en-GB"/>
              </w:rPr>
              <w:t>2.8</w:t>
            </w:r>
          </w:p>
        </w:tc>
        <w:tc>
          <w:tcPr>
            <w:tcW w:w="1350" w:type="dxa"/>
            <w:tcBorders>
              <w:left w:val="single" w:sz="4"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p>
        </w:tc>
        <w:tc>
          <w:tcPr>
            <w:tcW w:w="1384" w:type="dxa"/>
            <w:tcBorders>
              <w:lef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p>
        </w:tc>
        <w:tc>
          <w:tcPr>
            <w:tcW w:w="1418" w:type="dxa"/>
            <w:tcBorders>
              <w:right w:val="single" w:sz="4"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9.3</w:t>
            </w:r>
          </w:p>
        </w:tc>
      </w:tr>
      <w:tr w:rsidR="00630928" w:rsidRPr="002F17B5" w:rsidTr="00141ABD">
        <w:trPr>
          <w:trHeight w:val="712"/>
        </w:trPr>
        <w:tc>
          <w:tcPr>
            <w:tcW w:w="6379" w:type="dxa"/>
            <w:tcBorders>
              <w:left w:val="single" w:sz="8" w:space="0" w:color="auto"/>
              <w:bottom w:val="nil"/>
              <w:right w:val="single" w:sz="8" w:space="0" w:color="auto"/>
            </w:tcBorders>
            <w:shd w:val="clear" w:color="auto" w:fill="auto"/>
            <w:noWrap/>
            <w:vAlign w:val="center"/>
            <w:hideMark/>
          </w:tcPr>
          <w:p w:rsidR="00630928" w:rsidRPr="00256CC2" w:rsidRDefault="00630928" w:rsidP="00630928">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Items that may be reclassified to the (Surplus) or Defic</w:t>
            </w:r>
            <w:r w:rsidR="00256CC2">
              <w:rPr>
                <w:rFonts w:eastAsia="Times New Roman" w:cs="Arial"/>
                <w:b/>
                <w:bCs/>
                <w:sz w:val="20"/>
                <w:szCs w:val="20"/>
                <w:lang w:eastAsia="en-GB"/>
              </w:rPr>
              <w:t>it on the Provision of Services</w:t>
            </w:r>
          </w:p>
        </w:tc>
        <w:tc>
          <w:tcPr>
            <w:tcW w:w="1593" w:type="dxa"/>
            <w:gridSpan w:val="2"/>
            <w:tcBorders>
              <w:left w:val="nil"/>
              <w:bottom w:val="nil"/>
              <w:right w:val="nil"/>
            </w:tcBorders>
            <w:shd w:val="clear" w:color="000000" w:fill="FFFFFF"/>
            <w:noWrap/>
            <w:vAlign w:val="center"/>
            <w:hideMark/>
          </w:tcPr>
          <w:p w:rsidR="00630928" w:rsidRPr="00256CC2" w:rsidRDefault="00630928" w:rsidP="00630928">
            <w:pPr>
              <w:autoSpaceDE/>
              <w:autoSpaceDN/>
              <w:adjustRightInd/>
              <w:spacing w:before="0" w:after="0"/>
              <w:jc w:val="right"/>
              <w:rPr>
                <w:rFonts w:eastAsia="Times New Roman" w:cs="Arial"/>
                <w:b/>
                <w:bCs/>
                <w:sz w:val="16"/>
                <w:lang w:eastAsia="en-GB"/>
              </w:rPr>
            </w:pPr>
            <w:r w:rsidRPr="00256CC2">
              <w:rPr>
                <w:rFonts w:eastAsia="Times New Roman" w:cs="Arial"/>
                <w:b/>
                <w:bCs/>
                <w:sz w:val="16"/>
                <w:lang w:eastAsia="en-GB"/>
              </w:rPr>
              <w:t> </w:t>
            </w:r>
          </w:p>
        </w:tc>
        <w:tc>
          <w:tcPr>
            <w:tcW w:w="1701" w:type="dxa"/>
            <w:gridSpan w:val="2"/>
            <w:tcBorders>
              <w:left w:val="nil"/>
              <w:bottom w:val="nil"/>
              <w:right w:val="nil"/>
            </w:tcBorders>
            <w:shd w:val="clear" w:color="000000" w:fill="FFFFFF"/>
            <w:noWrap/>
            <w:vAlign w:val="center"/>
            <w:hideMark/>
          </w:tcPr>
          <w:p w:rsidR="00630928" w:rsidRPr="00256CC2" w:rsidRDefault="00630928" w:rsidP="00141ABD">
            <w:pPr>
              <w:autoSpaceDE/>
              <w:autoSpaceDN/>
              <w:adjustRightInd/>
              <w:spacing w:before="0" w:after="0"/>
              <w:ind w:right="170"/>
              <w:jc w:val="right"/>
              <w:rPr>
                <w:rFonts w:ascii="Cambria" w:eastAsia="Times New Roman" w:hAnsi="Cambria" w:cs="Times New Roman"/>
                <w:sz w:val="16"/>
                <w:szCs w:val="20"/>
                <w:lang w:eastAsia="en-GB"/>
              </w:rPr>
            </w:pPr>
            <w:r w:rsidRPr="00256CC2">
              <w:rPr>
                <w:rFonts w:ascii="Cambria" w:eastAsia="Times New Roman" w:hAnsi="Cambria" w:cs="Times New Roman"/>
                <w:sz w:val="16"/>
                <w:szCs w:val="20"/>
                <w:lang w:eastAsia="en-GB"/>
              </w:rPr>
              <w:t> </w:t>
            </w:r>
          </w:p>
        </w:tc>
        <w:tc>
          <w:tcPr>
            <w:tcW w:w="1376" w:type="dxa"/>
            <w:tcBorders>
              <w:left w:val="nil"/>
              <w:bottom w:val="nil"/>
              <w:right w:val="single" w:sz="8" w:space="0" w:color="auto"/>
            </w:tcBorders>
            <w:shd w:val="clear" w:color="000000" w:fill="FFFFFF"/>
            <w:noWrap/>
            <w:vAlign w:val="center"/>
            <w:hideMark/>
          </w:tcPr>
          <w:p w:rsidR="00630928" w:rsidRPr="00256CC2" w:rsidRDefault="00630928" w:rsidP="00141ABD">
            <w:pPr>
              <w:autoSpaceDE/>
              <w:autoSpaceDN/>
              <w:adjustRightInd/>
              <w:spacing w:before="0" w:after="0"/>
              <w:ind w:right="113"/>
              <w:rPr>
                <w:rFonts w:eastAsia="Times New Roman" w:cs="Arial"/>
                <w:b/>
                <w:bCs/>
                <w:sz w:val="16"/>
                <w:szCs w:val="20"/>
                <w:lang w:eastAsia="en-GB"/>
              </w:rPr>
            </w:pPr>
          </w:p>
        </w:tc>
        <w:tc>
          <w:tcPr>
            <w:tcW w:w="1350" w:type="dxa"/>
            <w:tcBorders>
              <w:left w:val="nil"/>
              <w:bottom w:val="nil"/>
              <w:right w:val="nil"/>
            </w:tcBorders>
            <w:shd w:val="clear" w:color="000000" w:fill="FFFFFF"/>
            <w:noWrap/>
            <w:vAlign w:val="center"/>
            <w:hideMark/>
          </w:tcPr>
          <w:p w:rsidR="00630928" w:rsidRPr="00256CC2" w:rsidRDefault="00630928" w:rsidP="00630928">
            <w:pPr>
              <w:autoSpaceDE/>
              <w:autoSpaceDN/>
              <w:adjustRightInd/>
              <w:spacing w:before="0" w:after="0"/>
              <w:jc w:val="right"/>
              <w:rPr>
                <w:rFonts w:eastAsia="Times New Roman" w:cs="Arial"/>
                <w:b/>
                <w:bCs/>
                <w:sz w:val="16"/>
                <w:szCs w:val="20"/>
                <w:lang w:eastAsia="en-GB"/>
              </w:rPr>
            </w:pPr>
          </w:p>
        </w:tc>
        <w:tc>
          <w:tcPr>
            <w:tcW w:w="1384" w:type="dxa"/>
            <w:tcBorders>
              <w:left w:val="nil"/>
              <w:bottom w:val="nil"/>
              <w:right w:val="nil"/>
            </w:tcBorders>
            <w:shd w:val="clear" w:color="000000" w:fill="FFFFFF"/>
            <w:noWrap/>
            <w:vAlign w:val="center"/>
            <w:hideMark/>
          </w:tcPr>
          <w:p w:rsidR="00630928" w:rsidRPr="00256CC2" w:rsidRDefault="00630928" w:rsidP="00630928">
            <w:pPr>
              <w:autoSpaceDE/>
              <w:autoSpaceDN/>
              <w:adjustRightInd/>
              <w:spacing w:before="0" w:after="0"/>
              <w:jc w:val="right"/>
              <w:rPr>
                <w:rFonts w:eastAsia="Times New Roman" w:cs="Arial"/>
                <w:b/>
                <w:bCs/>
                <w:sz w:val="16"/>
                <w:szCs w:val="20"/>
                <w:lang w:eastAsia="en-GB"/>
              </w:rPr>
            </w:pPr>
          </w:p>
        </w:tc>
        <w:tc>
          <w:tcPr>
            <w:tcW w:w="1418" w:type="dxa"/>
            <w:tcBorders>
              <w:left w:val="nil"/>
              <w:bottom w:val="nil"/>
              <w:right w:val="single" w:sz="8" w:space="0" w:color="auto"/>
            </w:tcBorders>
            <w:shd w:val="clear" w:color="000000" w:fill="FFFFFF"/>
            <w:noWrap/>
            <w:vAlign w:val="center"/>
            <w:hideMark/>
          </w:tcPr>
          <w:p w:rsidR="00630928" w:rsidRPr="00256CC2" w:rsidRDefault="00630928" w:rsidP="00630928">
            <w:pPr>
              <w:autoSpaceDE/>
              <w:autoSpaceDN/>
              <w:adjustRightInd/>
              <w:spacing w:before="0" w:after="0"/>
              <w:jc w:val="right"/>
              <w:rPr>
                <w:rFonts w:eastAsia="Times New Roman" w:cs="Arial"/>
                <w:b/>
                <w:bCs/>
                <w:sz w:val="16"/>
                <w:szCs w:val="20"/>
                <w:lang w:eastAsia="en-GB"/>
              </w:rPr>
            </w:pPr>
          </w:p>
        </w:tc>
      </w:tr>
      <w:tr w:rsidR="00630928" w:rsidRPr="002F17B5" w:rsidTr="00141ABD">
        <w:trPr>
          <w:trHeight w:val="465"/>
        </w:trPr>
        <w:tc>
          <w:tcPr>
            <w:tcW w:w="6379" w:type="dxa"/>
            <w:tcBorders>
              <w:top w:val="nil"/>
              <w:left w:val="single" w:sz="8" w:space="0" w:color="auto"/>
              <w:bottom w:val="single" w:sz="4" w:space="0" w:color="auto"/>
              <w:right w:val="nil"/>
            </w:tcBorders>
            <w:shd w:val="clear" w:color="000000" w:fill="FFFFFF"/>
            <w:vAlign w:val="center"/>
            <w:hideMark/>
          </w:tcPr>
          <w:p w:rsidR="00630928" w:rsidRPr="002F17B5" w:rsidRDefault="00630928" w:rsidP="00630928">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Surplus or deficit on revaluation of available for sale assets (note 3</w:t>
            </w:r>
            <w:r w:rsidR="001A7773">
              <w:rPr>
                <w:rFonts w:eastAsia="Times New Roman" w:cs="Arial"/>
                <w:sz w:val="20"/>
                <w:szCs w:val="20"/>
                <w:lang w:eastAsia="en-GB"/>
              </w:rPr>
              <w:t>3</w:t>
            </w:r>
            <w:r w:rsidRPr="002F17B5">
              <w:rPr>
                <w:rFonts w:eastAsia="Times New Roman" w:cs="Arial"/>
                <w:sz w:val="20"/>
                <w:szCs w:val="20"/>
                <w:lang w:eastAsia="en-GB"/>
              </w:rPr>
              <w:t>)</w:t>
            </w:r>
          </w:p>
          <w:p w:rsidR="00630928" w:rsidRPr="002F17B5" w:rsidRDefault="00630928" w:rsidP="00630928">
            <w:pPr>
              <w:autoSpaceDE/>
              <w:autoSpaceDN/>
              <w:adjustRightInd/>
              <w:spacing w:before="0" w:after="0"/>
              <w:jc w:val="left"/>
              <w:rPr>
                <w:rFonts w:eastAsia="Times New Roman" w:cs="Arial"/>
                <w:sz w:val="12"/>
                <w:szCs w:val="20"/>
                <w:lang w:eastAsia="en-GB"/>
              </w:rPr>
            </w:pPr>
          </w:p>
        </w:tc>
        <w:tc>
          <w:tcPr>
            <w:tcW w:w="1593" w:type="dxa"/>
            <w:gridSpan w:val="2"/>
            <w:tcBorders>
              <w:top w:val="nil"/>
              <w:left w:val="single" w:sz="8" w:space="0" w:color="auto"/>
              <w:bottom w:val="single" w:sz="4" w:space="0" w:color="auto"/>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lang w:eastAsia="en-GB"/>
              </w:rPr>
            </w:pPr>
            <w:r w:rsidRPr="002F17B5">
              <w:rPr>
                <w:rFonts w:eastAsia="Times New Roman" w:cs="Arial"/>
                <w:lang w:eastAsia="en-GB"/>
              </w:rPr>
              <w:t> </w:t>
            </w:r>
          </w:p>
        </w:tc>
        <w:tc>
          <w:tcPr>
            <w:tcW w:w="1701" w:type="dxa"/>
            <w:gridSpan w:val="2"/>
            <w:tcBorders>
              <w:top w:val="nil"/>
              <w:left w:val="nil"/>
              <w:bottom w:val="single" w:sz="4" w:space="0" w:color="auto"/>
              <w:right w:val="nil"/>
            </w:tcBorders>
            <w:shd w:val="clear" w:color="000000" w:fill="FFFFFF"/>
            <w:noWrap/>
            <w:vAlign w:val="center"/>
            <w:hideMark/>
          </w:tcPr>
          <w:p w:rsidR="00630928" w:rsidRPr="002F17B5" w:rsidRDefault="00630928" w:rsidP="00141ABD">
            <w:pPr>
              <w:autoSpaceDE/>
              <w:autoSpaceDN/>
              <w:adjustRightInd/>
              <w:spacing w:before="0" w:after="0"/>
              <w:ind w:right="170"/>
              <w:jc w:val="right"/>
              <w:rPr>
                <w:rFonts w:ascii="Cambria" w:eastAsia="Times New Roman" w:hAnsi="Cambria" w:cs="Times New Roman"/>
                <w:sz w:val="20"/>
                <w:szCs w:val="20"/>
                <w:lang w:eastAsia="en-GB"/>
              </w:rPr>
            </w:pPr>
            <w:r w:rsidRPr="002F17B5">
              <w:rPr>
                <w:rFonts w:ascii="Cambria" w:eastAsia="Times New Roman" w:hAnsi="Cambria" w:cs="Times New Roman"/>
                <w:sz w:val="20"/>
                <w:szCs w:val="20"/>
                <w:lang w:eastAsia="en-GB"/>
              </w:rPr>
              <w:t> </w:t>
            </w:r>
          </w:p>
        </w:tc>
        <w:tc>
          <w:tcPr>
            <w:tcW w:w="1376" w:type="dxa"/>
            <w:tcBorders>
              <w:top w:val="nil"/>
              <w:left w:val="nil"/>
              <w:bottom w:val="single" w:sz="4" w:space="0" w:color="auto"/>
              <w:right w:val="single" w:sz="8" w:space="0" w:color="auto"/>
            </w:tcBorders>
            <w:shd w:val="clear" w:color="000000" w:fill="FFFFFF"/>
            <w:noWrap/>
            <w:vAlign w:val="center"/>
            <w:hideMark/>
          </w:tcPr>
          <w:p w:rsidR="00630928" w:rsidRPr="002F17B5" w:rsidRDefault="00630928" w:rsidP="00141ABD">
            <w:pPr>
              <w:autoSpaceDE/>
              <w:autoSpaceDN/>
              <w:adjustRightInd/>
              <w:spacing w:before="0" w:after="0"/>
              <w:ind w:right="113"/>
              <w:jc w:val="right"/>
              <w:rPr>
                <w:rFonts w:eastAsia="Times New Roman" w:cs="Arial"/>
                <w:sz w:val="20"/>
                <w:szCs w:val="20"/>
                <w:lang w:eastAsia="en-GB"/>
              </w:rPr>
            </w:pPr>
            <w:r w:rsidRPr="002F17B5">
              <w:rPr>
                <w:rFonts w:eastAsia="Times New Roman" w:cs="Arial"/>
                <w:sz w:val="20"/>
                <w:szCs w:val="20"/>
                <w:lang w:eastAsia="en-GB"/>
              </w:rPr>
              <w:t>26.3</w:t>
            </w:r>
          </w:p>
        </w:tc>
        <w:tc>
          <w:tcPr>
            <w:tcW w:w="1350" w:type="dxa"/>
            <w:tcBorders>
              <w:top w:val="nil"/>
              <w:left w:val="nil"/>
              <w:bottom w:val="single" w:sz="4" w:space="0" w:color="auto"/>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p>
        </w:tc>
        <w:tc>
          <w:tcPr>
            <w:tcW w:w="1384" w:type="dxa"/>
            <w:tcBorders>
              <w:top w:val="nil"/>
              <w:left w:val="nil"/>
              <w:bottom w:val="single" w:sz="4" w:space="0" w:color="auto"/>
              <w:right w:val="nil"/>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p>
        </w:tc>
        <w:tc>
          <w:tcPr>
            <w:tcW w:w="1418" w:type="dxa"/>
            <w:tcBorders>
              <w:top w:val="nil"/>
              <w:left w:val="nil"/>
              <w:bottom w:val="single" w:sz="4" w:space="0" w:color="auto"/>
              <w:right w:val="single" w:sz="8" w:space="0" w:color="auto"/>
            </w:tcBorders>
            <w:shd w:val="clear" w:color="000000" w:fill="FFFFFF"/>
            <w:noWrap/>
            <w:vAlign w:val="center"/>
            <w:hideMark/>
          </w:tcPr>
          <w:p w:rsidR="00630928" w:rsidRPr="002F17B5" w:rsidRDefault="00630928" w:rsidP="00630928">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0.6 </w:t>
            </w:r>
          </w:p>
        </w:tc>
      </w:tr>
      <w:tr w:rsidR="00256CC2" w:rsidRPr="002F17B5" w:rsidTr="00141ABD">
        <w:trPr>
          <w:trHeight w:val="465"/>
        </w:trPr>
        <w:tc>
          <w:tcPr>
            <w:tcW w:w="6379" w:type="dxa"/>
            <w:tcBorders>
              <w:top w:val="single" w:sz="4" w:space="0" w:color="auto"/>
              <w:left w:val="single" w:sz="8" w:space="0" w:color="auto"/>
              <w:bottom w:val="single" w:sz="4" w:space="0" w:color="auto"/>
              <w:right w:val="nil"/>
            </w:tcBorders>
            <w:shd w:val="clear" w:color="000000" w:fill="FFFFFF"/>
            <w:vAlign w:val="center"/>
          </w:tcPr>
          <w:p w:rsidR="00256CC2" w:rsidRPr="00256CC2" w:rsidRDefault="00256CC2" w:rsidP="00256CC2">
            <w:pPr>
              <w:autoSpaceDE/>
              <w:autoSpaceDN/>
              <w:adjustRightInd/>
              <w:spacing w:before="0" w:after="0"/>
              <w:jc w:val="left"/>
              <w:rPr>
                <w:rFonts w:eastAsia="Times New Roman" w:cs="Arial"/>
                <w:b/>
                <w:sz w:val="20"/>
                <w:szCs w:val="20"/>
                <w:lang w:eastAsia="en-GB"/>
              </w:rPr>
            </w:pPr>
            <w:r w:rsidRPr="00256CC2">
              <w:rPr>
                <w:rFonts w:eastAsia="Times New Roman" w:cs="Arial"/>
                <w:b/>
                <w:sz w:val="20"/>
                <w:szCs w:val="20"/>
                <w:lang w:eastAsia="en-GB"/>
              </w:rPr>
              <w:t xml:space="preserve">Other </w:t>
            </w:r>
            <w:r w:rsidR="006F6AB1" w:rsidRPr="002F17B5">
              <w:rPr>
                <w:rFonts w:eastAsia="Times New Roman" w:cs="Arial"/>
                <w:b/>
                <w:bCs/>
                <w:sz w:val="20"/>
                <w:szCs w:val="20"/>
                <w:lang w:eastAsia="en-GB"/>
              </w:rPr>
              <w:t>Comprehensive Income and Expenditure</w:t>
            </w:r>
          </w:p>
        </w:tc>
        <w:tc>
          <w:tcPr>
            <w:tcW w:w="1593" w:type="dxa"/>
            <w:gridSpan w:val="2"/>
            <w:tcBorders>
              <w:top w:val="single" w:sz="4" w:space="0" w:color="auto"/>
              <w:left w:val="single" w:sz="8" w:space="0" w:color="auto"/>
              <w:bottom w:val="single" w:sz="4" w:space="0" w:color="auto"/>
              <w:right w:val="nil"/>
            </w:tcBorders>
            <w:shd w:val="clear" w:color="000000" w:fill="FFFFFF"/>
            <w:noWrap/>
            <w:vAlign w:val="center"/>
          </w:tcPr>
          <w:p w:rsidR="00256CC2" w:rsidRPr="00256CC2" w:rsidRDefault="00256CC2" w:rsidP="00630928">
            <w:pPr>
              <w:autoSpaceDE/>
              <w:autoSpaceDN/>
              <w:adjustRightInd/>
              <w:spacing w:before="0" w:after="0"/>
              <w:jc w:val="right"/>
              <w:rPr>
                <w:rFonts w:eastAsia="Times New Roman" w:cs="Arial"/>
                <w:b/>
                <w:lang w:eastAsia="en-GB"/>
              </w:rPr>
            </w:pPr>
          </w:p>
        </w:tc>
        <w:tc>
          <w:tcPr>
            <w:tcW w:w="1701" w:type="dxa"/>
            <w:gridSpan w:val="2"/>
            <w:tcBorders>
              <w:top w:val="single" w:sz="4" w:space="0" w:color="auto"/>
              <w:left w:val="nil"/>
              <w:bottom w:val="single" w:sz="4" w:space="0" w:color="auto"/>
              <w:right w:val="nil"/>
            </w:tcBorders>
            <w:shd w:val="clear" w:color="000000" w:fill="FFFFFF"/>
            <w:noWrap/>
            <w:vAlign w:val="center"/>
          </w:tcPr>
          <w:p w:rsidR="00256CC2" w:rsidRPr="00256CC2" w:rsidRDefault="00256CC2" w:rsidP="00141ABD">
            <w:pPr>
              <w:autoSpaceDE/>
              <w:autoSpaceDN/>
              <w:adjustRightInd/>
              <w:spacing w:before="0" w:after="0"/>
              <w:ind w:right="170"/>
              <w:jc w:val="right"/>
              <w:rPr>
                <w:rFonts w:ascii="Cambria" w:eastAsia="Times New Roman" w:hAnsi="Cambria" w:cs="Times New Roman"/>
                <w:b/>
                <w:sz w:val="20"/>
                <w:szCs w:val="20"/>
                <w:lang w:eastAsia="en-GB"/>
              </w:rPr>
            </w:pPr>
          </w:p>
        </w:tc>
        <w:tc>
          <w:tcPr>
            <w:tcW w:w="1376" w:type="dxa"/>
            <w:tcBorders>
              <w:top w:val="single" w:sz="4" w:space="0" w:color="auto"/>
              <w:left w:val="nil"/>
              <w:bottom w:val="single" w:sz="4" w:space="0" w:color="auto"/>
              <w:right w:val="single" w:sz="8" w:space="0" w:color="auto"/>
            </w:tcBorders>
            <w:shd w:val="clear" w:color="000000" w:fill="FFFFFF"/>
            <w:noWrap/>
            <w:vAlign w:val="center"/>
          </w:tcPr>
          <w:p w:rsidR="00256CC2" w:rsidRPr="00256CC2" w:rsidRDefault="00646846" w:rsidP="00141ABD">
            <w:pPr>
              <w:autoSpaceDE/>
              <w:autoSpaceDN/>
              <w:adjustRightInd/>
              <w:spacing w:before="0" w:after="0"/>
              <w:ind w:right="113"/>
              <w:jc w:val="right"/>
              <w:rPr>
                <w:rFonts w:eastAsia="Times New Roman" w:cs="Arial"/>
                <w:b/>
                <w:sz w:val="20"/>
                <w:szCs w:val="20"/>
                <w:lang w:eastAsia="en-GB"/>
              </w:rPr>
            </w:pPr>
            <w:r>
              <w:rPr>
                <w:rFonts w:eastAsia="Times New Roman" w:cs="Arial"/>
                <w:b/>
                <w:sz w:val="20"/>
                <w:szCs w:val="20"/>
                <w:lang w:eastAsia="en-GB"/>
              </w:rPr>
              <w:t>(259</w:t>
            </w:r>
            <w:r w:rsidR="001B457D">
              <w:rPr>
                <w:rFonts w:eastAsia="Times New Roman" w:cs="Arial"/>
                <w:b/>
                <w:sz w:val="20"/>
                <w:szCs w:val="20"/>
                <w:lang w:eastAsia="en-GB"/>
              </w:rPr>
              <w:t>.4)</w:t>
            </w:r>
          </w:p>
        </w:tc>
        <w:tc>
          <w:tcPr>
            <w:tcW w:w="1350" w:type="dxa"/>
            <w:tcBorders>
              <w:top w:val="single" w:sz="4" w:space="0" w:color="auto"/>
              <w:left w:val="nil"/>
              <w:bottom w:val="single" w:sz="4" w:space="0" w:color="auto"/>
              <w:right w:val="nil"/>
            </w:tcBorders>
            <w:shd w:val="clear" w:color="000000" w:fill="FFFFFF"/>
            <w:noWrap/>
            <w:vAlign w:val="center"/>
          </w:tcPr>
          <w:p w:rsidR="00256CC2" w:rsidRPr="00256CC2" w:rsidRDefault="00256CC2" w:rsidP="00630928">
            <w:pPr>
              <w:autoSpaceDE/>
              <w:autoSpaceDN/>
              <w:adjustRightInd/>
              <w:spacing w:before="0" w:after="0"/>
              <w:jc w:val="right"/>
              <w:rPr>
                <w:rFonts w:eastAsia="Times New Roman" w:cs="Arial"/>
                <w:b/>
                <w:sz w:val="20"/>
                <w:szCs w:val="20"/>
                <w:lang w:eastAsia="en-GB"/>
              </w:rPr>
            </w:pPr>
          </w:p>
        </w:tc>
        <w:tc>
          <w:tcPr>
            <w:tcW w:w="1384" w:type="dxa"/>
            <w:tcBorders>
              <w:top w:val="single" w:sz="4" w:space="0" w:color="auto"/>
              <w:left w:val="nil"/>
              <w:bottom w:val="single" w:sz="4" w:space="0" w:color="auto"/>
              <w:right w:val="nil"/>
            </w:tcBorders>
            <w:shd w:val="clear" w:color="000000" w:fill="FFFFFF"/>
            <w:noWrap/>
            <w:vAlign w:val="center"/>
          </w:tcPr>
          <w:p w:rsidR="00256CC2" w:rsidRPr="00256CC2" w:rsidRDefault="00256CC2" w:rsidP="00630928">
            <w:pPr>
              <w:autoSpaceDE/>
              <w:autoSpaceDN/>
              <w:adjustRightInd/>
              <w:spacing w:before="0" w:after="0"/>
              <w:jc w:val="right"/>
              <w:rPr>
                <w:rFonts w:eastAsia="Times New Roman" w:cs="Arial"/>
                <w:b/>
                <w:sz w:val="20"/>
                <w:szCs w:val="20"/>
                <w:lang w:eastAsia="en-GB"/>
              </w:rPr>
            </w:pPr>
          </w:p>
        </w:tc>
        <w:tc>
          <w:tcPr>
            <w:tcW w:w="1418" w:type="dxa"/>
            <w:tcBorders>
              <w:top w:val="single" w:sz="4" w:space="0" w:color="auto"/>
              <w:left w:val="nil"/>
              <w:bottom w:val="single" w:sz="4" w:space="0" w:color="auto"/>
              <w:right w:val="single" w:sz="8" w:space="0" w:color="auto"/>
            </w:tcBorders>
            <w:shd w:val="clear" w:color="000000" w:fill="FFFFFF"/>
            <w:noWrap/>
            <w:vAlign w:val="center"/>
          </w:tcPr>
          <w:p w:rsidR="00256CC2" w:rsidRPr="00256CC2" w:rsidRDefault="001B457D" w:rsidP="00630928">
            <w:pPr>
              <w:autoSpaceDE/>
              <w:autoSpaceDN/>
              <w:adjustRightInd/>
              <w:spacing w:before="0" w:after="0"/>
              <w:jc w:val="right"/>
              <w:rPr>
                <w:rFonts w:eastAsia="Times New Roman" w:cs="Arial"/>
                <w:b/>
                <w:sz w:val="20"/>
                <w:szCs w:val="20"/>
                <w:lang w:eastAsia="en-GB"/>
              </w:rPr>
            </w:pPr>
            <w:r>
              <w:rPr>
                <w:rFonts w:eastAsia="Times New Roman" w:cs="Arial"/>
                <w:b/>
                <w:sz w:val="20"/>
                <w:szCs w:val="20"/>
                <w:lang w:eastAsia="en-GB"/>
              </w:rPr>
              <w:t>206.9</w:t>
            </w:r>
          </w:p>
        </w:tc>
      </w:tr>
      <w:tr w:rsidR="00630928" w:rsidRPr="002F17B5" w:rsidTr="00A64CC3">
        <w:trPr>
          <w:trHeight w:val="456"/>
        </w:trPr>
        <w:tc>
          <w:tcPr>
            <w:tcW w:w="6379" w:type="dxa"/>
            <w:tcBorders>
              <w:top w:val="single" w:sz="4" w:space="0" w:color="auto"/>
              <w:left w:val="single" w:sz="8" w:space="0" w:color="auto"/>
              <w:bottom w:val="single" w:sz="8" w:space="0" w:color="auto"/>
              <w:right w:val="nil"/>
            </w:tcBorders>
            <w:shd w:val="clear" w:color="000000" w:fill="D9D9D9"/>
            <w:vAlign w:val="center"/>
            <w:hideMark/>
          </w:tcPr>
          <w:p w:rsidR="00630928" w:rsidRPr="002F17B5" w:rsidRDefault="00630928" w:rsidP="00630928">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Total Comprehensive Income and Expenditure</w:t>
            </w:r>
          </w:p>
        </w:tc>
        <w:tc>
          <w:tcPr>
            <w:tcW w:w="1593" w:type="dxa"/>
            <w:gridSpan w:val="2"/>
            <w:tcBorders>
              <w:top w:val="single" w:sz="4" w:space="0" w:color="auto"/>
              <w:left w:val="single" w:sz="8" w:space="0" w:color="auto"/>
              <w:bottom w:val="single" w:sz="8" w:space="0" w:color="auto"/>
              <w:right w:val="nil"/>
            </w:tcBorders>
            <w:shd w:val="clear" w:color="000000" w:fill="D9D9D9"/>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 </w:t>
            </w:r>
          </w:p>
        </w:tc>
        <w:tc>
          <w:tcPr>
            <w:tcW w:w="1701" w:type="dxa"/>
            <w:gridSpan w:val="2"/>
            <w:tcBorders>
              <w:top w:val="single" w:sz="4" w:space="0" w:color="auto"/>
              <w:left w:val="nil"/>
              <w:bottom w:val="single" w:sz="8" w:space="0" w:color="auto"/>
              <w:right w:val="nil"/>
            </w:tcBorders>
            <w:shd w:val="clear" w:color="000000" w:fill="D9D9D9"/>
            <w:noWrap/>
            <w:vAlign w:val="center"/>
            <w:hideMark/>
          </w:tcPr>
          <w:p w:rsidR="00630928" w:rsidRPr="002F17B5" w:rsidRDefault="00630928" w:rsidP="00141ABD">
            <w:pPr>
              <w:autoSpaceDE/>
              <w:autoSpaceDN/>
              <w:adjustRightInd/>
              <w:spacing w:before="0" w:after="0"/>
              <w:ind w:right="170"/>
              <w:jc w:val="right"/>
              <w:rPr>
                <w:rFonts w:eastAsia="Times New Roman" w:cs="Arial"/>
                <w:b/>
                <w:bCs/>
                <w:sz w:val="20"/>
                <w:szCs w:val="20"/>
                <w:lang w:eastAsia="en-GB"/>
              </w:rPr>
            </w:pPr>
            <w:r w:rsidRPr="002F17B5">
              <w:rPr>
                <w:rFonts w:eastAsia="Times New Roman" w:cs="Arial"/>
                <w:b/>
                <w:bCs/>
                <w:sz w:val="20"/>
                <w:szCs w:val="20"/>
                <w:lang w:eastAsia="en-GB"/>
              </w:rPr>
              <w:t> </w:t>
            </w:r>
          </w:p>
        </w:tc>
        <w:tc>
          <w:tcPr>
            <w:tcW w:w="1376" w:type="dxa"/>
            <w:tcBorders>
              <w:top w:val="single" w:sz="4" w:space="0" w:color="auto"/>
              <w:left w:val="nil"/>
              <w:bottom w:val="single" w:sz="8" w:space="0" w:color="auto"/>
              <w:right w:val="single" w:sz="8" w:space="0" w:color="auto"/>
            </w:tcBorders>
            <w:shd w:val="clear" w:color="000000" w:fill="D9D9D9"/>
            <w:noWrap/>
            <w:vAlign w:val="center"/>
            <w:hideMark/>
          </w:tcPr>
          <w:p w:rsidR="00630928" w:rsidRPr="002F17B5" w:rsidRDefault="00630928" w:rsidP="00141ABD">
            <w:pPr>
              <w:autoSpaceDE/>
              <w:autoSpaceDN/>
              <w:adjustRightInd/>
              <w:spacing w:before="0" w:after="0"/>
              <w:ind w:right="113"/>
              <w:jc w:val="right"/>
              <w:rPr>
                <w:rFonts w:eastAsia="Times New Roman" w:cs="Arial"/>
                <w:b/>
                <w:bCs/>
                <w:sz w:val="20"/>
                <w:szCs w:val="20"/>
                <w:lang w:eastAsia="en-GB"/>
              </w:rPr>
            </w:pPr>
            <w:r w:rsidRPr="002F17B5">
              <w:rPr>
                <w:rFonts w:eastAsia="Times New Roman" w:cs="Arial"/>
                <w:b/>
                <w:bCs/>
                <w:sz w:val="20"/>
                <w:szCs w:val="20"/>
                <w:lang w:eastAsia="en-GB"/>
              </w:rPr>
              <w:t>(239.5)</w:t>
            </w:r>
          </w:p>
        </w:tc>
        <w:tc>
          <w:tcPr>
            <w:tcW w:w="1350" w:type="dxa"/>
            <w:tcBorders>
              <w:top w:val="single" w:sz="4" w:space="0" w:color="auto"/>
              <w:left w:val="nil"/>
              <w:bottom w:val="single" w:sz="8" w:space="0" w:color="auto"/>
              <w:right w:val="nil"/>
            </w:tcBorders>
            <w:shd w:val="clear" w:color="000000" w:fill="D9D9D9"/>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p>
        </w:tc>
        <w:tc>
          <w:tcPr>
            <w:tcW w:w="1384" w:type="dxa"/>
            <w:tcBorders>
              <w:top w:val="single" w:sz="4" w:space="0" w:color="auto"/>
              <w:left w:val="nil"/>
              <w:bottom w:val="single" w:sz="8" w:space="0" w:color="auto"/>
              <w:right w:val="nil"/>
            </w:tcBorders>
            <w:shd w:val="clear" w:color="000000" w:fill="D9D9D9"/>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p>
        </w:tc>
        <w:tc>
          <w:tcPr>
            <w:tcW w:w="1418" w:type="dxa"/>
            <w:tcBorders>
              <w:top w:val="single" w:sz="4" w:space="0" w:color="auto"/>
              <w:left w:val="nil"/>
              <w:bottom w:val="single" w:sz="8" w:space="0" w:color="auto"/>
              <w:right w:val="single" w:sz="8" w:space="0" w:color="auto"/>
            </w:tcBorders>
            <w:shd w:val="clear" w:color="000000" w:fill="D9D9D9"/>
            <w:noWrap/>
            <w:vAlign w:val="center"/>
            <w:hideMark/>
          </w:tcPr>
          <w:p w:rsidR="00630928" w:rsidRPr="002F17B5" w:rsidRDefault="00630928" w:rsidP="00630928">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173.9</w:t>
            </w:r>
          </w:p>
        </w:tc>
      </w:tr>
    </w:tbl>
    <w:p w:rsidR="00896310" w:rsidRPr="00896310" w:rsidRDefault="00FA7818" w:rsidP="00896310">
      <w:pPr>
        <w:pStyle w:val="ListParagraph"/>
        <w:spacing w:before="40" w:after="0" w:line="14" w:lineRule="atLeast"/>
        <w:ind w:left="0" w:right="454"/>
        <w:rPr>
          <w:sz w:val="20"/>
          <w:szCs w:val="20"/>
        </w:rPr>
      </w:pPr>
      <w:r w:rsidRPr="00896310">
        <w:rPr>
          <w:sz w:val="20"/>
          <w:szCs w:val="20"/>
        </w:rPr>
        <w:t>*</w:t>
      </w:r>
      <w:r w:rsidR="006C1EAA" w:rsidRPr="00896310">
        <w:rPr>
          <w:sz w:val="20"/>
          <w:szCs w:val="20"/>
        </w:rPr>
        <w:t>U</w:t>
      </w:r>
      <w:r w:rsidR="0023492F" w:rsidRPr="00896310">
        <w:rPr>
          <w:sz w:val="20"/>
          <w:szCs w:val="20"/>
        </w:rPr>
        <w:t>nder the Health and Social Care Act 201</w:t>
      </w:r>
      <w:r w:rsidR="006C1EAA" w:rsidRPr="00896310">
        <w:rPr>
          <w:sz w:val="20"/>
          <w:szCs w:val="20"/>
        </w:rPr>
        <w:t>2, responsibility for local health improvement transferred to local authorities</w:t>
      </w:r>
      <w:r w:rsidR="00D55D63" w:rsidRPr="00896310">
        <w:rPr>
          <w:sz w:val="20"/>
          <w:szCs w:val="20"/>
        </w:rPr>
        <w:t xml:space="preserve"> with effect from 1 April 2013 (previously</w:t>
      </w:r>
      <w:r w:rsidR="006C1EAA" w:rsidRPr="00896310">
        <w:rPr>
          <w:sz w:val="20"/>
          <w:szCs w:val="20"/>
        </w:rPr>
        <w:t xml:space="preserve"> the responsibility of NHS Primary Care Trusts)</w:t>
      </w:r>
    </w:p>
    <w:p w:rsidR="005A6868" w:rsidRPr="00896310" w:rsidRDefault="005A6868" w:rsidP="00896310">
      <w:pPr>
        <w:pStyle w:val="ListParagraph"/>
        <w:spacing w:before="40" w:after="0" w:line="14" w:lineRule="atLeast"/>
        <w:ind w:left="0" w:right="454"/>
        <w:rPr>
          <w:sz w:val="20"/>
          <w:szCs w:val="20"/>
        </w:rPr>
      </w:pPr>
      <w:r w:rsidRPr="00896310">
        <w:rPr>
          <w:sz w:val="20"/>
          <w:szCs w:val="20"/>
        </w:rPr>
        <w:t>**Non Distributed comparatives have been restated as a result of improvement made to reporting systems</w:t>
      </w:r>
    </w:p>
    <w:p w:rsidR="00A64CC3" w:rsidRDefault="00A64CC3" w:rsidP="00896310">
      <w:pPr>
        <w:pStyle w:val="ListParagraph"/>
        <w:spacing w:before="0" w:after="0" w:line="14" w:lineRule="atLeast"/>
        <w:ind w:left="57"/>
        <w:rPr>
          <w:bCs/>
          <w:iCs/>
          <w:sz w:val="20"/>
          <w:szCs w:val="20"/>
        </w:rPr>
      </w:pPr>
      <w:r w:rsidRPr="00896310">
        <w:rPr>
          <w:sz w:val="20"/>
          <w:szCs w:val="20"/>
        </w:rPr>
        <w:t>*</w:t>
      </w:r>
      <w:r w:rsidR="005A6868" w:rsidRPr="00896310">
        <w:rPr>
          <w:sz w:val="20"/>
          <w:szCs w:val="20"/>
        </w:rPr>
        <w:t>*</w:t>
      </w:r>
      <w:r w:rsidRPr="00896310">
        <w:rPr>
          <w:sz w:val="20"/>
          <w:szCs w:val="20"/>
        </w:rPr>
        <w:t>*Comparatives</w:t>
      </w:r>
      <w:r w:rsidR="00CF29BE" w:rsidRPr="00896310">
        <w:rPr>
          <w:sz w:val="20"/>
          <w:szCs w:val="20"/>
        </w:rPr>
        <w:t xml:space="preserve"> relating to pension interest</w:t>
      </w:r>
      <w:r w:rsidRPr="00896310">
        <w:rPr>
          <w:sz w:val="20"/>
          <w:szCs w:val="20"/>
        </w:rPr>
        <w:t xml:space="preserve"> have been restated to reflect the </w:t>
      </w:r>
      <w:r w:rsidR="00CF29BE" w:rsidRPr="00896310">
        <w:rPr>
          <w:sz w:val="20"/>
          <w:szCs w:val="20"/>
        </w:rPr>
        <w:t xml:space="preserve">changes to the </w:t>
      </w:r>
      <w:r w:rsidR="008F0E55" w:rsidRPr="00896310">
        <w:rPr>
          <w:bCs/>
          <w:iCs/>
          <w:sz w:val="20"/>
          <w:szCs w:val="20"/>
        </w:rPr>
        <w:t>IAS19 accounting standard</w:t>
      </w:r>
      <w:r w:rsidR="00CF29BE" w:rsidRPr="00896310">
        <w:rPr>
          <w:bCs/>
          <w:iCs/>
          <w:sz w:val="20"/>
          <w:szCs w:val="20"/>
        </w:rPr>
        <w:t xml:space="preserve">. </w:t>
      </w:r>
    </w:p>
    <w:p w:rsidR="001C2B90" w:rsidRPr="00896310" w:rsidRDefault="001C2B90" w:rsidP="00896310">
      <w:pPr>
        <w:pStyle w:val="ListParagraph"/>
        <w:spacing w:before="0" w:after="0" w:line="14" w:lineRule="atLeast"/>
        <w:ind w:left="57"/>
        <w:rPr>
          <w:sz w:val="20"/>
          <w:szCs w:val="20"/>
        </w:rPr>
        <w:sectPr w:rsidR="001C2B90" w:rsidRPr="00896310" w:rsidSect="005957C9">
          <w:headerReference w:type="even" r:id="rId22"/>
          <w:headerReference w:type="default" r:id="rId23"/>
          <w:footerReference w:type="even" r:id="rId24"/>
          <w:footerReference w:type="default" r:id="rId25"/>
          <w:headerReference w:type="first" r:id="rId26"/>
          <w:pgSz w:w="16838" w:h="11906" w:orient="landscape" w:code="9"/>
          <w:pgMar w:top="720" w:right="720" w:bottom="720" w:left="720" w:header="709" w:footer="709" w:gutter="0"/>
          <w:pgNumType w:start="23"/>
          <w:cols w:space="708"/>
          <w:docGrid w:linePitch="360"/>
        </w:sectPr>
      </w:pPr>
      <w:r>
        <w:rPr>
          <w:rFonts w:cs="Arial"/>
          <w:i/>
          <w:iCs/>
          <w:sz w:val="20"/>
          <w:szCs w:val="20"/>
        </w:rPr>
        <w:t>The presentation of the Comprehensive Income and Expenditure Statement has been amended to include other adjustments within Other Comprehensive Income and Expenditure.</w:t>
      </w:r>
    </w:p>
    <w:p w:rsidR="00144349" w:rsidRPr="002F17B5" w:rsidRDefault="00144349" w:rsidP="002A57F2">
      <w:pPr>
        <w:pStyle w:val="Heading2"/>
        <w:tabs>
          <w:tab w:val="right" w:pos="10466"/>
        </w:tabs>
      </w:pPr>
      <w:r w:rsidRPr="002F17B5">
        <w:lastRenderedPageBreak/>
        <w:t>Balance sheet</w:t>
      </w:r>
      <w:r w:rsidR="002A57F2" w:rsidRPr="002F17B5">
        <w:tab/>
      </w:r>
    </w:p>
    <w:p w:rsidR="00C415D6" w:rsidRPr="002F17B5" w:rsidRDefault="00144349" w:rsidP="00144349">
      <w:r w:rsidRPr="002F17B5">
        <w:t xml:space="preserve">The balance sheet shows the </w:t>
      </w:r>
      <w:r w:rsidR="00C415D6" w:rsidRPr="002F17B5">
        <w:t>value as at the balance s</w:t>
      </w:r>
      <w:r w:rsidRPr="002F17B5">
        <w:t xml:space="preserve">heet date of assets and liabilities recognised by the county council. The net assets of the council (assets less liabilities) are matched by the reserves held by the council. </w:t>
      </w:r>
    </w:p>
    <w:p w:rsidR="00ED01E3" w:rsidRPr="002F17B5" w:rsidRDefault="00ED01E3" w:rsidP="00144349">
      <w:pPr>
        <w:rPr>
          <w:sz w:val="2"/>
        </w:rPr>
      </w:pPr>
    </w:p>
    <w:p w:rsidR="00C415D6" w:rsidRPr="002F17B5" w:rsidRDefault="00C415D6" w:rsidP="00144349">
      <w:pPr>
        <w:rPr>
          <w:sz w:val="2"/>
        </w:rPr>
      </w:pPr>
    </w:p>
    <w:p w:rsidR="00C415D6" w:rsidRPr="002F17B5" w:rsidRDefault="00144349" w:rsidP="00144349">
      <w:r w:rsidRPr="002F17B5">
        <w:t>Reserves are reported in two categories. The first category of reserves are usa</w:t>
      </w:r>
      <w:r w:rsidR="004623EC" w:rsidRPr="002F17B5">
        <w:t>ble reserves</w:t>
      </w:r>
      <w:r w:rsidRPr="002F17B5">
        <w:t xml:space="preserve"> </w:t>
      </w:r>
      <w:r w:rsidR="004623EC" w:rsidRPr="002F17B5">
        <w:t>(</w:t>
      </w:r>
      <w:r w:rsidR="00B8583B" w:rsidRPr="002F17B5">
        <w:t>i.e.</w:t>
      </w:r>
      <w:r w:rsidRPr="002F17B5">
        <w:t xml:space="preserve"> those reserves that the county council may use to provide services, subject to the need to maintain a prudent level of reserves and any statutory limitation on their use</w:t>
      </w:r>
      <w:r w:rsidR="004623EC" w:rsidRPr="002F17B5">
        <w:t>) An</w:t>
      </w:r>
      <w:r w:rsidRPr="002F17B5">
        <w:t xml:space="preserve"> example</w:t>
      </w:r>
      <w:r w:rsidR="004623EC" w:rsidRPr="002F17B5">
        <w:t xml:space="preserve"> of this is</w:t>
      </w:r>
      <w:r w:rsidRPr="002F17B5">
        <w:t xml:space="preserve"> the Capital Receipts Reserve</w:t>
      </w:r>
      <w:r w:rsidR="004623EC" w:rsidRPr="002F17B5">
        <w:t>,</w:t>
      </w:r>
      <w:r w:rsidRPr="002F17B5">
        <w:t xml:space="preserve"> that may only be used to fund ca</w:t>
      </w:r>
      <w:r w:rsidR="004623EC" w:rsidRPr="002F17B5">
        <w:t>pital expenditure or repay debt</w:t>
      </w:r>
      <w:r w:rsidRPr="002F17B5">
        <w:t xml:space="preserve">. </w:t>
      </w:r>
    </w:p>
    <w:p w:rsidR="00ED01E3" w:rsidRPr="002F17B5" w:rsidRDefault="00ED01E3" w:rsidP="00144349">
      <w:pPr>
        <w:rPr>
          <w:sz w:val="2"/>
        </w:rPr>
      </w:pPr>
    </w:p>
    <w:p w:rsidR="00C415D6" w:rsidRPr="002F17B5" w:rsidRDefault="00C415D6" w:rsidP="00144349">
      <w:pPr>
        <w:rPr>
          <w:sz w:val="2"/>
        </w:rPr>
      </w:pPr>
    </w:p>
    <w:p w:rsidR="00144349" w:rsidRPr="002F17B5" w:rsidRDefault="00144349" w:rsidP="00144349">
      <w:r w:rsidRPr="002F17B5">
        <w:t>The second category of reserves is those that the council is not able to use to provide services (unusable reserves). This category of reserves includes reserves that hold unrealised gains and losses</w:t>
      </w:r>
      <w:r w:rsidR="004623EC" w:rsidRPr="002F17B5">
        <w:t>,</w:t>
      </w:r>
      <w:r w:rsidRPr="002F17B5">
        <w:t xml:space="preserve"> for </w:t>
      </w:r>
      <w:r w:rsidR="004623EC" w:rsidRPr="002F17B5">
        <w:t>example the Revaluation Reserve</w:t>
      </w:r>
      <w:r w:rsidRPr="002F17B5">
        <w:t>, where amounts would only become available to provide services if the assets are sold; and reserves that hold timing differences shown in the Movement in Reserves Statement line 'Adjustments between accounting basis and funding basis under regulations'.</w:t>
      </w:r>
    </w:p>
    <w:p w:rsidR="00B14850" w:rsidRPr="002F17B5" w:rsidRDefault="00B14850">
      <w:pPr>
        <w:autoSpaceDE/>
        <w:autoSpaceDN/>
        <w:adjustRightInd/>
        <w:spacing w:after="20"/>
        <w:jc w:val="right"/>
      </w:pPr>
      <w:r w:rsidRPr="002F17B5">
        <w:br w:type="page"/>
      </w:r>
    </w:p>
    <w:tbl>
      <w:tblPr>
        <w:tblW w:w="10574" w:type="dxa"/>
        <w:tblInd w:w="108" w:type="dxa"/>
        <w:tblLook w:val="04A0" w:firstRow="1" w:lastRow="0" w:firstColumn="1" w:lastColumn="0" w:noHBand="0" w:noVBand="1"/>
      </w:tblPr>
      <w:tblGrid>
        <w:gridCol w:w="4253"/>
        <w:gridCol w:w="1559"/>
        <w:gridCol w:w="2268"/>
        <w:gridCol w:w="2494"/>
      </w:tblGrid>
      <w:tr w:rsidR="00B14850" w:rsidRPr="002F17B5" w:rsidTr="00B14850">
        <w:trPr>
          <w:trHeight w:val="255"/>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auto"/>
            <w:noWrap/>
            <w:vAlign w:val="bottom"/>
            <w:hideMark/>
          </w:tcPr>
          <w:p w:rsidR="00B14850" w:rsidRPr="002F17B5" w:rsidRDefault="00B14850" w:rsidP="00CA2D33">
            <w:pPr>
              <w:autoSpaceDE/>
              <w:autoSpaceDN/>
              <w:adjustRightInd/>
              <w:spacing w:before="0" w:after="0"/>
              <w:jc w:val="right"/>
              <w:rPr>
                <w:rFonts w:eastAsia="Times New Roman" w:cs="Arial"/>
                <w:b/>
                <w:bCs/>
                <w:lang w:eastAsia="en-GB"/>
              </w:rPr>
            </w:pPr>
            <w:r w:rsidRPr="002F17B5">
              <w:rPr>
                <w:rFonts w:eastAsia="Times New Roman" w:cs="Arial"/>
                <w:b/>
                <w:bCs/>
                <w:lang w:eastAsia="en-GB"/>
              </w:rPr>
              <w:t>Notes</w:t>
            </w:r>
          </w:p>
        </w:tc>
        <w:tc>
          <w:tcPr>
            <w:tcW w:w="2268" w:type="dxa"/>
            <w:tcBorders>
              <w:top w:val="nil"/>
              <w:left w:val="nil"/>
              <w:bottom w:val="nil"/>
              <w:right w:val="nil"/>
            </w:tcBorders>
            <w:shd w:val="clear" w:color="auto" w:fill="auto"/>
            <w:vAlign w:val="center"/>
            <w:hideMark/>
          </w:tcPr>
          <w:p w:rsidR="00B14850" w:rsidRPr="002F17B5" w:rsidRDefault="00B14850" w:rsidP="00B14850">
            <w:pPr>
              <w:autoSpaceDE/>
              <w:autoSpaceDN/>
              <w:adjustRightInd/>
              <w:spacing w:before="0" w:after="0"/>
              <w:jc w:val="center"/>
              <w:rPr>
                <w:rFonts w:eastAsia="Times New Roman" w:cs="Arial"/>
                <w:b/>
                <w:bCs/>
                <w:lang w:eastAsia="en-GB"/>
              </w:rPr>
            </w:pPr>
            <w:r w:rsidRPr="002F17B5">
              <w:rPr>
                <w:rFonts w:eastAsia="Times New Roman" w:cs="Arial"/>
                <w:b/>
                <w:bCs/>
                <w:lang w:eastAsia="en-GB"/>
              </w:rPr>
              <w:t>31 March 2014</w:t>
            </w:r>
          </w:p>
        </w:tc>
        <w:tc>
          <w:tcPr>
            <w:tcW w:w="2494" w:type="dxa"/>
            <w:tcBorders>
              <w:top w:val="nil"/>
              <w:left w:val="nil"/>
              <w:bottom w:val="nil"/>
              <w:right w:val="nil"/>
            </w:tcBorders>
            <w:shd w:val="clear" w:color="auto" w:fill="auto"/>
            <w:vAlign w:val="center"/>
            <w:hideMark/>
          </w:tcPr>
          <w:p w:rsidR="00B14850" w:rsidRPr="002F17B5" w:rsidRDefault="00B14850" w:rsidP="00B14850">
            <w:pPr>
              <w:autoSpaceDE/>
              <w:autoSpaceDN/>
              <w:adjustRightInd/>
              <w:spacing w:before="0" w:after="0"/>
              <w:jc w:val="center"/>
              <w:rPr>
                <w:rFonts w:eastAsia="Times New Roman" w:cs="Arial"/>
                <w:b/>
                <w:bCs/>
                <w:lang w:eastAsia="en-GB"/>
              </w:rPr>
            </w:pPr>
            <w:r w:rsidRPr="002F17B5">
              <w:rPr>
                <w:rFonts w:eastAsia="Times New Roman" w:cs="Arial"/>
                <w:b/>
                <w:bCs/>
                <w:lang w:eastAsia="en-GB"/>
              </w:rPr>
              <w:t>31 March 2013</w:t>
            </w:r>
          </w:p>
        </w:tc>
      </w:tr>
      <w:tr w:rsidR="00B14850" w:rsidRPr="002F17B5" w:rsidTr="00B14850">
        <w:trPr>
          <w:trHeight w:val="255"/>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center"/>
              <w:rPr>
                <w:rFonts w:eastAsia="Times New Roman" w:cs="Arial"/>
                <w:b/>
                <w:bCs/>
                <w:lang w:eastAsia="en-GB"/>
              </w:rPr>
            </w:pPr>
          </w:p>
        </w:tc>
        <w:tc>
          <w:tcPr>
            <w:tcW w:w="1559"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center"/>
              <w:rPr>
                <w:rFonts w:eastAsia="Times New Roman" w:cs="Arial"/>
                <w:b/>
                <w:bCs/>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B14850">
            <w:pPr>
              <w:tabs>
                <w:tab w:val="left" w:pos="1701"/>
              </w:tabs>
              <w:autoSpaceDE/>
              <w:autoSpaceDN/>
              <w:adjustRightInd/>
              <w:spacing w:before="0" w:after="0"/>
              <w:ind w:right="459"/>
              <w:jc w:val="right"/>
              <w:rPr>
                <w:rFonts w:eastAsia="Times New Roman" w:cs="Arial"/>
                <w:b/>
                <w:bCs/>
                <w:lang w:eastAsia="en-GB"/>
              </w:rPr>
            </w:pPr>
            <w:r w:rsidRPr="002F17B5">
              <w:rPr>
                <w:rFonts w:eastAsia="Times New Roman" w:cs="Arial"/>
                <w:b/>
                <w:bCs/>
                <w:lang w:eastAsia="en-GB"/>
              </w:rPr>
              <w:t>£m</w:t>
            </w:r>
          </w:p>
        </w:tc>
        <w:tc>
          <w:tcPr>
            <w:tcW w:w="2494"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ind w:right="543"/>
              <w:jc w:val="right"/>
              <w:rPr>
                <w:rFonts w:eastAsia="Times New Roman" w:cs="Arial"/>
                <w:b/>
                <w:bCs/>
                <w:lang w:eastAsia="en-GB"/>
              </w:rPr>
            </w:pPr>
            <w:r w:rsidRPr="002F17B5">
              <w:rPr>
                <w:rFonts w:eastAsia="Times New Roman" w:cs="Arial"/>
                <w:b/>
                <w:bCs/>
                <w:lang w:eastAsia="en-GB"/>
              </w:rPr>
              <w:t>£m</w:t>
            </w:r>
          </w:p>
        </w:tc>
      </w:tr>
      <w:tr w:rsidR="00B14850" w:rsidRPr="002F17B5" w:rsidTr="00B14850">
        <w:trPr>
          <w:trHeight w:val="255"/>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center"/>
              <w:rPr>
                <w:rFonts w:eastAsia="Times New Roman" w:cs="Arial"/>
                <w:b/>
                <w:bCs/>
                <w:lang w:eastAsia="en-GB"/>
              </w:rPr>
            </w:pPr>
          </w:p>
        </w:tc>
        <w:tc>
          <w:tcPr>
            <w:tcW w:w="1559"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center"/>
              <w:rPr>
                <w:rFonts w:eastAsia="Times New Roman" w:cs="Arial"/>
                <w:b/>
                <w:bCs/>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B14850">
            <w:pPr>
              <w:tabs>
                <w:tab w:val="left" w:pos="1701"/>
              </w:tabs>
              <w:autoSpaceDE/>
              <w:autoSpaceDN/>
              <w:adjustRightInd/>
              <w:spacing w:before="0" w:after="0"/>
              <w:ind w:right="459"/>
              <w:jc w:val="right"/>
              <w:rPr>
                <w:rFonts w:eastAsia="Times New Roman" w:cs="Arial"/>
                <w:b/>
                <w:bCs/>
                <w:lang w:eastAsia="en-GB"/>
              </w:rPr>
            </w:pPr>
          </w:p>
        </w:tc>
        <w:tc>
          <w:tcPr>
            <w:tcW w:w="2494"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ind w:right="543"/>
              <w:jc w:val="right"/>
              <w:rPr>
                <w:rFonts w:eastAsia="Times New Roman" w:cs="Arial"/>
                <w:b/>
                <w:bCs/>
                <w:lang w:eastAsia="en-GB"/>
              </w:rPr>
            </w:pP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Property Plant and Equipment</w:t>
            </w:r>
          </w:p>
        </w:tc>
        <w:tc>
          <w:tcPr>
            <w:tcW w:w="1559" w:type="dxa"/>
            <w:tcBorders>
              <w:top w:val="nil"/>
              <w:left w:val="nil"/>
              <w:bottom w:val="nil"/>
              <w:right w:val="nil"/>
            </w:tcBorders>
            <w:shd w:val="clear" w:color="auto" w:fill="auto"/>
            <w:noWrap/>
            <w:vAlign w:val="bottom"/>
            <w:hideMark/>
          </w:tcPr>
          <w:p w:rsidR="001D73DF" w:rsidRPr="002F17B5" w:rsidRDefault="00B14850" w:rsidP="00C63CEE">
            <w:pPr>
              <w:autoSpaceDE/>
              <w:autoSpaceDN/>
              <w:adjustRightInd/>
              <w:spacing w:before="0" w:after="0"/>
              <w:jc w:val="right"/>
              <w:rPr>
                <w:rFonts w:eastAsia="Times New Roman" w:cs="Arial"/>
                <w:lang w:eastAsia="en-GB"/>
              </w:rPr>
            </w:pPr>
            <w:r w:rsidRPr="002F17B5">
              <w:rPr>
                <w:rFonts w:eastAsia="Times New Roman" w:cs="Arial"/>
                <w:lang w:eastAsia="en-GB"/>
              </w:rPr>
              <w:t>2</w:t>
            </w:r>
            <w:r w:rsidR="001A7773">
              <w:rPr>
                <w:rFonts w:eastAsia="Times New Roman" w:cs="Arial"/>
                <w:lang w:eastAsia="en-GB"/>
              </w:rPr>
              <w:t>2</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2,640.0</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2,612.4</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Heritage Assets</w:t>
            </w:r>
          </w:p>
        </w:tc>
        <w:tc>
          <w:tcPr>
            <w:tcW w:w="1559" w:type="dxa"/>
            <w:tcBorders>
              <w:top w:val="nil"/>
              <w:left w:val="nil"/>
              <w:bottom w:val="nil"/>
              <w:right w:val="nil"/>
            </w:tcBorders>
            <w:shd w:val="clear" w:color="auto" w:fill="auto"/>
            <w:noWrap/>
            <w:vAlign w:val="bottom"/>
            <w:hideMark/>
          </w:tcPr>
          <w:p w:rsidR="001D73DF" w:rsidRPr="002F17B5" w:rsidRDefault="001D73DF" w:rsidP="00451658">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28.4</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28.4</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Investment Property</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2.7</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5.3</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Intangible Assets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23.2</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17.5</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Assets Held for Sale</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0.1</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0.0</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Long Term Investment</w:t>
            </w:r>
          </w:p>
        </w:tc>
        <w:tc>
          <w:tcPr>
            <w:tcW w:w="1559" w:type="dxa"/>
            <w:tcBorders>
              <w:top w:val="nil"/>
              <w:left w:val="nil"/>
              <w:bottom w:val="nil"/>
              <w:right w:val="nil"/>
            </w:tcBorders>
            <w:shd w:val="clear" w:color="auto" w:fill="auto"/>
            <w:noWrap/>
            <w:vAlign w:val="bottom"/>
            <w:hideMark/>
          </w:tcPr>
          <w:p w:rsidR="001D73DF" w:rsidRPr="002F17B5" w:rsidRDefault="00C63CEE">
            <w:pPr>
              <w:autoSpaceDE/>
              <w:autoSpaceDN/>
              <w:adjustRightInd/>
              <w:spacing w:before="0" w:after="0"/>
              <w:jc w:val="right"/>
              <w:rPr>
                <w:rFonts w:eastAsia="Times New Roman" w:cs="Arial"/>
                <w:lang w:eastAsia="en-GB"/>
              </w:rPr>
            </w:pPr>
            <w:r w:rsidRPr="002F17B5">
              <w:rPr>
                <w:rFonts w:eastAsia="Times New Roman" w:cs="Arial"/>
                <w:lang w:eastAsia="en-GB"/>
              </w:rPr>
              <w:t>2</w:t>
            </w:r>
            <w:r w:rsidR="001A7773">
              <w:rPr>
                <w:rFonts w:eastAsia="Times New Roman" w:cs="Arial"/>
                <w:lang w:eastAsia="en-GB"/>
              </w:rPr>
              <w:t>3</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48</w:t>
            </w:r>
            <w:r w:rsidR="006051B7" w:rsidRPr="002F17B5">
              <w:rPr>
                <w:rFonts w:eastAsia="Times New Roman" w:cs="Arial"/>
                <w:lang w:eastAsia="en-GB"/>
              </w:rPr>
              <w:t>7.9</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268.2</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Long Term Debtors</w:t>
            </w:r>
          </w:p>
        </w:tc>
        <w:tc>
          <w:tcPr>
            <w:tcW w:w="1559" w:type="dxa"/>
            <w:tcBorders>
              <w:top w:val="nil"/>
              <w:left w:val="nil"/>
              <w:bottom w:val="nil"/>
              <w:right w:val="nil"/>
            </w:tcBorders>
            <w:shd w:val="clear" w:color="auto" w:fill="auto"/>
            <w:noWrap/>
            <w:vAlign w:val="bottom"/>
            <w:hideMark/>
          </w:tcPr>
          <w:p w:rsidR="001D73DF" w:rsidRPr="002F17B5" w:rsidRDefault="00C63CEE">
            <w:pPr>
              <w:autoSpaceDE/>
              <w:autoSpaceDN/>
              <w:adjustRightInd/>
              <w:spacing w:before="0" w:after="0"/>
              <w:jc w:val="right"/>
              <w:rPr>
                <w:rFonts w:eastAsia="Times New Roman" w:cs="Arial"/>
                <w:lang w:eastAsia="en-GB"/>
              </w:rPr>
            </w:pPr>
            <w:r w:rsidRPr="002F17B5">
              <w:rPr>
                <w:rFonts w:eastAsia="Times New Roman" w:cs="Arial"/>
                <w:lang w:eastAsia="en-GB"/>
              </w:rPr>
              <w:t>3</w:t>
            </w:r>
            <w:r w:rsidR="001A7773">
              <w:rPr>
                <w:rFonts w:eastAsia="Times New Roman" w:cs="Arial"/>
                <w:lang w:eastAsia="en-GB"/>
              </w:rPr>
              <w:t>4</w:t>
            </w:r>
          </w:p>
        </w:tc>
        <w:tc>
          <w:tcPr>
            <w:tcW w:w="2268" w:type="dxa"/>
            <w:tcBorders>
              <w:top w:val="nil"/>
              <w:left w:val="nil"/>
              <w:bottom w:val="single" w:sz="4" w:space="0" w:color="auto"/>
              <w:right w:val="nil"/>
            </w:tcBorders>
            <w:shd w:val="clear" w:color="auto" w:fill="auto"/>
            <w:noWrap/>
            <w:vAlign w:val="bottom"/>
            <w:hideMark/>
          </w:tcPr>
          <w:p w:rsidR="00B14850" w:rsidRPr="002F17B5" w:rsidRDefault="006051B7"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41.1</w:t>
            </w:r>
          </w:p>
        </w:tc>
        <w:tc>
          <w:tcPr>
            <w:tcW w:w="2494" w:type="dxa"/>
            <w:tcBorders>
              <w:top w:val="nil"/>
              <w:left w:val="nil"/>
              <w:bottom w:val="single" w:sz="4" w:space="0" w:color="auto"/>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43.1</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b/>
                <w:bCs/>
                <w:lang w:eastAsia="en-GB"/>
              </w:rPr>
            </w:pPr>
            <w:r w:rsidRPr="002F17B5">
              <w:rPr>
                <w:rFonts w:eastAsia="Times New Roman" w:cs="Arial"/>
                <w:b/>
                <w:bCs/>
                <w:lang w:eastAsia="en-GB"/>
              </w:rPr>
              <w:t>Long Term Assets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b/>
                <w:bCs/>
                <w:lang w:eastAsia="en-GB"/>
              </w:rPr>
            </w:pPr>
          </w:p>
        </w:tc>
        <w:tc>
          <w:tcPr>
            <w:tcW w:w="2268" w:type="dxa"/>
            <w:tcBorders>
              <w:top w:val="single" w:sz="4" w:space="0" w:color="auto"/>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b/>
                <w:bCs/>
                <w:lang w:eastAsia="en-GB"/>
              </w:rPr>
            </w:pPr>
            <w:r w:rsidRPr="002F17B5">
              <w:rPr>
                <w:rFonts w:eastAsia="Times New Roman" w:cs="Arial"/>
                <w:b/>
                <w:bCs/>
                <w:lang w:eastAsia="en-GB"/>
              </w:rPr>
              <w:t>3,223.4</w:t>
            </w:r>
          </w:p>
        </w:tc>
        <w:tc>
          <w:tcPr>
            <w:tcW w:w="2494" w:type="dxa"/>
            <w:tcBorders>
              <w:top w:val="single" w:sz="4" w:space="0" w:color="auto"/>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b/>
                <w:bCs/>
                <w:lang w:eastAsia="en-GB"/>
              </w:rPr>
            </w:pPr>
            <w:r w:rsidRPr="002F17B5">
              <w:rPr>
                <w:rFonts w:eastAsia="Times New Roman" w:cs="Arial"/>
                <w:b/>
                <w:bCs/>
                <w:lang w:eastAsia="en-GB"/>
              </w:rPr>
              <w:t>2,974.9</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Short Term Investments</w:t>
            </w:r>
          </w:p>
        </w:tc>
        <w:tc>
          <w:tcPr>
            <w:tcW w:w="1559" w:type="dxa"/>
            <w:tcBorders>
              <w:top w:val="nil"/>
              <w:left w:val="nil"/>
              <w:bottom w:val="nil"/>
              <w:right w:val="nil"/>
            </w:tcBorders>
            <w:shd w:val="clear" w:color="auto" w:fill="auto"/>
            <w:noWrap/>
            <w:vAlign w:val="bottom"/>
            <w:hideMark/>
          </w:tcPr>
          <w:p w:rsidR="001D73DF" w:rsidRPr="002F17B5" w:rsidRDefault="00C63CEE">
            <w:pPr>
              <w:autoSpaceDE/>
              <w:autoSpaceDN/>
              <w:adjustRightInd/>
              <w:spacing w:before="0" w:after="0"/>
              <w:jc w:val="right"/>
              <w:rPr>
                <w:rFonts w:eastAsia="Times New Roman" w:cs="Arial"/>
                <w:lang w:eastAsia="en-GB"/>
              </w:rPr>
            </w:pPr>
            <w:r w:rsidRPr="002F17B5">
              <w:rPr>
                <w:rFonts w:eastAsia="Times New Roman" w:cs="Arial"/>
                <w:lang w:eastAsia="en-GB"/>
              </w:rPr>
              <w:t>2</w:t>
            </w:r>
            <w:r w:rsidR="001A7773">
              <w:rPr>
                <w:rFonts w:eastAsia="Times New Roman" w:cs="Arial"/>
                <w:lang w:eastAsia="en-GB"/>
              </w:rPr>
              <w:t>3</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24.7</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258.9</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Inventories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3.1</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2.6</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Short term Debtors</w:t>
            </w:r>
          </w:p>
        </w:tc>
        <w:tc>
          <w:tcPr>
            <w:tcW w:w="1559" w:type="dxa"/>
            <w:tcBorders>
              <w:top w:val="nil"/>
              <w:left w:val="nil"/>
              <w:bottom w:val="nil"/>
              <w:right w:val="nil"/>
            </w:tcBorders>
            <w:shd w:val="clear" w:color="auto" w:fill="auto"/>
            <w:noWrap/>
            <w:vAlign w:val="bottom"/>
            <w:hideMark/>
          </w:tcPr>
          <w:p w:rsidR="001D73DF" w:rsidRPr="002F17B5" w:rsidRDefault="0025796E">
            <w:pPr>
              <w:autoSpaceDE/>
              <w:autoSpaceDN/>
              <w:adjustRightInd/>
              <w:spacing w:before="0" w:after="0"/>
              <w:jc w:val="right"/>
              <w:rPr>
                <w:rFonts w:eastAsia="Times New Roman" w:cs="Arial"/>
                <w:lang w:eastAsia="en-GB"/>
              </w:rPr>
            </w:pPr>
            <w:r w:rsidRPr="002F17B5">
              <w:rPr>
                <w:rFonts w:eastAsia="Times New Roman" w:cs="Arial"/>
                <w:lang w:eastAsia="en-GB"/>
              </w:rPr>
              <w:t>2</w:t>
            </w:r>
            <w:r w:rsidR="001A7773">
              <w:rPr>
                <w:rFonts w:eastAsia="Times New Roman" w:cs="Arial"/>
                <w:lang w:eastAsia="en-GB"/>
              </w:rPr>
              <w:t>8</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109.9</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128.9</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Payments in Advance</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16.0</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7.1</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Cash and Cash Equivalents</w:t>
            </w:r>
          </w:p>
        </w:tc>
        <w:tc>
          <w:tcPr>
            <w:tcW w:w="1559" w:type="dxa"/>
            <w:tcBorders>
              <w:top w:val="nil"/>
              <w:left w:val="nil"/>
              <w:bottom w:val="nil"/>
              <w:right w:val="nil"/>
            </w:tcBorders>
            <w:shd w:val="clear" w:color="auto" w:fill="auto"/>
            <w:noWrap/>
            <w:vAlign w:val="bottom"/>
            <w:hideMark/>
          </w:tcPr>
          <w:p w:rsidR="001D73DF" w:rsidRPr="002F17B5" w:rsidRDefault="0025796E" w:rsidP="0025796E">
            <w:pPr>
              <w:autoSpaceDE/>
              <w:autoSpaceDN/>
              <w:adjustRightInd/>
              <w:spacing w:before="0" w:after="0"/>
              <w:jc w:val="center"/>
              <w:rPr>
                <w:rFonts w:eastAsia="Times New Roman" w:cs="Arial"/>
                <w:lang w:eastAsia="en-GB"/>
              </w:rPr>
            </w:pPr>
            <w:r w:rsidRPr="002F17B5">
              <w:rPr>
                <w:rFonts w:eastAsia="Times New Roman" w:cs="Arial"/>
                <w:lang w:eastAsia="en-GB"/>
              </w:rPr>
              <w:t xml:space="preserve">                3</w:t>
            </w:r>
            <w:r w:rsidR="001A7773">
              <w:rPr>
                <w:rFonts w:eastAsia="Times New Roman" w:cs="Arial"/>
                <w:lang w:eastAsia="en-GB"/>
              </w:rPr>
              <w:t>0</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91.4</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65.6</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Assets Held for Sale</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single" w:sz="4" w:space="0" w:color="auto"/>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9.3</w:t>
            </w:r>
          </w:p>
        </w:tc>
        <w:tc>
          <w:tcPr>
            <w:tcW w:w="2494" w:type="dxa"/>
            <w:tcBorders>
              <w:top w:val="nil"/>
              <w:left w:val="nil"/>
              <w:bottom w:val="single" w:sz="4" w:space="0" w:color="auto"/>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4.0</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b/>
                <w:bCs/>
                <w:lang w:eastAsia="en-GB"/>
              </w:rPr>
            </w:pPr>
            <w:r w:rsidRPr="002F17B5">
              <w:rPr>
                <w:rFonts w:eastAsia="Times New Roman" w:cs="Arial"/>
                <w:b/>
                <w:bCs/>
                <w:lang w:eastAsia="en-GB"/>
              </w:rPr>
              <w:t>Current Assets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b/>
                <w:bCs/>
                <w:lang w:eastAsia="en-GB"/>
              </w:rPr>
            </w:pPr>
          </w:p>
        </w:tc>
        <w:tc>
          <w:tcPr>
            <w:tcW w:w="2268" w:type="dxa"/>
            <w:tcBorders>
              <w:top w:val="single" w:sz="4" w:space="0" w:color="auto"/>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b/>
                <w:bCs/>
                <w:lang w:eastAsia="en-GB"/>
              </w:rPr>
            </w:pPr>
            <w:r w:rsidRPr="002F17B5">
              <w:rPr>
                <w:rFonts w:eastAsia="Times New Roman" w:cs="Arial"/>
                <w:b/>
                <w:bCs/>
                <w:lang w:eastAsia="en-GB"/>
              </w:rPr>
              <w:t>254.4</w:t>
            </w:r>
          </w:p>
        </w:tc>
        <w:tc>
          <w:tcPr>
            <w:tcW w:w="2494" w:type="dxa"/>
            <w:tcBorders>
              <w:top w:val="single" w:sz="4" w:space="0" w:color="auto"/>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b/>
                <w:bCs/>
                <w:lang w:eastAsia="en-GB"/>
              </w:rPr>
            </w:pPr>
            <w:r w:rsidRPr="002F17B5">
              <w:rPr>
                <w:rFonts w:eastAsia="Times New Roman" w:cs="Arial"/>
                <w:b/>
                <w:bCs/>
                <w:lang w:eastAsia="en-GB"/>
              </w:rPr>
              <w:t>467.1</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b/>
                <w:bCs/>
                <w:lang w:eastAsia="en-GB"/>
              </w:rPr>
            </w:pP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Short Term Borrowing</w:t>
            </w:r>
          </w:p>
        </w:tc>
        <w:tc>
          <w:tcPr>
            <w:tcW w:w="1559" w:type="dxa"/>
            <w:tcBorders>
              <w:top w:val="nil"/>
              <w:left w:val="nil"/>
              <w:bottom w:val="nil"/>
              <w:right w:val="nil"/>
            </w:tcBorders>
            <w:shd w:val="clear" w:color="auto" w:fill="auto"/>
            <w:noWrap/>
            <w:vAlign w:val="bottom"/>
            <w:hideMark/>
          </w:tcPr>
          <w:p w:rsidR="001D73DF" w:rsidRPr="002F17B5" w:rsidRDefault="0025796E">
            <w:pPr>
              <w:autoSpaceDE/>
              <w:autoSpaceDN/>
              <w:adjustRightInd/>
              <w:spacing w:before="0" w:after="0"/>
              <w:jc w:val="right"/>
              <w:rPr>
                <w:rFonts w:eastAsia="Times New Roman" w:cs="Arial"/>
                <w:lang w:eastAsia="en-GB"/>
              </w:rPr>
            </w:pPr>
            <w:r w:rsidRPr="002F17B5">
              <w:rPr>
                <w:rFonts w:eastAsia="Times New Roman" w:cs="Arial"/>
                <w:lang w:eastAsia="en-GB"/>
              </w:rPr>
              <w:t>2</w:t>
            </w:r>
            <w:r w:rsidR="001A7773">
              <w:rPr>
                <w:rFonts w:eastAsia="Times New Roman" w:cs="Arial"/>
                <w:lang w:eastAsia="en-GB"/>
              </w:rPr>
              <w:t>3</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384.0</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264.7</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Short Term Creditors</w:t>
            </w:r>
          </w:p>
        </w:tc>
        <w:tc>
          <w:tcPr>
            <w:tcW w:w="1559" w:type="dxa"/>
            <w:tcBorders>
              <w:top w:val="nil"/>
              <w:left w:val="nil"/>
              <w:bottom w:val="nil"/>
              <w:right w:val="nil"/>
            </w:tcBorders>
            <w:shd w:val="clear" w:color="auto" w:fill="auto"/>
            <w:noWrap/>
            <w:vAlign w:val="bottom"/>
            <w:hideMark/>
          </w:tcPr>
          <w:p w:rsidR="001D73DF" w:rsidRPr="002F17B5" w:rsidRDefault="001A7773">
            <w:pPr>
              <w:autoSpaceDE/>
              <w:autoSpaceDN/>
              <w:adjustRightInd/>
              <w:spacing w:before="0" w:after="0"/>
              <w:jc w:val="right"/>
              <w:rPr>
                <w:rFonts w:eastAsia="Times New Roman" w:cs="Arial"/>
                <w:lang w:eastAsia="en-GB"/>
              </w:rPr>
            </w:pPr>
            <w:r>
              <w:rPr>
                <w:rFonts w:eastAsia="Times New Roman" w:cs="Arial"/>
                <w:lang w:eastAsia="en-GB"/>
              </w:rPr>
              <w:t>29</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211.1</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260.8</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Receipts in Advance</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8.3</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8.3</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Short Term Provisions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8.1</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4.7</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Other Current Liabilities</w:t>
            </w:r>
          </w:p>
        </w:tc>
        <w:tc>
          <w:tcPr>
            <w:tcW w:w="1559" w:type="dxa"/>
            <w:tcBorders>
              <w:top w:val="nil"/>
              <w:left w:val="nil"/>
              <w:bottom w:val="nil"/>
              <w:right w:val="nil"/>
            </w:tcBorders>
            <w:shd w:val="clear" w:color="auto" w:fill="auto"/>
            <w:noWrap/>
            <w:vAlign w:val="bottom"/>
            <w:hideMark/>
          </w:tcPr>
          <w:p w:rsidR="001D73DF" w:rsidRPr="002F17B5" w:rsidRDefault="00345281">
            <w:pPr>
              <w:autoSpaceDE/>
              <w:autoSpaceDN/>
              <w:adjustRightInd/>
              <w:spacing w:before="0" w:after="0"/>
              <w:jc w:val="right"/>
              <w:rPr>
                <w:rFonts w:eastAsia="Times New Roman" w:cs="Arial"/>
                <w:lang w:eastAsia="en-GB"/>
              </w:rPr>
            </w:pPr>
            <w:r w:rsidRPr="002F17B5">
              <w:rPr>
                <w:rFonts w:eastAsia="Times New Roman" w:cs="Arial"/>
                <w:lang w:eastAsia="en-GB"/>
              </w:rPr>
              <w:t>2</w:t>
            </w:r>
            <w:r w:rsidR="001A7773">
              <w:rPr>
                <w:rFonts w:eastAsia="Times New Roman" w:cs="Arial"/>
                <w:lang w:eastAsia="en-GB"/>
              </w:rPr>
              <w:t>3</w:t>
            </w:r>
          </w:p>
        </w:tc>
        <w:tc>
          <w:tcPr>
            <w:tcW w:w="2268" w:type="dxa"/>
            <w:tcBorders>
              <w:top w:val="nil"/>
              <w:left w:val="nil"/>
              <w:bottom w:val="single" w:sz="4" w:space="0" w:color="auto"/>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7.5</w:t>
            </w:r>
          </w:p>
        </w:tc>
        <w:tc>
          <w:tcPr>
            <w:tcW w:w="2494" w:type="dxa"/>
            <w:tcBorders>
              <w:top w:val="nil"/>
              <w:left w:val="nil"/>
              <w:bottom w:val="single" w:sz="4" w:space="0" w:color="auto"/>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7.6</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b/>
                <w:bCs/>
                <w:lang w:eastAsia="en-GB"/>
              </w:rPr>
            </w:pPr>
            <w:r w:rsidRPr="002F17B5">
              <w:rPr>
                <w:rFonts w:eastAsia="Times New Roman" w:cs="Arial"/>
                <w:b/>
                <w:bCs/>
                <w:lang w:eastAsia="en-GB"/>
              </w:rPr>
              <w:t>Current Liabilities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b/>
                <w:bCs/>
                <w:lang w:eastAsia="en-GB"/>
              </w:rPr>
            </w:pPr>
          </w:p>
        </w:tc>
        <w:tc>
          <w:tcPr>
            <w:tcW w:w="2268" w:type="dxa"/>
            <w:tcBorders>
              <w:top w:val="single" w:sz="4" w:space="0" w:color="auto"/>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b/>
                <w:bCs/>
                <w:lang w:eastAsia="en-GB"/>
              </w:rPr>
            </w:pPr>
            <w:r w:rsidRPr="002F17B5">
              <w:rPr>
                <w:rFonts w:eastAsia="Times New Roman" w:cs="Arial"/>
                <w:b/>
                <w:bCs/>
                <w:lang w:eastAsia="en-GB"/>
              </w:rPr>
              <w:t>619.0</w:t>
            </w:r>
          </w:p>
        </w:tc>
        <w:tc>
          <w:tcPr>
            <w:tcW w:w="2494" w:type="dxa"/>
            <w:tcBorders>
              <w:top w:val="single" w:sz="4" w:space="0" w:color="auto"/>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b/>
                <w:bCs/>
                <w:lang w:eastAsia="en-GB"/>
              </w:rPr>
            </w:pPr>
            <w:r w:rsidRPr="002F17B5">
              <w:rPr>
                <w:rFonts w:eastAsia="Times New Roman" w:cs="Arial"/>
                <w:b/>
                <w:bCs/>
                <w:lang w:eastAsia="en-GB"/>
              </w:rPr>
              <w:t>546.1</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Long Term Provisions</w:t>
            </w:r>
          </w:p>
        </w:tc>
        <w:tc>
          <w:tcPr>
            <w:tcW w:w="1559" w:type="dxa"/>
            <w:tcBorders>
              <w:top w:val="nil"/>
              <w:left w:val="nil"/>
              <w:bottom w:val="nil"/>
              <w:right w:val="nil"/>
            </w:tcBorders>
            <w:shd w:val="clear" w:color="auto" w:fill="auto"/>
            <w:noWrap/>
            <w:vAlign w:val="bottom"/>
            <w:hideMark/>
          </w:tcPr>
          <w:p w:rsidR="001D73DF" w:rsidRPr="002F17B5" w:rsidRDefault="00FB5ABF">
            <w:pPr>
              <w:autoSpaceDE/>
              <w:autoSpaceDN/>
              <w:adjustRightInd/>
              <w:spacing w:before="0" w:after="0"/>
              <w:jc w:val="right"/>
              <w:rPr>
                <w:rFonts w:eastAsia="Times New Roman" w:cs="Arial"/>
                <w:lang w:eastAsia="en-GB"/>
              </w:rPr>
            </w:pPr>
            <w:r w:rsidRPr="002F17B5">
              <w:rPr>
                <w:rFonts w:eastAsia="Times New Roman" w:cs="Arial"/>
                <w:lang w:eastAsia="en-GB"/>
              </w:rPr>
              <w:t>3</w:t>
            </w:r>
            <w:r w:rsidR="001A7773">
              <w:rPr>
                <w:rFonts w:eastAsia="Times New Roman" w:cs="Arial"/>
                <w:lang w:eastAsia="en-GB"/>
              </w:rPr>
              <w:t>1</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18.8</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21.2</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Long term Borrowing</w:t>
            </w:r>
          </w:p>
        </w:tc>
        <w:tc>
          <w:tcPr>
            <w:tcW w:w="1559" w:type="dxa"/>
            <w:tcBorders>
              <w:top w:val="nil"/>
              <w:left w:val="nil"/>
              <w:bottom w:val="nil"/>
              <w:right w:val="nil"/>
            </w:tcBorders>
            <w:shd w:val="clear" w:color="auto" w:fill="auto"/>
            <w:noWrap/>
            <w:vAlign w:val="bottom"/>
            <w:hideMark/>
          </w:tcPr>
          <w:p w:rsidR="001D73DF" w:rsidRPr="002F17B5" w:rsidRDefault="00FB5ABF">
            <w:pPr>
              <w:autoSpaceDE/>
              <w:autoSpaceDN/>
              <w:adjustRightInd/>
              <w:spacing w:before="0" w:after="0"/>
              <w:jc w:val="right"/>
              <w:rPr>
                <w:rFonts w:eastAsia="Times New Roman" w:cs="Arial"/>
                <w:lang w:eastAsia="en-GB"/>
              </w:rPr>
            </w:pPr>
            <w:r w:rsidRPr="002F17B5">
              <w:rPr>
                <w:rFonts w:eastAsia="Times New Roman" w:cs="Arial"/>
                <w:lang w:eastAsia="en-GB"/>
              </w:rPr>
              <w:t>2</w:t>
            </w:r>
            <w:r w:rsidR="001A7773">
              <w:rPr>
                <w:rFonts w:eastAsia="Times New Roman" w:cs="Arial"/>
                <w:lang w:eastAsia="en-GB"/>
              </w:rPr>
              <w:t>3</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436.1</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480.6</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Other Long Term Liabilities</w:t>
            </w:r>
          </w:p>
        </w:tc>
        <w:tc>
          <w:tcPr>
            <w:tcW w:w="1559" w:type="dxa"/>
            <w:tcBorders>
              <w:top w:val="nil"/>
              <w:left w:val="nil"/>
              <w:bottom w:val="nil"/>
              <w:right w:val="nil"/>
            </w:tcBorders>
            <w:shd w:val="clear" w:color="auto" w:fill="auto"/>
            <w:noWrap/>
            <w:vAlign w:val="bottom"/>
            <w:hideMark/>
          </w:tcPr>
          <w:p w:rsidR="001D73DF" w:rsidRPr="002F17B5" w:rsidRDefault="00EC724B" w:rsidP="00021105">
            <w:pPr>
              <w:autoSpaceDE/>
              <w:autoSpaceDN/>
              <w:adjustRightInd/>
              <w:spacing w:before="0" w:after="0"/>
              <w:jc w:val="right"/>
              <w:rPr>
                <w:rFonts w:eastAsia="Times New Roman" w:cs="Arial"/>
                <w:lang w:eastAsia="en-GB"/>
              </w:rPr>
            </w:pPr>
            <w:r w:rsidRPr="002F17B5">
              <w:rPr>
                <w:rFonts w:eastAsia="Times New Roman" w:cs="Arial"/>
                <w:lang w:eastAsia="en-GB"/>
              </w:rPr>
              <w:t>2</w:t>
            </w:r>
            <w:r w:rsidR="001A7773">
              <w:rPr>
                <w:rFonts w:eastAsia="Times New Roman" w:cs="Arial"/>
                <w:lang w:eastAsia="en-GB"/>
              </w:rPr>
              <w:t>3</w:t>
            </w:r>
            <w:r w:rsidRPr="002F17B5">
              <w:rPr>
                <w:rFonts w:eastAsia="Times New Roman" w:cs="Arial"/>
                <w:lang w:eastAsia="en-GB"/>
              </w:rPr>
              <w:t>, 4</w:t>
            </w:r>
            <w:r w:rsidR="00021105">
              <w:rPr>
                <w:rFonts w:eastAsia="Times New Roman" w:cs="Arial"/>
                <w:lang w:eastAsia="en-GB"/>
              </w:rPr>
              <w:t>0</w:t>
            </w:r>
          </w:p>
        </w:tc>
        <w:tc>
          <w:tcPr>
            <w:tcW w:w="2268" w:type="dxa"/>
            <w:tcBorders>
              <w:top w:val="nil"/>
              <w:left w:val="nil"/>
              <w:bottom w:val="single" w:sz="4" w:space="0" w:color="auto"/>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1,300.7</w:t>
            </w:r>
          </w:p>
        </w:tc>
        <w:tc>
          <w:tcPr>
            <w:tcW w:w="2494" w:type="dxa"/>
            <w:tcBorders>
              <w:top w:val="nil"/>
              <w:left w:val="nil"/>
              <w:bottom w:val="single" w:sz="4" w:space="0" w:color="auto"/>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1,530.4</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b/>
                <w:bCs/>
                <w:lang w:eastAsia="en-GB"/>
              </w:rPr>
            </w:pPr>
            <w:r w:rsidRPr="002F17B5">
              <w:rPr>
                <w:rFonts w:eastAsia="Times New Roman" w:cs="Arial"/>
                <w:b/>
                <w:bCs/>
                <w:lang w:eastAsia="en-GB"/>
              </w:rPr>
              <w:t>Long Term Liabilities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b/>
                <w:bCs/>
                <w:lang w:eastAsia="en-GB"/>
              </w:rPr>
            </w:pPr>
          </w:p>
        </w:tc>
        <w:tc>
          <w:tcPr>
            <w:tcW w:w="2268" w:type="dxa"/>
            <w:tcBorders>
              <w:top w:val="single" w:sz="4" w:space="0" w:color="auto"/>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b/>
                <w:bCs/>
                <w:lang w:eastAsia="en-GB"/>
              </w:rPr>
            </w:pPr>
            <w:r w:rsidRPr="002F17B5">
              <w:rPr>
                <w:rFonts w:eastAsia="Times New Roman" w:cs="Arial"/>
                <w:b/>
                <w:bCs/>
                <w:lang w:eastAsia="en-GB"/>
              </w:rPr>
              <w:t>1,755.6</w:t>
            </w:r>
          </w:p>
        </w:tc>
        <w:tc>
          <w:tcPr>
            <w:tcW w:w="2494" w:type="dxa"/>
            <w:tcBorders>
              <w:top w:val="single" w:sz="4" w:space="0" w:color="auto"/>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b/>
                <w:bCs/>
                <w:lang w:eastAsia="en-GB"/>
              </w:rPr>
            </w:pPr>
            <w:r w:rsidRPr="002F17B5">
              <w:rPr>
                <w:rFonts w:eastAsia="Times New Roman" w:cs="Arial"/>
                <w:b/>
                <w:bCs/>
                <w:lang w:eastAsia="en-GB"/>
              </w:rPr>
              <w:t>2,032.2</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single" w:sz="4" w:space="0" w:color="auto"/>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p>
        </w:tc>
        <w:tc>
          <w:tcPr>
            <w:tcW w:w="2494" w:type="dxa"/>
            <w:tcBorders>
              <w:top w:val="nil"/>
              <w:left w:val="nil"/>
              <w:bottom w:val="single" w:sz="4" w:space="0" w:color="auto"/>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b/>
                <w:bCs/>
                <w:lang w:eastAsia="en-GB"/>
              </w:rPr>
            </w:pPr>
            <w:r w:rsidRPr="002F17B5">
              <w:rPr>
                <w:rFonts w:eastAsia="Times New Roman" w:cs="Arial"/>
                <w:b/>
                <w:bCs/>
                <w:lang w:eastAsia="en-GB"/>
              </w:rPr>
              <w:t>Net Assets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b/>
                <w:bCs/>
                <w:lang w:eastAsia="en-GB"/>
              </w:rPr>
            </w:pPr>
          </w:p>
        </w:tc>
        <w:tc>
          <w:tcPr>
            <w:tcW w:w="2268" w:type="dxa"/>
            <w:tcBorders>
              <w:top w:val="single" w:sz="4" w:space="0" w:color="auto"/>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b/>
                <w:bCs/>
                <w:lang w:eastAsia="en-GB"/>
              </w:rPr>
            </w:pPr>
            <w:r w:rsidRPr="002F17B5">
              <w:rPr>
                <w:rFonts w:eastAsia="Times New Roman" w:cs="Arial"/>
                <w:b/>
                <w:bCs/>
                <w:lang w:eastAsia="en-GB"/>
              </w:rPr>
              <w:t>1,103.2</w:t>
            </w:r>
          </w:p>
        </w:tc>
        <w:tc>
          <w:tcPr>
            <w:tcW w:w="2494" w:type="dxa"/>
            <w:tcBorders>
              <w:top w:val="single" w:sz="4" w:space="0" w:color="auto"/>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b/>
                <w:bCs/>
                <w:lang w:eastAsia="en-GB"/>
              </w:rPr>
            </w:pPr>
            <w:r w:rsidRPr="002F17B5">
              <w:rPr>
                <w:rFonts w:eastAsia="Times New Roman" w:cs="Arial"/>
                <w:b/>
                <w:bCs/>
                <w:lang w:eastAsia="en-GB"/>
              </w:rPr>
              <w:t>863.7</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Usable Reserves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424.9</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456.9</w:t>
            </w:r>
          </w:p>
        </w:tc>
      </w:tr>
      <w:tr w:rsidR="00B14850" w:rsidRPr="002F17B5" w:rsidTr="00B14850">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r w:rsidRPr="002F17B5">
              <w:rPr>
                <w:rFonts w:eastAsia="Times New Roman" w:cs="Arial"/>
                <w:lang w:eastAsia="en-GB"/>
              </w:rPr>
              <w:t>Unusable Reserves</w:t>
            </w:r>
          </w:p>
        </w:tc>
        <w:tc>
          <w:tcPr>
            <w:tcW w:w="1559" w:type="dxa"/>
            <w:tcBorders>
              <w:top w:val="nil"/>
              <w:left w:val="nil"/>
              <w:bottom w:val="nil"/>
              <w:right w:val="nil"/>
            </w:tcBorders>
            <w:shd w:val="clear" w:color="auto" w:fill="auto"/>
            <w:noWrap/>
            <w:vAlign w:val="bottom"/>
            <w:hideMark/>
          </w:tcPr>
          <w:p w:rsidR="001D73DF" w:rsidRPr="002F17B5" w:rsidRDefault="00EF7C91">
            <w:pPr>
              <w:autoSpaceDE/>
              <w:autoSpaceDN/>
              <w:adjustRightInd/>
              <w:spacing w:before="0" w:after="0"/>
              <w:jc w:val="right"/>
              <w:rPr>
                <w:rFonts w:eastAsia="Times New Roman" w:cs="Arial"/>
                <w:lang w:eastAsia="en-GB"/>
              </w:rPr>
            </w:pPr>
            <w:r w:rsidRPr="002F17B5">
              <w:rPr>
                <w:rFonts w:eastAsia="Times New Roman" w:cs="Arial"/>
                <w:lang w:eastAsia="en-GB"/>
              </w:rPr>
              <w:t>3</w:t>
            </w:r>
            <w:r w:rsidR="001A7773">
              <w:rPr>
                <w:rFonts w:eastAsia="Times New Roman" w:cs="Arial"/>
                <w:lang w:eastAsia="en-GB"/>
              </w:rPr>
              <w:t>3</w:t>
            </w:r>
          </w:p>
        </w:tc>
        <w:tc>
          <w:tcPr>
            <w:tcW w:w="2268" w:type="dxa"/>
            <w:tcBorders>
              <w:top w:val="nil"/>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r w:rsidRPr="002F17B5">
              <w:rPr>
                <w:rFonts w:eastAsia="Times New Roman" w:cs="Arial"/>
                <w:lang w:eastAsia="en-GB"/>
              </w:rPr>
              <w:t>678.3</w:t>
            </w:r>
          </w:p>
        </w:tc>
        <w:tc>
          <w:tcPr>
            <w:tcW w:w="2494" w:type="dxa"/>
            <w:tcBorders>
              <w:top w:val="nil"/>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r w:rsidRPr="002F17B5">
              <w:rPr>
                <w:rFonts w:eastAsia="Times New Roman" w:cs="Arial"/>
                <w:lang w:eastAsia="en-GB"/>
              </w:rPr>
              <w:t>406.8</w:t>
            </w: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lang w:eastAsia="en-GB"/>
              </w:rPr>
            </w:pPr>
          </w:p>
        </w:tc>
        <w:tc>
          <w:tcPr>
            <w:tcW w:w="2268" w:type="dxa"/>
            <w:tcBorders>
              <w:top w:val="nil"/>
              <w:left w:val="nil"/>
              <w:bottom w:val="single" w:sz="4" w:space="0" w:color="auto"/>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lang w:eastAsia="en-GB"/>
              </w:rPr>
            </w:pPr>
          </w:p>
        </w:tc>
        <w:tc>
          <w:tcPr>
            <w:tcW w:w="2494" w:type="dxa"/>
            <w:tcBorders>
              <w:top w:val="nil"/>
              <w:left w:val="nil"/>
              <w:bottom w:val="single" w:sz="4" w:space="0" w:color="auto"/>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lang w:eastAsia="en-GB"/>
              </w:rPr>
            </w:pPr>
          </w:p>
        </w:tc>
      </w:tr>
      <w:tr w:rsidR="00B14850" w:rsidRPr="002F17B5" w:rsidTr="00A0198C">
        <w:trPr>
          <w:trHeight w:val="340"/>
        </w:trPr>
        <w:tc>
          <w:tcPr>
            <w:tcW w:w="4253" w:type="dxa"/>
            <w:tcBorders>
              <w:top w:val="nil"/>
              <w:left w:val="nil"/>
              <w:bottom w:val="nil"/>
              <w:right w:val="nil"/>
            </w:tcBorders>
            <w:shd w:val="clear" w:color="auto" w:fill="auto"/>
            <w:noWrap/>
            <w:vAlign w:val="bottom"/>
            <w:hideMark/>
          </w:tcPr>
          <w:p w:rsidR="00B14850" w:rsidRPr="002F17B5" w:rsidRDefault="00B14850" w:rsidP="00B14850">
            <w:pPr>
              <w:autoSpaceDE/>
              <w:autoSpaceDN/>
              <w:adjustRightInd/>
              <w:spacing w:before="0" w:after="0"/>
              <w:jc w:val="left"/>
              <w:rPr>
                <w:rFonts w:eastAsia="Times New Roman" w:cs="Arial"/>
                <w:b/>
                <w:bCs/>
                <w:lang w:eastAsia="en-GB"/>
              </w:rPr>
            </w:pPr>
            <w:r w:rsidRPr="002F17B5">
              <w:rPr>
                <w:rFonts w:eastAsia="Times New Roman" w:cs="Arial"/>
                <w:b/>
                <w:bCs/>
                <w:lang w:eastAsia="en-GB"/>
              </w:rPr>
              <w:t>Total Reserves</w:t>
            </w:r>
          </w:p>
        </w:tc>
        <w:tc>
          <w:tcPr>
            <w:tcW w:w="1559" w:type="dxa"/>
            <w:tcBorders>
              <w:top w:val="nil"/>
              <w:left w:val="nil"/>
              <w:bottom w:val="nil"/>
              <w:right w:val="nil"/>
            </w:tcBorders>
            <w:shd w:val="clear" w:color="auto" w:fill="auto"/>
            <w:noWrap/>
            <w:vAlign w:val="bottom"/>
            <w:hideMark/>
          </w:tcPr>
          <w:p w:rsidR="001D73DF" w:rsidRPr="002F17B5" w:rsidRDefault="001D73DF">
            <w:pPr>
              <w:autoSpaceDE/>
              <w:autoSpaceDN/>
              <w:adjustRightInd/>
              <w:spacing w:before="0" w:after="0"/>
              <w:jc w:val="right"/>
              <w:rPr>
                <w:rFonts w:eastAsia="Times New Roman" w:cs="Arial"/>
                <w:b/>
                <w:bCs/>
                <w:lang w:eastAsia="en-GB"/>
              </w:rPr>
            </w:pPr>
          </w:p>
        </w:tc>
        <w:tc>
          <w:tcPr>
            <w:tcW w:w="2268" w:type="dxa"/>
            <w:tcBorders>
              <w:top w:val="single" w:sz="4" w:space="0" w:color="auto"/>
              <w:left w:val="nil"/>
              <w:bottom w:val="nil"/>
              <w:right w:val="nil"/>
            </w:tcBorders>
            <w:shd w:val="clear" w:color="auto" w:fill="auto"/>
            <w:noWrap/>
            <w:vAlign w:val="bottom"/>
            <w:hideMark/>
          </w:tcPr>
          <w:p w:rsidR="00B14850" w:rsidRPr="002F17B5" w:rsidRDefault="00B14850" w:rsidP="0019010D">
            <w:pPr>
              <w:tabs>
                <w:tab w:val="left" w:pos="1701"/>
              </w:tabs>
              <w:autoSpaceDE/>
              <w:autoSpaceDN/>
              <w:adjustRightInd/>
              <w:spacing w:before="0" w:after="0"/>
              <w:ind w:right="459"/>
              <w:jc w:val="right"/>
              <w:rPr>
                <w:rFonts w:eastAsia="Times New Roman" w:cs="Arial"/>
                <w:b/>
                <w:bCs/>
                <w:lang w:eastAsia="en-GB"/>
              </w:rPr>
            </w:pPr>
            <w:r w:rsidRPr="002F17B5">
              <w:rPr>
                <w:rFonts w:eastAsia="Times New Roman" w:cs="Arial"/>
                <w:b/>
                <w:bCs/>
                <w:lang w:eastAsia="en-GB"/>
              </w:rPr>
              <w:t>1,103.2</w:t>
            </w:r>
          </w:p>
        </w:tc>
        <w:tc>
          <w:tcPr>
            <w:tcW w:w="2494" w:type="dxa"/>
            <w:tcBorders>
              <w:top w:val="single" w:sz="4" w:space="0" w:color="auto"/>
              <w:left w:val="nil"/>
              <w:bottom w:val="nil"/>
              <w:right w:val="nil"/>
            </w:tcBorders>
            <w:shd w:val="clear" w:color="auto" w:fill="auto"/>
            <w:noWrap/>
            <w:vAlign w:val="bottom"/>
            <w:hideMark/>
          </w:tcPr>
          <w:p w:rsidR="00B14850" w:rsidRPr="002F17B5" w:rsidRDefault="00B14850" w:rsidP="0019010D">
            <w:pPr>
              <w:autoSpaceDE/>
              <w:autoSpaceDN/>
              <w:adjustRightInd/>
              <w:spacing w:before="0" w:after="0"/>
              <w:ind w:right="543"/>
              <w:jc w:val="right"/>
              <w:rPr>
                <w:rFonts w:eastAsia="Times New Roman" w:cs="Arial"/>
                <w:b/>
                <w:bCs/>
                <w:lang w:eastAsia="en-GB"/>
              </w:rPr>
            </w:pPr>
            <w:r w:rsidRPr="002F17B5">
              <w:rPr>
                <w:rFonts w:eastAsia="Times New Roman" w:cs="Arial"/>
                <w:b/>
                <w:bCs/>
                <w:lang w:eastAsia="en-GB"/>
              </w:rPr>
              <w:t>863.7</w:t>
            </w:r>
          </w:p>
        </w:tc>
      </w:tr>
    </w:tbl>
    <w:p w:rsidR="00B57977" w:rsidRPr="002F17B5" w:rsidRDefault="00B57977" w:rsidP="00B14850">
      <w:pPr>
        <w:autoSpaceDE/>
        <w:autoSpaceDN/>
        <w:adjustRightInd/>
        <w:spacing w:after="20"/>
        <w:jc w:val="left"/>
      </w:pPr>
      <w:r w:rsidRPr="002F17B5">
        <w:br w:type="page"/>
      </w:r>
    </w:p>
    <w:p w:rsidR="00144349" w:rsidRPr="002F17B5" w:rsidRDefault="00C62180" w:rsidP="00350973">
      <w:pPr>
        <w:pStyle w:val="Heading2"/>
      </w:pPr>
      <w:r w:rsidRPr="002F17B5">
        <w:lastRenderedPageBreak/>
        <w:t>Cash f</w:t>
      </w:r>
      <w:r w:rsidR="00144349" w:rsidRPr="002F17B5">
        <w:t>low statement</w:t>
      </w:r>
    </w:p>
    <w:p w:rsidR="00144349" w:rsidRPr="002F17B5" w:rsidRDefault="00144349" w:rsidP="00144349">
      <w:r w:rsidRPr="002F17B5">
        <w:t>This statement shows the changes in cash and cash equivalents of the council during the reporting period</w:t>
      </w:r>
    </w:p>
    <w:p w:rsidR="008A4A8C" w:rsidRPr="002F17B5" w:rsidRDefault="008A4A8C" w:rsidP="00144349">
      <w:pPr>
        <w:rPr>
          <w:sz w:val="18"/>
        </w:rPr>
      </w:pPr>
    </w:p>
    <w:tbl>
      <w:tblPr>
        <w:tblW w:w="10225" w:type="dxa"/>
        <w:tblInd w:w="89" w:type="dxa"/>
        <w:tblLook w:val="04A0" w:firstRow="1" w:lastRow="0" w:firstColumn="1" w:lastColumn="0" w:noHBand="0" w:noVBand="1"/>
      </w:tblPr>
      <w:tblGrid>
        <w:gridCol w:w="4272"/>
        <w:gridCol w:w="1843"/>
        <w:gridCol w:w="1984"/>
        <w:gridCol w:w="2126"/>
      </w:tblGrid>
      <w:tr w:rsidR="00121886" w:rsidRPr="002F17B5" w:rsidTr="00EC724B">
        <w:trPr>
          <w:trHeight w:val="315"/>
        </w:trPr>
        <w:tc>
          <w:tcPr>
            <w:tcW w:w="4272" w:type="dxa"/>
            <w:tcBorders>
              <w:top w:val="nil"/>
              <w:left w:val="nil"/>
              <w:bottom w:val="nil"/>
              <w:right w:val="nil"/>
            </w:tcBorders>
            <w:shd w:val="clear" w:color="000000" w:fill="FFFFFF"/>
            <w:vAlign w:val="bottom"/>
            <w:hideMark/>
          </w:tcPr>
          <w:p w:rsidR="00121886" w:rsidRPr="002F17B5" w:rsidRDefault="00121886" w:rsidP="00121886">
            <w:pPr>
              <w:autoSpaceDE/>
              <w:autoSpaceDN/>
              <w:adjustRightInd/>
              <w:spacing w:before="0" w:after="0"/>
              <w:jc w:val="left"/>
              <w:rPr>
                <w:rFonts w:eastAsia="Times New Roman" w:cs="Arial"/>
                <w:b/>
                <w:bCs/>
                <w:sz w:val="22"/>
                <w:szCs w:val="22"/>
                <w:lang w:eastAsia="en-GB"/>
              </w:rPr>
            </w:pPr>
            <w:r w:rsidRPr="002F17B5">
              <w:rPr>
                <w:rFonts w:eastAsia="Times New Roman" w:cs="Arial"/>
                <w:b/>
                <w:bCs/>
                <w:sz w:val="22"/>
                <w:szCs w:val="22"/>
                <w:lang w:eastAsia="en-GB"/>
              </w:rPr>
              <w:t> </w:t>
            </w:r>
          </w:p>
        </w:tc>
        <w:tc>
          <w:tcPr>
            <w:tcW w:w="1843" w:type="dxa"/>
            <w:tcBorders>
              <w:top w:val="nil"/>
              <w:left w:val="nil"/>
              <w:bottom w:val="nil"/>
              <w:right w:val="nil"/>
            </w:tcBorders>
            <w:shd w:val="clear" w:color="000000" w:fill="FFFFFF"/>
            <w:noWrap/>
            <w:vAlign w:val="bottom"/>
            <w:hideMark/>
          </w:tcPr>
          <w:p w:rsidR="00121886" w:rsidRPr="002F17B5" w:rsidRDefault="00121886" w:rsidP="00121886">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Notes</w:t>
            </w:r>
          </w:p>
        </w:tc>
        <w:tc>
          <w:tcPr>
            <w:tcW w:w="1984" w:type="dxa"/>
            <w:tcBorders>
              <w:top w:val="nil"/>
              <w:left w:val="nil"/>
              <w:bottom w:val="nil"/>
              <w:right w:val="nil"/>
            </w:tcBorders>
            <w:shd w:val="clear" w:color="000000" w:fill="FFFFFF"/>
            <w:hideMark/>
          </w:tcPr>
          <w:p w:rsidR="00121886" w:rsidRPr="002F17B5" w:rsidRDefault="00121886" w:rsidP="00121886">
            <w:pPr>
              <w:spacing w:after="80"/>
              <w:jc w:val="right"/>
              <w:rPr>
                <w:b/>
              </w:rPr>
            </w:pPr>
            <w:r w:rsidRPr="002F17B5">
              <w:rPr>
                <w:b/>
              </w:rPr>
              <w:t>31/03/2014</w:t>
            </w:r>
          </w:p>
        </w:tc>
        <w:tc>
          <w:tcPr>
            <w:tcW w:w="2126" w:type="dxa"/>
            <w:tcBorders>
              <w:top w:val="nil"/>
              <w:left w:val="nil"/>
              <w:bottom w:val="nil"/>
              <w:right w:val="nil"/>
            </w:tcBorders>
            <w:shd w:val="clear" w:color="000000" w:fill="FFFFFF"/>
            <w:hideMark/>
          </w:tcPr>
          <w:p w:rsidR="00121886" w:rsidRPr="002F17B5" w:rsidRDefault="00121886" w:rsidP="00121886">
            <w:pPr>
              <w:spacing w:after="80"/>
              <w:jc w:val="right"/>
              <w:rPr>
                <w:b/>
              </w:rPr>
            </w:pPr>
            <w:r w:rsidRPr="002F17B5">
              <w:rPr>
                <w:b/>
              </w:rPr>
              <w:t xml:space="preserve">31/03/2013 </w:t>
            </w:r>
          </w:p>
        </w:tc>
      </w:tr>
      <w:tr w:rsidR="000D0D7F" w:rsidRPr="002F17B5" w:rsidTr="00945B35">
        <w:trPr>
          <w:trHeight w:val="315"/>
        </w:trPr>
        <w:tc>
          <w:tcPr>
            <w:tcW w:w="4272" w:type="dxa"/>
            <w:tcBorders>
              <w:top w:val="nil"/>
              <w:left w:val="nil"/>
              <w:bottom w:val="nil"/>
              <w:right w:val="nil"/>
            </w:tcBorders>
            <w:shd w:val="clear" w:color="000000" w:fill="FFFFFF"/>
            <w:vAlign w:val="bottom"/>
            <w:hideMark/>
          </w:tcPr>
          <w:p w:rsidR="000D0D7F" w:rsidRPr="002F17B5" w:rsidRDefault="000D0D7F" w:rsidP="000D0D7F">
            <w:pPr>
              <w:autoSpaceDE/>
              <w:autoSpaceDN/>
              <w:adjustRightInd/>
              <w:spacing w:before="0" w:after="0"/>
              <w:jc w:val="lef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843" w:type="dxa"/>
            <w:tcBorders>
              <w:top w:val="nil"/>
              <w:left w:val="nil"/>
              <w:bottom w:val="nil"/>
              <w:right w:val="nil"/>
            </w:tcBorders>
            <w:shd w:val="clear" w:color="000000" w:fill="FFFFFF"/>
            <w:noWrap/>
            <w:vAlign w:val="bottom"/>
            <w:hideMark/>
          </w:tcPr>
          <w:p w:rsidR="000D0D7F" w:rsidRPr="002F17B5" w:rsidRDefault="000D0D7F" w:rsidP="000D0D7F">
            <w:pPr>
              <w:autoSpaceDE/>
              <w:autoSpaceDN/>
              <w:adjustRightInd/>
              <w:spacing w:before="0" w:after="0"/>
              <w:jc w:val="lef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984" w:type="dxa"/>
            <w:tcBorders>
              <w:top w:val="nil"/>
              <w:left w:val="nil"/>
              <w:bottom w:val="nil"/>
              <w:right w:val="nil"/>
            </w:tcBorders>
            <w:shd w:val="clear" w:color="000000" w:fill="FFFFFF"/>
            <w:vAlign w:val="bottom"/>
            <w:hideMark/>
          </w:tcPr>
          <w:p w:rsidR="000D0D7F" w:rsidRPr="002F17B5" w:rsidRDefault="000D0D7F" w:rsidP="000D0D7F">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£m</w:t>
            </w:r>
          </w:p>
        </w:tc>
        <w:tc>
          <w:tcPr>
            <w:tcW w:w="2126" w:type="dxa"/>
            <w:tcBorders>
              <w:top w:val="nil"/>
              <w:left w:val="nil"/>
              <w:bottom w:val="nil"/>
              <w:right w:val="nil"/>
            </w:tcBorders>
            <w:shd w:val="clear" w:color="000000" w:fill="FFFFFF"/>
            <w:noWrap/>
            <w:vAlign w:val="bottom"/>
            <w:hideMark/>
          </w:tcPr>
          <w:p w:rsidR="000D0D7F" w:rsidRPr="002F17B5" w:rsidRDefault="000D0D7F" w:rsidP="000D0D7F">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£m</w:t>
            </w:r>
          </w:p>
        </w:tc>
      </w:tr>
      <w:tr w:rsidR="000D0D7F" w:rsidRPr="002F17B5" w:rsidTr="00945B35">
        <w:trPr>
          <w:trHeight w:val="30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lang w:eastAsia="en-GB"/>
              </w:rPr>
            </w:pPr>
            <w:r w:rsidRPr="002F17B5">
              <w:rPr>
                <w:rFonts w:eastAsia="Times New Roman" w:cs="Arial"/>
                <w:lang w:eastAsia="en-GB"/>
              </w:rPr>
              <w:t>Net (surplus) or deficit on the provision of services</w:t>
            </w:r>
          </w:p>
        </w:tc>
        <w:tc>
          <w:tcPr>
            <w:tcW w:w="1843" w:type="dxa"/>
            <w:tcBorders>
              <w:top w:val="nil"/>
              <w:left w:val="nil"/>
              <w:bottom w:val="nil"/>
              <w:right w:val="nil"/>
            </w:tcBorders>
            <w:shd w:val="clear" w:color="000000" w:fill="FFFFFF"/>
            <w:vAlign w:val="center"/>
            <w:hideMark/>
          </w:tcPr>
          <w:p w:rsidR="001D73DF" w:rsidRPr="002F17B5" w:rsidRDefault="00CD26F6">
            <w:pPr>
              <w:autoSpaceDE/>
              <w:autoSpaceDN/>
              <w:adjustRightInd/>
              <w:spacing w:before="0" w:after="0"/>
              <w:ind w:left="34"/>
              <w:jc w:val="right"/>
              <w:rPr>
                <w:rFonts w:eastAsia="Times New Roman" w:cs="Arial"/>
                <w:lang w:eastAsia="en-GB"/>
              </w:rPr>
            </w:pPr>
            <w:r w:rsidRPr="002F17B5">
              <w:rPr>
                <w:rFonts w:eastAsia="Times New Roman" w:cs="Arial"/>
                <w:lang w:eastAsia="en-GB"/>
              </w:rPr>
              <w:t>3</w:t>
            </w:r>
            <w:r w:rsidR="001A7773">
              <w:rPr>
                <w:rFonts w:eastAsia="Times New Roman" w:cs="Arial"/>
                <w:lang w:eastAsia="en-GB"/>
              </w:rPr>
              <w:t>5</w:t>
            </w:r>
          </w:p>
        </w:tc>
        <w:tc>
          <w:tcPr>
            <w:tcW w:w="1984" w:type="dxa"/>
            <w:tcBorders>
              <w:top w:val="nil"/>
              <w:left w:val="nil"/>
              <w:bottom w:val="nil"/>
              <w:right w:val="nil"/>
            </w:tcBorders>
            <w:shd w:val="clear" w:color="000000" w:fill="FFFFFF"/>
            <w:vAlign w:val="center"/>
            <w:hideMark/>
          </w:tcPr>
          <w:p w:rsidR="000D0D7F" w:rsidRPr="002F17B5" w:rsidRDefault="008A4A8C" w:rsidP="0019010D">
            <w:pPr>
              <w:autoSpaceDE/>
              <w:autoSpaceDN/>
              <w:adjustRightInd/>
              <w:spacing w:before="0" w:after="0"/>
              <w:jc w:val="right"/>
              <w:rPr>
                <w:rFonts w:eastAsia="Times New Roman" w:cs="Arial"/>
                <w:lang w:eastAsia="en-GB"/>
              </w:rPr>
            </w:pPr>
            <w:r w:rsidRPr="002F17B5">
              <w:rPr>
                <w:rFonts w:eastAsia="Times New Roman" w:cs="Arial"/>
                <w:lang w:eastAsia="en-GB"/>
              </w:rPr>
              <w:t>19.9</w:t>
            </w:r>
          </w:p>
        </w:tc>
        <w:tc>
          <w:tcPr>
            <w:tcW w:w="2126" w:type="dxa"/>
            <w:tcBorders>
              <w:top w:val="nil"/>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lang w:eastAsia="en-GB"/>
              </w:rPr>
            </w:pPr>
            <w:r w:rsidRPr="002F17B5">
              <w:rPr>
                <w:rFonts w:eastAsia="Times New Roman" w:cs="Arial"/>
                <w:lang w:eastAsia="en-GB"/>
              </w:rPr>
              <w:t>(33.0)</w:t>
            </w:r>
          </w:p>
        </w:tc>
      </w:tr>
      <w:tr w:rsidR="000D0D7F" w:rsidRPr="002F17B5" w:rsidTr="00945B35">
        <w:trPr>
          <w:trHeight w:val="202"/>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sz w:val="10"/>
                <w:lang w:eastAsia="en-GB"/>
              </w:rPr>
            </w:pPr>
            <w:r w:rsidRPr="002F17B5">
              <w:rPr>
                <w:rFonts w:eastAsia="Times New Roman" w:cs="Arial"/>
                <w:sz w:val="10"/>
                <w:lang w:eastAsia="en-GB"/>
              </w:rPr>
              <w:t> </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sz w:val="10"/>
                <w:lang w:eastAsia="en-GB"/>
              </w:rPr>
            </w:pPr>
          </w:p>
        </w:tc>
        <w:tc>
          <w:tcPr>
            <w:tcW w:w="1984" w:type="dxa"/>
            <w:tcBorders>
              <w:top w:val="nil"/>
              <w:left w:val="nil"/>
              <w:bottom w:val="nil"/>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sz w:val="10"/>
                <w:lang w:eastAsia="en-GB"/>
              </w:rPr>
            </w:pPr>
          </w:p>
        </w:tc>
        <w:tc>
          <w:tcPr>
            <w:tcW w:w="2126" w:type="dxa"/>
            <w:tcBorders>
              <w:top w:val="nil"/>
              <w:left w:val="nil"/>
              <w:bottom w:val="nil"/>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sz w:val="10"/>
                <w:lang w:eastAsia="en-GB"/>
              </w:rPr>
            </w:pPr>
          </w:p>
        </w:tc>
      </w:tr>
      <w:tr w:rsidR="000D0D7F" w:rsidRPr="002F17B5" w:rsidTr="00945B35">
        <w:trPr>
          <w:trHeight w:val="60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lang w:eastAsia="en-GB"/>
              </w:rPr>
            </w:pPr>
            <w:r w:rsidRPr="002F17B5">
              <w:rPr>
                <w:rFonts w:eastAsia="Times New Roman" w:cs="Arial"/>
                <w:lang w:eastAsia="en-GB"/>
              </w:rPr>
              <w:t>Adjustment to surplus or deficit on the provision of services for non cash movements</w:t>
            </w:r>
          </w:p>
        </w:tc>
        <w:tc>
          <w:tcPr>
            <w:tcW w:w="1843" w:type="dxa"/>
            <w:tcBorders>
              <w:top w:val="nil"/>
              <w:left w:val="nil"/>
              <w:bottom w:val="nil"/>
              <w:right w:val="nil"/>
            </w:tcBorders>
            <w:shd w:val="clear" w:color="000000" w:fill="FFFFFF"/>
            <w:vAlign w:val="center"/>
            <w:hideMark/>
          </w:tcPr>
          <w:p w:rsidR="001D73DF" w:rsidRPr="002F17B5" w:rsidRDefault="00CD26F6">
            <w:pPr>
              <w:autoSpaceDE/>
              <w:autoSpaceDN/>
              <w:adjustRightInd/>
              <w:spacing w:before="0" w:after="0"/>
              <w:jc w:val="right"/>
              <w:rPr>
                <w:rFonts w:eastAsia="Times New Roman" w:cs="Arial"/>
                <w:lang w:eastAsia="en-GB"/>
              </w:rPr>
            </w:pPr>
            <w:r w:rsidRPr="002F17B5">
              <w:rPr>
                <w:rFonts w:eastAsia="Times New Roman" w:cs="Arial"/>
                <w:lang w:eastAsia="en-GB"/>
              </w:rPr>
              <w:t>3</w:t>
            </w:r>
            <w:r w:rsidR="001A7773">
              <w:rPr>
                <w:rFonts w:eastAsia="Times New Roman" w:cs="Arial"/>
                <w:lang w:eastAsia="en-GB"/>
              </w:rPr>
              <w:t>5</w:t>
            </w:r>
          </w:p>
        </w:tc>
        <w:tc>
          <w:tcPr>
            <w:tcW w:w="1984" w:type="dxa"/>
            <w:tcBorders>
              <w:top w:val="nil"/>
              <w:left w:val="nil"/>
              <w:bottom w:val="nil"/>
              <w:right w:val="nil"/>
            </w:tcBorders>
            <w:shd w:val="clear" w:color="000000" w:fill="FFFFFF"/>
            <w:vAlign w:val="center"/>
            <w:hideMark/>
          </w:tcPr>
          <w:p w:rsidR="000D0D7F" w:rsidRPr="002F17B5" w:rsidRDefault="008A4A8C" w:rsidP="007D7B48">
            <w:pPr>
              <w:autoSpaceDE/>
              <w:autoSpaceDN/>
              <w:adjustRightInd/>
              <w:spacing w:before="0" w:after="0"/>
              <w:jc w:val="right"/>
              <w:rPr>
                <w:rFonts w:eastAsia="Times New Roman" w:cs="Arial"/>
                <w:lang w:eastAsia="en-GB"/>
              </w:rPr>
            </w:pPr>
            <w:r w:rsidRPr="002F17B5">
              <w:rPr>
                <w:rFonts w:eastAsia="Times New Roman" w:cs="Arial"/>
                <w:lang w:eastAsia="en-GB"/>
              </w:rPr>
              <w:t>(178.</w:t>
            </w:r>
            <w:r w:rsidR="007D7B48" w:rsidRPr="002F17B5">
              <w:rPr>
                <w:rFonts w:eastAsia="Times New Roman" w:cs="Arial"/>
                <w:lang w:eastAsia="en-GB"/>
              </w:rPr>
              <w:t>3</w:t>
            </w:r>
            <w:r w:rsidRPr="002F17B5">
              <w:rPr>
                <w:rFonts w:eastAsia="Times New Roman" w:cs="Arial"/>
                <w:lang w:eastAsia="en-GB"/>
              </w:rPr>
              <w:t>)</w:t>
            </w:r>
          </w:p>
        </w:tc>
        <w:tc>
          <w:tcPr>
            <w:tcW w:w="2126" w:type="dxa"/>
            <w:tcBorders>
              <w:top w:val="nil"/>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lang w:eastAsia="en-GB"/>
              </w:rPr>
            </w:pPr>
            <w:r w:rsidRPr="002F17B5">
              <w:rPr>
                <w:rFonts w:eastAsia="Times New Roman" w:cs="Arial"/>
                <w:lang w:eastAsia="en-GB"/>
              </w:rPr>
              <w:t>(111.3)</w:t>
            </w:r>
          </w:p>
        </w:tc>
      </w:tr>
      <w:tr w:rsidR="000D0D7F" w:rsidRPr="002F17B5" w:rsidTr="00945B35">
        <w:trPr>
          <w:trHeight w:val="233"/>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sz w:val="10"/>
                <w:lang w:eastAsia="en-GB"/>
              </w:rPr>
            </w:pPr>
            <w:r w:rsidRPr="002F17B5">
              <w:rPr>
                <w:rFonts w:eastAsia="Times New Roman" w:cs="Arial"/>
                <w:sz w:val="10"/>
                <w:lang w:eastAsia="en-GB"/>
              </w:rPr>
              <w:t> </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sz w:val="10"/>
                <w:lang w:eastAsia="en-GB"/>
              </w:rPr>
            </w:pPr>
          </w:p>
        </w:tc>
        <w:tc>
          <w:tcPr>
            <w:tcW w:w="1984" w:type="dxa"/>
            <w:tcBorders>
              <w:top w:val="nil"/>
              <w:left w:val="nil"/>
              <w:bottom w:val="nil"/>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sz w:val="10"/>
                <w:lang w:eastAsia="en-GB"/>
              </w:rPr>
            </w:pPr>
          </w:p>
        </w:tc>
        <w:tc>
          <w:tcPr>
            <w:tcW w:w="2126" w:type="dxa"/>
            <w:tcBorders>
              <w:top w:val="nil"/>
              <w:left w:val="nil"/>
              <w:bottom w:val="nil"/>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sz w:val="10"/>
                <w:lang w:eastAsia="en-GB"/>
              </w:rPr>
            </w:pPr>
          </w:p>
        </w:tc>
      </w:tr>
      <w:tr w:rsidR="000D0D7F" w:rsidRPr="002F17B5" w:rsidTr="00945B35">
        <w:trPr>
          <w:trHeight w:val="60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lang w:eastAsia="en-GB"/>
              </w:rPr>
            </w:pPr>
            <w:r w:rsidRPr="002F17B5">
              <w:rPr>
                <w:rFonts w:eastAsia="Times New Roman" w:cs="Arial"/>
                <w:lang w:eastAsia="en-GB"/>
              </w:rPr>
              <w:t>Adjust for items included in the net surplus or deficit on the provision of services that are investing and financing activities</w:t>
            </w:r>
          </w:p>
        </w:tc>
        <w:tc>
          <w:tcPr>
            <w:tcW w:w="1843" w:type="dxa"/>
            <w:tcBorders>
              <w:top w:val="nil"/>
              <w:left w:val="nil"/>
              <w:bottom w:val="nil"/>
              <w:right w:val="nil"/>
            </w:tcBorders>
            <w:shd w:val="clear" w:color="000000" w:fill="FFFFFF"/>
            <w:vAlign w:val="center"/>
            <w:hideMark/>
          </w:tcPr>
          <w:p w:rsidR="001D73DF" w:rsidRPr="002F17B5" w:rsidRDefault="00B43F05">
            <w:pPr>
              <w:autoSpaceDE/>
              <w:autoSpaceDN/>
              <w:adjustRightInd/>
              <w:spacing w:before="0" w:after="0"/>
              <w:jc w:val="right"/>
              <w:rPr>
                <w:rFonts w:eastAsia="Times New Roman" w:cs="Arial"/>
                <w:lang w:eastAsia="en-GB"/>
              </w:rPr>
            </w:pPr>
            <w:r w:rsidRPr="002F17B5">
              <w:rPr>
                <w:rFonts w:eastAsia="Times New Roman" w:cs="Arial"/>
                <w:lang w:eastAsia="en-GB"/>
              </w:rPr>
              <w:t>3</w:t>
            </w:r>
            <w:r w:rsidR="001A7773">
              <w:rPr>
                <w:rFonts w:eastAsia="Times New Roman" w:cs="Arial"/>
                <w:lang w:eastAsia="en-GB"/>
              </w:rPr>
              <w:t>5</w:t>
            </w:r>
          </w:p>
        </w:tc>
        <w:tc>
          <w:tcPr>
            <w:tcW w:w="1984" w:type="dxa"/>
            <w:tcBorders>
              <w:top w:val="nil"/>
              <w:left w:val="nil"/>
              <w:bottom w:val="nil"/>
              <w:right w:val="nil"/>
            </w:tcBorders>
            <w:shd w:val="clear" w:color="000000" w:fill="FFFFFF"/>
            <w:vAlign w:val="center"/>
            <w:hideMark/>
          </w:tcPr>
          <w:p w:rsidR="000D0D7F" w:rsidRPr="002F17B5" w:rsidRDefault="008A4A8C" w:rsidP="0019010D">
            <w:pPr>
              <w:autoSpaceDE/>
              <w:autoSpaceDN/>
              <w:adjustRightInd/>
              <w:spacing w:before="0" w:after="0"/>
              <w:jc w:val="right"/>
              <w:rPr>
                <w:rFonts w:eastAsia="Times New Roman" w:cs="Arial"/>
                <w:lang w:eastAsia="en-GB"/>
              </w:rPr>
            </w:pPr>
            <w:r w:rsidRPr="002F17B5">
              <w:rPr>
                <w:rFonts w:eastAsia="Times New Roman" w:cs="Arial"/>
                <w:lang w:eastAsia="en-GB"/>
              </w:rPr>
              <w:t>103.6</w:t>
            </w:r>
          </w:p>
        </w:tc>
        <w:tc>
          <w:tcPr>
            <w:tcW w:w="2126" w:type="dxa"/>
            <w:tcBorders>
              <w:top w:val="nil"/>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lang w:eastAsia="en-GB"/>
              </w:rPr>
            </w:pPr>
            <w:r w:rsidRPr="002F17B5">
              <w:rPr>
                <w:rFonts w:eastAsia="Times New Roman" w:cs="Arial"/>
                <w:lang w:eastAsia="en-GB"/>
              </w:rPr>
              <w:t>95.9</w:t>
            </w:r>
          </w:p>
        </w:tc>
      </w:tr>
      <w:tr w:rsidR="000D0D7F" w:rsidRPr="002F17B5" w:rsidTr="00A0198C">
        <w:trPr>
          <w:trHeight w:val="30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sz w:val="16"/>
                <w:lang w:eastAsia="en-GB"/>
              </w:rPr>
            </w:pPr>
            <w:r w:rsidRPr="002F17B5">
              <w:rPr>
                <w:rFonts w:eastAsia="Times New Roman" w:cs="Arial"/>
                <w:sz w:val="16"/>
                <w:lang w:eastAsia="en-GB"/>
              </w:rPr>
              <w:t> </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sz w:val="16"/>
                <w:lang w:eastAsia="en-GB"/>
              </w:rPr>
            </w:pPr>
          </w:p>
        </w:tc>
        <w:tc>
          <w:tcPr>
            <w:tcW w:w="1984" w:type="dxa"/>
            <w:tcBorders>
              <w:top w:val="nil"/>
              <w:left w:val="nil"/>
              <w:bottom w:val="single" w:sz="4" w:space="0" w:color="auto"/>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sz w:val="16"/>
                <w:lang w:eastAsia="en-GB"/>
              </w:rPr>
            </w:pPr>
          </w:p>
        </w:tc>
        <w:tc>
          <w:tcPr>
            <w:tcW w:w="2126" w:type="dxa"/>
            <w:tcBorders>
              <w:top w:val="nil"/>
              <w:left w:val="nil"/>
              <w:bottom w:val="single" w:sz="4" w:space="0" w:color="auto"/>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sz w:val="16"/>
                <w:lang w:eastAsia="en-GB"/>
              </w:rPr>
            </w:pPr>
          </w:p>
        </w:tc>
      </w:tr>
      <w:tr w:rsidR="000D0D7F" w:rsidRPr="002F17B5" w:rsidTr="00A0198C">
        <w:trPr>
          <w:trHeight w:val="315"/>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b/>
                <w:bCs/>
                <w:lang w:eastAsia="en-GB"/>
              </w:rPr>
            </w:pPr>
            <w:r w:rsidRPr="002F17B5">
              <w:rPr>
                <w:rFonts w:eastAsia="Times New Roman" w:cs="Arial"/>
                <w:b/>
                <w:bCs/>
                <w:lang w:eastAsia="en-GB"/>
              </w:rPr>
              <w:t>Net Cash flows from Operating activities</w:t>
            </w:r>
          </w:p>
          <w:p w:rsidR="006D01F9" w:rsidRPr="002F17B5" w:rsidRDefault="006D01F9" w:rsidP="00945B35">
            <w:pPr>
              <w:autoSpaceDE/>
              <w:autoSpaceDN/>
              <w:adjustRightInd/>
              <w:spacing w:before="0" w:after="0"/>
              <w:jc w:val="left"/>
              <w:rPr>
                <w:rFonts w:eastAsia="Times New Roman" w:cs="Arial"/>
                <w:b/>
                <w:bCs/>
                <w:sz w:val="10"/>
                <w:lang w:eastAsia="en-GB"/>
              </w:rPr>
            </w:pPr>
          </w:p>
        </w:tc>
        <w:tc>
          <w:tcPr>
            <w:tcW w:w="1843" w:type="dxa"/>
            <w:tcBorders>
              <w:top w:val="nil"/>
              <w:left w:val="nil"/>
              <w:bottom w:val="nil"/>
              <w:right w:val="nil"/>
            </w:tcBorders>
            <w:shd w:val="clear" w:color="000000" w:fill="FFFFFF"/>
            <w:vAlign w:val="center"/>
            <w:hideMark/>
          </w:tcPr>
          <w:p w:rsidR="001D73DF" w:rsidRPr="002F17B5" w:rsidRDefault="000D0D7F" w:rsidP="00B43F05">
            <w:pPr>
              <w:autoSpaceDE/>
              <w:autoSpaceDN/>
              <w:adjustRightInd/>
              <w:spacing w:before="0" w:after="0"/>
              <w:jc w:val="right"/>
              <w:rPr>
                <w:rFonts w:eastAsia="Times New Roman" w:cs="Arial"/>
                <w:lang w:eastAsia="en-GB"/>
              </w:rPr>
            </w:pPr>
            <w:r w:rsidRPr="002F17B5">
              <w:rPr>
                <w:rFonts w:eastAsia="Times New Roman" w:cs="Arial"/>
                <w:lang w:eastAsia="en-GB"/>
              </w:rPr>
              <w:t>3</w:t>
            </w:r>
            <w:r w:rsidR="001A7773">
              <w:rPr>
                <w:rFonts w:eastAsia="Times New Roman" w:cs="Arial"/>
                <w:lang w:eastAsia="en-GB"/>
              </w:rPr>
              <w:t>5</w:t>
            </w:r>
          </w:p>
        </w:tc>
        <w:tc>
          <w:tcPr>
            <w:tcW w:w="1984" w:type="dxa"/>
            <w:tcBorders>
              <w:top w:val="single" w:sz="4" w:space="0" w:color="auto"/>
              <w:left w:val="nil"/>
              <w:bottom w:val="nil"/>
              <w:right w:val="nil"/>
            </w:tcBorders>
            <w:shd w:val="clear" w:color="000000" w:fill="FFFFFF"/>
            <w:vAlign w:val="center"/>
            <w:hideMark/>
          </w:tcPr>
          <w:p w:rsidR="000D0D7F" w:rsidRPr="002F17B5" w:rsidRDefault="008A4A8C" w:rsidP="007D7B48">
            <w:pPr>
              <w:autoSpaceDE/>
              <w:autoSpaceDN/>
              <w:adjustRightInd/>
              <w:spacing w:before="0" w:after="0"/>
              <w:jc w:val="right"/>
              <w:rPr>
                <w:rFonts w:eastAsia="Times New Roman" w:cs="Arial"/>
                <w:b/>
                <w:bCs/>
                <w:lang w:eastAsia="en-GB"/>
              </w:rPr>
            </w:pPr>
            <w:r w:rsidRPr="002F17B5">
              <w:rPr>
                <w:rFonts w:eastAsia="Times New Roman" w:cs="Arial"/>
                <w:b/>
                <w:bCs/>
                <w:lang w:eastAsia="en-GB"/>
              </w:rPr>
              <w:t>(54.</w:t>
            </w:r>
            <w:r w:rsidR="003C76C4">
              <w:rPr>
                <w:rFonts w:eastAsia="Times New Roman" w:cs="Arial"/>
                <w:b/>
                <w:bCs/>
                <w:lang w:eastAsia="en-GB"/>
              </w:rPr>
              <w:t>8</w:t>
            </w:r>
            <w:r w:rsidRPr="002F17B5">
              <w:rPr>
                <w:rFonts w:eastAsia="Times New Roman" w:cs="Arial"/>
                <w:b/>
                <w:bCs/>
                <w:lang w:eastAsia="en-GB"/>
              </w:rPr>
              <w:t>)</w:t>
            </w:r>
          </w:p>
        </w:tc>
        <w:tc>
          <w:tcPr>
            <w:tcW w:w="2126" w:type="dxa"/>
            <w:tcBorders>
              <w:top w:val="single" w:sz="4" w:space="0" w:color="auto"/>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b/>
                <w:bCs/>
                <w:lang w:eastAsia="en-GB"/>
              </w:rPr>
            </w:pPr>
            <w:r w:rsidRPr="002F17B5">
              <w:rPr>
                <w:rFonts w:eastAsia="Times New Roman" w:cs="Arial"/>
                <w:b/>
                <w:bCs/>
                <w:lang w:eastAsia="en-GB"/>
              </w:rPr>
              <w:t>(48.4)</w:t>
            </w:r>
          </w:p>
        </w:tc>
      </w:tr>
      <w:tr w:rsidR="000D0D7F" w:rsidRPr="002F17B5" w:rsidTr="00945B35">
        <w:trPr>
          <w:trHeight w:val="30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lang w:eastAsia="en-GB"/>
              </w:rPr>
            </w:pPr>
            <w:r w:rsidRPr="002F17B5">
              <w:rPr>
                <w:rFonts w:eastAsia="Times New Roman" w:cs="Arial"/>
                <w:lang w:eastAsia="en-GB"/>
              </w:rPr>
              <w:t>Net Cash flows from Investing Activities</w:t>
            </w:r>
          </w:p>
          <w:p w:rsidR="006D01F9" w:rsidRPr="002F17B5" w:rsidRDefault="006D01F9" w:rsidP="00945B35">
            <w:pPr>
              <w:autoSpaceDE/>
              <w:autoSpaceDN/>
              <w:adjustRightInd/>
              <w:spacing w:before="0" w:after="0"/>
              <w:jc w:val="left"/>
              <w:rPr>
                <w:rFonts w:eastAsia="Times New Roman" w:cs="Arial"/>
                <w:sz w:val="10"/>
                <w:lang w:eastAsia="en-GB"/>
              </w:rPr>
            </w:pPr>
          </w:p>
        </w:tc>
        <w:tc>
          <w:tcPr>
            <w:tcW w:w="1843" w:type="dxa"/>
            <w:tcBorders>
              <w:top w:val="nil"/>
              <w:left w:val="nil"/>
              <w:bottom w:val="nil"/>
              <w:right w:val="nil"/>
            </w:tcBorders>
            <w:shd w:val="clear" w:color="000000" w:fill="FFFFFF"/>
            <w:vAlign w:val="center"/>
            <w:hideMark/>
          </w:tcPr>
          <w:p w:rsidR="001D73DF" w:rsidRPr="002F17B5" w:rsidRDefault="00B43F05" w:rsidP="00B43F05">
            <w:pPr>
              <w:autoSpaceDE/>
              <w:autoSpaceDN/>
              <w:adjustRightInd/>
              <w:spacing w:before="0" w:after="0"/>
              <w:rPr>
                <w:rFonts w:eastAsia="Times New Roman" w:cs="Arial"/>
                <w:lang w:eastAsia="en-GB"/>
              </w:rPr>
            </w:pPr>
            <w:r w:rsidRPr="002F17B5">
              <w:rPr>
                <w:rFonts w:eastAsia="Times New Roman" w:cs="Arial"/>
                <w:lang w:eastAsia="en-GB"/>
              </w:rPr>
              <w:t xml:space="preserve">                    3</w:t>
            </w:r>
            <w:r w:rsidR="001A7773">
              <w:rPr>
                <w:rFonts w:eastAsia="Times New Roman" w:cs="Arial"/>
                <w:lang w:eastAsia="en-GB"/>
              </w:rPr>
              <w:t>7</w:t>
            </w:r>
          </w:p>
        </w:tc>
        <w:tc>
          <w:tcPr>
            <w:tcW w:w="1984" w:type="dxa"/>
            <w:tcBorders>
              <w:top w:val="nil"/>
              <w:left w:val="nil"/>
              <w:bottom w:val="nil"/>
              <w:right w:val="nil"/>
            </w:tcBorders>
            <w:shd w:val="clear" w:color="000000" w:fill="FFFFFF"/>
            <w:vAlign w:val="center"/>
            <w:hideMark/>
          </w:tcPr>
          <w:p w:rsidR="000D0D7F" w:rsidRPr="002F17B5" w:rsidRDefault="008A4A8C" w:rsidP="0019010D">
            <w:pPr>
              <w:autoSpaceDE/>
              <w:autoSpaceDN/>
              <w:adjustRightInd/>
              <w:spacing w:before="0" w:after="0"/>
              <w:jc w:val="right"/>
              <w:rPr>
                <w:rFonts w:eastAsia="Times New Roman" w:cs="Arial"/>
                <w:lang w:eastAsia="en-GB"/>
              </w:rPr>
            </w:pPr>
            <w:r w:rsidRPr="002F17B5">
              <w:rPr>
                <w:rFonts w:eastAsia="Times New Roman" w:cs="Arial"/>
                <w:lang w:eastAsia="en-GB"/>
              </w:rPr>
              <w:t>93.9</w:t>
            </w:r>
          </w:p>
        </w:tc>
        <w:tc>
          <w:tcPr>
            <w:tcW w:w="2126" w:type="dxa"/>
            <w:tcBorders>
              <w:top w:val="nil"/>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lang w:eastAsia="en-GB"/>
              </w:rPr>
            </w:pPr>
            <w:r w:rsidRPr="002F17B5">
              <w:rPr>
                <w:rFonts w:eastAsia="Times New Roman" w:cs="Arial"/>
                <w:lang w:eastAsia="en-GB"/>
              </w:rPr>
              <w:t>(52.7)</w:t>
            </w:r>
          </w:p>
        </w:tc>
      </w:tr>
      <w:tr w:rsidR="000D0D7F" w:rsidRPr="002F17B5" w:rsidTr="00945B35">
        <w:trPr>
          <w:trHeight w:val="30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lang w:eastAsia="en-GB"/>
              </w:rPr>
            </w:pPr>
            <w:r w:rsidRPr="002F17B5">
              <w:rPr>
                <w:rFonts w:eastAsia="Times New Roman" w:cs="Arial"/>
                <w:lang w:eastAsia="en-GB"/>
              </w:rPr>
              <w:t>Net Cash flows from Financing Activities</w:t>
            </w:r>
          </w:p>
        </w:tc>
        <w:tc>
          <w:tcPr>
            <w:tcW w:w="1843" w:type="dxa"/>
            <w:tcBorders>
              <w:top w:val="nil"/>
              <w:left w:val="nil"/>
              <w:bottom w:val="nil"/>
              <w:right w:val="nil"/>
            </w:tcBorders>
            <w:shd w:val="clear" w:color="000000" w:fill="FFFFFF"/>
            <w:vAlign w:val="center"/>
            <w:hideMark/>
          </w:tcPr>
          <w:p w:rsidR="001D73DF" w:rsidRPr="002F17B5" w:rsidRDefault="00B43F05">
            <w:pPr>
              <w:autoSpaceDE/>
              <w:autoSpaceDN/>
              <w:adjustRightInd/>
              <w:spacing w:before="0" w:after="0"/>
              <w:jc w:val="right"/>
              <w:rPr>
                <w:rFonts w:eastAsia="Times New Roman" w:cs="Arial"/>
                <w:lang w:eastAsia="en-GB"/>
              </w:rPr>
            </w:pPr>
            <w:r w:rsidRPr="002F17B5">
              <w:rPr>
                <w:rFonts w:eastAsia="Times New Roman" w:cs="Arial"/>
                <w:lang w:eastAsia="en-GB"/>
              </w:rPr>
              <w:t>3</w:t>
            </w:r>
            <w:r w:rsidR="001A7773">
              <w:rPr>
                <w:rFonts w:eastAsia="Times New Roman" w:cs="Arial"/>
                <w:lang w:eastAsia="en-GB"/>
              </w:rPr>
              <w:t>8</w:t>
            </w:r>
          </w:p>
        </w:tc>
        <w:tc>
          <w:tcPr>
            <w:tcW w:w="1984" w:type="dxa"/>
            <w:tcBorders>
              <w:top w:val="nil"/>
              <w:left w:val="nil"/>
              <w:bottom w:val="nil"/>
              <w:right w:val="nil"/>
            </w:tcBorders>
            <w:shd w:val="clear" w:color="000000" w:fill="FFFFFF"/>
            <w:vAlign w:val="center"/>
            <w:hideMark/>
          </w:tcPr>
          <w:p w:rsidR="000D0D7F" w:rsidRPr="002F17B5" w:rsidRDefault="00020689" w:rsidP="0019010D">
            <w:pPr>
              <w:autoSpaceDE/>
              <w:autoSpaceDN/>
              <w:adjustRightInd/>
              <w:spacing w:before="0" w:after="0"/>
              <w:jc w:val="right"/>
              <w:rPr>
                <w:rFonts w:eastAsia="Times New Roman" w:cs="Arial"/>
                <w:lang w:eastAsia="en-GB"/>
              </w:rPr>
            </w:pPr>
            <w:r w:rsidRPr="002F17B5">
              <w:rPr>
                <w:rFonts w:eastAsia="Times New Roman" w:cs="Arial"/>
                <w:lang w:eastAsia="en-GB"/>
              </w:rPr>
              <w:t>(</w:t>
            </w:r>
            <w:r w:rsidR="008A4A8C" w:rsidRPr="002F17B5">
              <w:rPr>
                <w:rFonts w:eastAsia="Times New Roman" w:cs="Arial"/>
                <w:lang w:eastAsia="en-GB"/>
              </w:rPr>
              <w:t>64.9</w:t>
            </w:r>
            <w:r w:rsidRPr="002F17B5">
              <w:rPr>
                <w:rFonts w:eastAsia="Times New Roman" w:cs="Arial"/>
                <w:lang w:eastAsia="en-GB"/>
              </w:rPr>
              <w:t>)</w:t>
            </w:r>
          </w:p>
        </w:tc>
        <w:tc>
          <w:tcPr>
            <w:tcW w:w="2126" w:type="dxa"/>
            <w:tcBorders>
              <w:top w:val="nil"/>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lang w:eastAsia="en-GB"/>
              </w:rPr>
            </w:pPr>
            <w:r w:rsidRPr="002F17B5">
              <w:rPr>
                <w:rFonts w:eastAsia="Times New Roman" w:cs="Arial"/>
                <w:lang w:eastAsia="en-GB"/>
              </w:rPr>
              <w:t>83.4</w:t>
            </w:r>
          </w:p>
        </w:tc>
      </w:tr>
      <w:tr w:rsidR="000D0D7F" w:rsidRPr="002F17B5" w:rsidTr="00A0198C">
        <w:trPr>
          <w:trHeight w:val="30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sz w:val="6"/>
                <w:szCs w:val="6"/>
                <w:lang w:eastAsia="en-GB"/>
              </w:rPr>
            </w:pPr>
          </w:p>
        </w:tc>
        <w:tc>
          <w:tcPr>
            <w:tcW w:w="1984" w:type="dxa"/>
            <w:tcBorders>
              <w:top w:val="nil"/>
              <w:left w:val="nil"/>
              <w:bottom w:val="single" w:sz="4" w:space="0" w:color="auto"/>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sz w:val="6"/>
                <w:szCs w:val="6"/>
                <w:lang w:eastAsia="en-GB"/>
              </w:rPr>
            </w:pPr>
          </w:p>
        </w:tc>
        <w:tc>
          <w:tcPr>
            <w:tcW w:w="2126" w:type="dxa"/>
            <w:tcBorders>
              <w:top w:val="nil"/>
              <w:left w:val="nil"/>
              <w:bottom w:val="single" w:sz="4" w:space="0" w:color="auto"/>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sz w:val="6"/>
                <w:szCs w:val="6"/>
                <w:lang w:eastAsia="en-GB"/>
              </w:rPr>
            </w:pPr>
          </w:p>
        </w:tc>
      </w:tr>
      <w:tr w:rsidR="000D0D7F" w:rsidRPr="002F17B5" w:rsidTr="00A0198C">
        <w:trPr>
          <w:trHeight w:val="315"/>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b/>
                <w:bCs/>
                <w:lang w:eastAsia="en-GB"/>
              </w:rPr>
            </w:pPr>
            <w:r w:rsidRPr="002F17B5">
              <w:rPr>
                <w:rFonts w:eastAsia="Times New Roman" w:cs="Arial"/>
                <w:b/>
                <w:bCs/>
                <w:lang w:eastAsia="en-GB"/>
              </w:rPr>
              <w:t>Net increase or decrease in cash and cash equivalents</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lang w:eastAsia="en-GB"/>
              </w:rPr>
            </w:pPr>
          </w:p>
        </w:tc>
        <w:tc>
          <w:tcPr>
            <w:tcW w:w="1984" w:type="dxa"/>
            <w:tcBorders>
              <w:top w:val="single" w:sz="4" w:space="0" w:color="auto"/>
              <w:left w:val="nil"/>
              <w:bottom w:val="nil"/>
              <w:right w:val="nil"/>
            </w:tcBorders>
            <w:shd w:val="clear" w:color="000000" w:fill="FFFFFF"/>
            <w:vAlign w:val="center"/>
            <w:hideMark/>
          </w:tcPr>
          <w:p w:rsidR="000D0D7F" w:rsidRPr="002F17B5" w:rsidRDefault="008A4A8C" w:rsidP="0019010D">
            <w:pPr>
              <w:autoSpaceDE/>
              <w:autoSpaceDN/>
              <w:adjustRightInd/>
              <w:spacing w:before="0" w:after="0"/>
              <w:jc w:val="right"/>
              <w:rPr>
                <w:rFonts w:eastAsia="Times New Roman" w:cs="Arial"/>
                <w:b/>
                <w:bCs/>
                <w:lang w:eastAsia="en-GB"/>
              </w:rPr>
            </w:pPr>
            <w:r w:rsidRPr="002F17B5">
              <w:rPr>
                <w:rFonts w:eastAsia="Times New Roman" w:cs="Arial"/>
                <w:b/>
                <w:bCs/>
                <w:lang w:eastAsia="en-GB"/>
              </w:rPr>
              <w:t>(25.</w:t>
            </w:r>
            <w:r w:rsidR="003C76C4">
              <w:rPr>
                <w:rFonts w:eastAsia="Times New Roman" w:cs="Arial"/>
                <w:b/>
                <w:bCs/>
                <w:lang w:eastAsia="en-GB"/>
              </w:rPr>
              <w:t>8</w:t>
            </w:r>
            <w:r w:rsidRPr="002F17B5">
              <w:rPr>
                <w:rFonts w:eastAsia="Times New Roman" w:cs="Arial"/>
                <w:b/>
                <w:bCs/>
                <w:lang w:eastAsia="en-GB"/>
              </w:rPr>
              <w:t>)</w:t>
            </w:r>
          </w:p>
        </w:tc>
        <w:tc>
          <w:tcPr>
            <w:tcW w:w="2126" w:type="dxa"/>
            <w:tcBorders>
              <w:top w:val="single" w:sz="4" w:space="0" w:color="auto"/>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b/>
                <w:bCs/>
                <w:lang w:eastAsia="en-GB"/>
              </w:rPr>
            </w:pPr>
            <w:r w:rsidRPr="002F17B5">
              <w:rPr>
                <w:rFonts w:eastAsia="Times New Roman" w:cs="Arial"/>
                <w:b/>
                <w:bCs/>
                <w:lang w:eastAsia="en-GB"/>
              </w:rPr>
              <w:t>(17.7)</w:t>
            </w:r>
          </w:p>
        </w:tc>
      </w:tr>
      <w:tr w:rsidR="000D0D7F" w:rsidRPr="002F17B5" w:rsidTr="00945B35">
        <w:trPr>
          <w:trHeight w:val="315"/>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b/>
                <w:bCs/>
                <w:lang w:eastAsia="en-GB"/>
              </w:rPr>
            </w:pPr>
            <w:r w:rsidRPr="002F17B5">
              <w:rPr>
                <w:rFonts w:eastAsia="Times New Roman" w:cs="Arial"/>
                <w:b/>
                <w:bCs/>
                <w:lang w:eastAsia="en-GB"/>
              </w:rPr>
              <w:t> </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lang w:eastAsia="en-GB"/>
              </w:rPr>
            </w:pPr>
          </w:p>
        </w:tc>
        <w:tc>
          <w:tcPr>
            <w:tcW w:w="1984" w:type="dxa"/>
            <w:tcBorders>
              <w:top w:val="nil"/>
              <w:left w:val="nil"/>
              <w:bottom w:val="nil"/>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lang w:eastAsia="en-GB"/>
              </w:rPr>
            </w:pPr>
          </w:p>
        </w:tc>
        <w:tc>
          <w:tcPr>
            <w:tcW w:w="2126" w:type="dxa"/>
            <w:tcBorders>
              <w:top w:val="nil"/>
              <w:left w:val="nil"/>
              <w:bottom w:val="nil"/>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lang w:eastAsia="en-GB"/>
              </w:rPr>
            </w:pPr>
          </w:p>
        </w:tc>
      </w:tr>
      <w:tr w:rsidR="000D0D7F" w:rsidRPr="002F17B5" w:rsidTr="00945B35">
        <w:trPr>
          <w:trHeight w:val="60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lang w:eastAsia="en-GB"/>
              </w:rPr>
            </w:pPr>
            <w:r w:rsidRPr="002F17B5">
              <w:rPr>
                <w:rFonts w:eastAsia="Times New Roman" w:cs="Arial"/>
                <w:lang w:eastAsia="en-GB"/>
              </w:rPr>
              <w:t>Cash and cash equivalents at the beginning of the reporting period</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lang w:eastAsia="en-GB"/>
              </w:rPr>
            </w:pPr>
          </w:p>
        </w:tc>
        <w:tc>
          <w:tcPr>
            <w:tcW w:w="1984" w:type="dxa"/>
            <w:tcBorders>
              <w:top w:val="nil"/>
              <w:left w:val="nil"/>
              <w:bottom w:val="nil"/>
              <w:right w:val="nil"/>
            </w:tcBorders>
            <w:shd w:val="clear" w:color="000000" w:fill="FFFFFF"/>
            <w:vAlign w:val="center"/>
            <w:hideMark/>
          </w:tcPr>
          <w:p w:rsidR="000D0D7F" w:rsidRPr="002F17B5" w:rsidRDefault="008A4A8C" w:rsidP="0019010D">
            <w:pPr>
              <w:autoSpaceDE/>
              <w:autoSpaceDN/>
              <w:adjustRightInd/>
              <w:spacing w:before="0" w:after="0"/>
              <w:jc w:val="right"/>
              <w:rPr>
                <w:rFonts w:eastAsia="Times New Roman" w:cs="Arial"/>
                <w:lang w:eastAsia="en-GB"/>
              </w:rPr>
            </w:pPr>
            <w:r w:rsidRPr="002F17B5">
              <w:rPr>
                <w:rFonts w:eastAsia="Times New Roman" w:cs="Arial"/>
                <w:lang w:eastAsia="en-GB"/>
              </w:rPr>
              <w:t>(65.6)</w:t>
            </w:r>
          </w:p>
        </w:tc>
        <w:tc>
          <w:tcPr>
            <w:tcW w:w="2126" w:type="dxa"/>
            <w:tcBorders>
              <w:top w:val="nil"/>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lang w:eastAsia="en-GB"/>
              </w:rPr>
            </w:pPr>
            <w:r w:rsidRPr="002F17B5">
              <w:rPr>
                <w:rFonts w:eastAsia="Times New Roman" w:cs="Arial"/>
                <w:lang w:eastAsia="en-GB"/>
              </w:rPr>
              <w:t>(47.9)</w:t>
            </w:r>
          </w:p>
        </w:tc>
      </w:tr>
      <w:tr w:rsidR="000D0D7F" w:rsidRPr="002F17B5" w:rsidTr="00A0198C">
        <w:trPr>
          <w:trHeight w:val="315"/>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lang w:eastAsia="en-GB"/>
              </w:rPr>
            </w:pPr>
          </w:p>
        </w:tc>
        <w:tc>
          <w:tcPr>
            <w:tcW w:w="1984" w:type="dxa"/>
            <w:tcBorders>
              <w:top w:val="nil"/>
              <w:left w:val="nil"/>
              <w:bottom w:val="single" w:sz="4" w:space="0" w:color="auto"/>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b/>
                <w:bCs/>
                <w:lang w:eastAsia="en-GB"/>
              </w:rPr>
            </w:pPr>
          </w:p>
        </w:tc>
        <w:tc>
          <w:tcPr>
            <w:tcW w:w="2126" w:type="dxa"/>
            <w:tcBorders>
              <w:top w:val="nil"/>
              <w:left w:val="nil"/>
              <w:bottom w:val="single" w:sz="4" w:space="0" w:color="auto"/>
              <w:right w:val="nil"/>
            </w:tcBorders>
            <w:shd w:val="clear" w:color="000000" w:fill="FFFFFF"/>
            <w:vAlign w:val="center"/>
            <w:hideMark/>
          </w:tcPr>
          <w:p w:rsidR="000D0D7F" w:rsidRPr="002F17B5" w:rsidRDefault="000D0D7F" w:rsidP="0019010D">
            <w:pPr>
              <w:autoSpaceDE/>
              <w:autoSpaceDN/>
              <w:adjustRightInd/>
              <w:spacing w:before="0" w:after="0"/>
              <w:jc w:val="right"/>
              <w:rPr>
                <w:rFonts w:eastAsia="Times New Roman" w:cs="Arial"/>
                <w:b/>
                <w:bCs/>
                <w:lang w:eastAsia="en-GB"/>
              </w:rPr>
            </w:pPr>
          </w:p>
        </w:tc>
      </w:tr>
      <w:tr w:rsidR="000D0D7F" w:rsidRPr="002F17B5" w:rsidTr="00A0198C">
        <w:trPr>
          <w:trHeight w:val="630"/>
        </w:trPr>
        <w:tc>
          <w:tcPr>
            <w:tcW w:w="4272" w:type="dxa"/>
            <w:tcBorders>
              <w:top w:val="nil"/>
              <w:left w:val="nil"/>
              <w:bottom w:val="nil"/>
              <w:right w:val="nil"/>
            </w:tcBorders>
            <w:shd w:val="clear" w:color="000000" w:fill="FFFFFF"/>
            <w:vAlign w:val="center"/>
            <w:hideMark/>
          </w:tcPr>
          <w:p w:rsidR="000D0D7F" w:rsidRPr="002F17B5" w:rsidRDefault="000D0D7F" w:rsidP="00945B35">
            <w:pPr>
              <w:autoSpaceDE/>
              <w:autoSpaceDN/>
              <w:adjustRightInd/>
              <w:spacing w:before="0" w:after="0"/>
              <w:jc w:val="left"/>
              <w:rPr>
                <w:rFonts w:eastAsia="Times New Roman" w:cs="Arial"/>
                <w:b/>
                <w:bCs/>
                <w:lang w:eastAsia="en-GB"/>
              </w:rPr>
            </w:pPr>
            <w:r w:rsidRPr="002F17B5">
              <w:rPr>
                <w:rFonts w:eastAsia="Times New Roman" w:cs="Arial"/>
                <w:b/>
                <w:bCs/>
                <w:lang w:eastAsia="en-GB"/>
              </w:rPr>
              <w:t>Cash and cash equivalents at the end of the reporting period</w:t>
            </w:r>
          </w:p>
        </w:tc>
        <w:tc>
          <w:tcPr>
            <w:tcW w:w="1843" w:type="dxa"/>
            <w:tcBorders>
              <w:top w:val="nil"/>
              <w:left w:val="nil"/>
              <w:bottom w:val="nil"/>
              <w:right w:val="nil"/>
            </w:tcBorders>
            <w:shd w:val="clear" w:color="000000" w:fill="FFFFFF"/>
            <w:vAlign w:val="center"/>
            <w:hideMark/>
          </w:tcPr>
          <w:p w:rsidR="001D73DF" w:rsidRPr="002F17B5" w:rsidRDefault="001D73DF">
            <w:pPr>
              <w:autoSpaceDE/>
              <w:autoSpaceDN/>
              <w:adjustRightInd/>
              <w:spacing w:before="0" w:after="0"/>
              <w:jc w:val="right"/>
              <w:rPr>
                <w:rFonts w:eastAsia="Times New Roman" w:cs="Arial"/>
                <w:lang w:eastAsia="en-GB"/>
              </w:rPr>
            </w:pPr>
          </w:p>
        </w:tc>
        <w:tc>
          <w:tcPr>
            <w:tcW w:w="1984" w:type="dxa"/>
            <w:tcBorders>
              <w:top w:val="single" w:sz="4" w:space="0" w:color="auto"/>
              <w:left w:val="nil"/>
              <w:bottom w:val="nil"/>
              <w:right w:val="nil"/>
            </w:tcBorders>
            <w:shd w:val="clear" w:color="000000" w:fill="FFFFFF"/>
            <w:vAlign w:val="center"/>
            <w:hideMark/>
          </w:tcPr>
          <w:p w:rsidR="000D0D7F" w:rsidRPr="002F17B5" w:rsidRDefault="008A4A8C" w:rsidP="007D7B48">
            <w:pPr>
              <w:autoSpaceDE/>
              <w:autoSpaceDN/>
              <w:adjustRightInd/>
              <w:spacing w:before="0" w:after="0"/>
              <w:jc w:val="right"/>
              <w:rPr>
                <w:rFonts w:eastAsia="Times New Roman" w:cs="Arial"/>
                <w:b/>
                <w:bCs/>
                <w:lang w:eastAsia="en-GB"/>
              </w:rPr>
            </w:pPr>
            <w:r w:rsidRPr="002F17B5">
              <w:rPr>
                <w:rFonts w:eastAsia="Times New Roman" w:cs="Arial"/>
                <w:b/>
                <w:bCs/>
                <w:lang w:eastAsia="en-GB"/>
              </w:rPr>
              <w:t>(91.</w:t>
            </w:r>
            <w:r w:rsidR="007D7B48" w:rsidRPr="002F17B5">
              <w:rPr>
                <w:rFonts w:eastAsia="Times New Roman" w:cs="Arial"/>
                <w:b/>
                <w:bCs/>
                <w:lang w:eastAsia="en-GB"/>
              </w:rPr>
              <w:t>4</w:t>
            </w:r>
            <w:r w:rsidRPr="002F17B5">
              <w:rPr>
                <w:rFonts w:eastAsia="Times New Roman" w:cs="Arial"/>
                <w:b/>
                <w:bCs/>
                <w:lang w:eastAsia="en-GB"/>
              </w:rPr>
              <w:t>)</w:t>
            </w:r>
          </w:p>
        </w:tc>
        <w:tc>
          <w:tcPr>
            <w:tcW w:w="2126" w:type="dxa"/>
            <w:tcBorders>
              <w:top w:val="single" w:sz="4" w:space="0" w:color="auto"/>
              <w:left w:val="nil"/>
              <w:bottom w:val="nil"/>
              <w:right w:val="nil"/>
            </w:tcBorders>
            <w:shd w:val="clear" w:color="000000" w:fill="FFFFFF"/>
            <w:vAlign w:val="center"/>
            <w:hideMark/>
          </w:tcPr>
          <w:p w:rsidR="000D0D7F" w:rsidRPr="002F17B5" w:rsidRDefault="006D01F9" w:rsidP="0019010D">
            <w:pPr>
              <w:autoSpaceDE/>
              <w:autoSpaceDN/>
              <w:adjustRightInd/>
              <w:spacing w:before="0" w:after="0"/>
              <w:jc w:val="right"/>
              <w:rPr>
                <w:rFonts w:eastAsia="Times New Roman" w:cs="Arial"/>
                <w:b/>
                <w:bCs/>
                <w:lang w:eastAsia="en-GB"/>
              </w:rPr>
            </w:pPr>
            <w:r w:rsidRPr="002F17B5">
              <w:rPr>
                <w:rFonts w:eastAsia="Times New Roman" w:cs="Arial"/>
                <w:b/>
                <w:bCs/>
                <w:lang w:eastAsia="en-GB"/>
              </w:rPr>
              <w:t>(65.6)</w:t>
            </w:r>
          </w:p>
        </w:tc>
      </w:tr>
    </w:tbl>
    <w:p w:rsidR="00CA2D33" w:rsidRPr="002F17B5" w:rsidRDefault="00CA2D33" w:rsidP="00144349"/>
    <w:p w:rsidR="000B1E42" w:rsidRDefault="000B1E42" w:rsidP="00CA2D33"/>
    <w:p w:rsidR="000B1E42" w:rsidRDefault="000B1E42" w:rsidP="00CA2D33"/>
    <w:p w:rsidR="000B1E42" w:rsidRDefault="000B1E42" w:rsidP="00CA2D33"/>
    <w:p w:rsidR="000B1E42" w:rsidRDefault="000B1E42" w:rsidP="00CA2D33"/>
    <w:p w:rsidR="000B1E42" w:rsidRDefault="000B1E42" w:rsidP="00CA2D33"/>
    <w:p w:rsidR="000B1E42" w:rsidRPr="000B1E42" w:rsidRDefault="000B1E42" w:rsidP="00CA2D33">
      <w:pPr>
        <w:rPr>
          <w:b/>
        </w:rPr>
      </w:pPr>
      <w:r w:rsidRPr="000B1E42">
        <w:rPr>
          <w:b/>
        </w:rPr>
        <w:t>Gill Kilpatrick CPFA</w:t>
      </w:r>
      <w:r w:rsidRPr="000B1E42">
        <w:rPr>
          <w:b/>
        </w:rPr>
        <w:tab/>
      </w:r>
      <w:r w:rsidRPr="000B1E42">
        <w:rPr>
          <w:b/>
        </w:rPr>
        <w:tab/>
      </w:r>
      <w:r w:rsidRPr="000B1E42">
        <w:rPr>
          <w:b/>
        </w:rPr>
        <w:tab/>
      </w:r>
      <w:r w:rsidRPr="000B1E42">
        <w:rPr>
          <w:b/>
        </w:rPr>
        <w:tab/>
        <w:t xml:space="preserve">County Councillor </w:t>
      </w:r>
      <w:r w:rsidR="00801BC4">
        <w:rPr>
          <w:b/>
        </w:rPr>
        <w:t>Terry Brown</w:t>
      </w:r>
    </w:p>
    <w:p w:rsidR="000B1E42" w:rsidRPr="000B1E42" w:rsidRDefault="000B1E42" w:rsidP="00CA2D33">
      <w:pPr>
        <w:rPr>
          <w:b/>
        </w:rPr>
      </w:pPr>
      <w:r w:rsidRPr="000B1E42">
        <w:rPr>
          <w:b/>
        </w:rPr>
        <w:t>County Treasurer</w:t>
      </w:r>
      <w:r w:rsidRPr="000B1E42">
        <w:rPr>
          <w:b/>
        </w:rPr>
        <w:tab/>
      </w:r>
      <w:r w:rsidRPr="000B1E42">
        <w:rPr>
          <w:b/>
        </w:rPr>
        <w:tab/>
      </w:r>
      <w:r w:rsidRPr="000B1E42">
        <w:rPr>
          <w:b/>
        </w:rPr>
        <w:tab/>
      </w:r>
      <w:r w:rsidRPr="000B1E42">
        <w:rPr>
          <w:b/>
        </w:rPr>
        <w:tab/>
      </w:r>
      <w:r w:rsidRPr="000B1E42">
        <w:rPr>
          <w:b/>
        </w:rPr>
        <w:tab/>
      </w:r>
      <w:r w:rsidR="003E098E" w:rsidRPr="003E098E">
        <w:rPr>
          <w:b/>
        </w:rPr>
        <w:t>Chair of the A</w:t>
      </w:r>
      <w:r w:rsidRPr="003E098E">
        <w:rPr>
          <w:b/>
        </w:rPr>
        <w:t>udit and Governance Committee</w:t>
      </w:r>
    </w:p>
    <w:p w:rsidR="00CA2D33" w:rsidRPr="002F17B5" w:rsidRDefault="000B1E42" w:rsidP="00CA2D33">
      <w:r w:rsidRPr="000B1E42">
        <w:rPr>
          <w:b/>
        </w:rPr>
        <w:t>29th September 2014</w:t>
      </w:r>
      <w:r w:rsidRPr="000B1E42">
        <w:rPr>
          <w:b/>
        </w:rPr>
        <w:tab/>
      </w:r>
      <w:r w:rsidRPr="000B1E42">
        <w:rPr>
          <w:b/>
        </w:rPr>
        <w:tab/>
      </w:r>
      <w:r w:rsidRPr="000B1E42">
        <w:rPr>
          <w:b/>
        </w:rPr>
        <w:tab/>
      </w:r>
      <w:r w:rsidRPr="000B1E42">
        <w:rPr>
          <w:b/>
        </w:rPr>
        <w:tab/>
        <w:t>29</w:t>
      </w:r>
      <w:r w:rsidRPr="000B1E42">
        <w:rPr>
          <w:b/>
          <w:vertAlign w:val="superscript"/>
        </w:rPr>
        <w:t>th</w:t>
      </w:r>
      <w:r w:rsidRPr="000B1E42">
        <w:rPr>
          <w:b/>
        </w:rPr>
        <w:t xml:space="preserve"> September 2014</w:t>
      </w:r>
      <w:r w:rsidR="00CA2D33" w:rsidRPr="002F17B5">
        <w:br w:type="page"/>
      </w:r>
    </w:p>
    <w:p w:rsidR="00B70B4B" w:rsidRPr="002F17B5" w:rsidRDefault="00AB4059">
      <w:pPr>
        <w:pStyle w:val="Heading1"/>
      </w:pPr>
      <w:r w:rsidRPr="002F17B5">
        <w:lastRenderedPageBreak/>
        <w:t>Notes to the financial statements</w:t>
      </w:r>
    </w:p>
    <w:p w:rsidR="00AB4059" w:rsidRPr="002F17B5" w:rsidRDefault="00824DC9" w:rsidP="008C3748">
      <w:pPr>
        <w:pStyle w:val="Heading2"/>
      </w:pPr>
      <w:r w:rsidRPr="002F17B5">
        <w:t>General n</w:t>
      </w:r>
      <w:r w:rsidR="00AB4059" w:rsidRPr="002F17B5">
        <w:t>otes</w:t>
      </w:r>
    </w:p>
    <w:p w:rsidR="00B70B4B" w:rsidRPr="002F17B5" w:rsidRDefault="00824DC9">
      <w:pPr>
        <w:pStyle w:val="Heading3-numbered"/>
        <w:rPr>
          <w:i w:val="0"/>
          <w:sz w:val="26"/>
          <w:szCs w:val="26"/>
        </w:rPr>
      </w:pPr>
      <w:r w:rsidRPr="002F17B5">
        <w:rPr>
          <w:i w:val="0"/>
          <w:sz w:val="26"/>
          <w:szCs w:val="26"/>
        </w:rPr>
        <w:t>Accounting p</w:t>
      </w:r>
      <w:r w:rsidR="00286D86" w:rsidRPr="002F17B5">
        <w:rPr>
          <w:i w:val="0"/>
          <w:sz w:val="26"/>
          <w:szCs w:val="26"/>
        </w:rPr>
        <w:t>olicies</w:t>
      </w:r>
    </w:p>
    <w:p w:rsidR="00B70B4B" w:rsidRPr="002F17B5" w:rsidRDefault="00286D86" w:rsidP="00AA0715">
      <w:pPr>
        <w:pStyle w:val="Heading3-numbered"/>
        <w:numPr>
          <w:ilvl w:val="1"/>
          <w:numId w:val="35"/>
        </w:numPr>
        <w:spacing w:after="0"/>
        <w:ind w:left="426"/>
        <w:rPr>
          <w:rFonts w:eastAsia="Calibri" w:cs="Helvetica-Light"/>
          <w:bCs w:val="0"/>
          <w:i w:val="0"/>
          <w:color w:val="000000"/>
          <w:sz w:val="24"/>
          <w:szCs w:val="24"/>
        </w:rPr>
      </w:pPr>
      <w:r w:rsidRPr="002F17B5">
        <w:rPr>
          <w:rFonts w:eastAsia="Calibri" w:cs="Helvetica-Light"/>
          <w:bCs w:val="0"/>
          <w:i w:val="0"/>
          <w:color w:val="000000"/>
          <w:sz w:val="24"/>
          <w:szCs w:val="24"/>
        </w:rPr>
        <w:t>General</w:t>
      </w:r>
    </w:p>
    <w:p w:rsidR="00B70B4B" w:rsidRPr="00BF7D57" w:rsidRDefault="00B70B4B">
      <w:pPr>
        <w:pStyle w:val="Heading3-numbered"/>
        <w:numPr>
          <w:ilvl w:val="0"/>
          <w:numId w:val="0"/>
        </w:numPr>
        <w:spacing w:after="0"/>
        <w:ind w:left="426"/>
        <w:rPr>
          <w:rFonts w:eastAsia="Calibri" w:cs="Helvetica-Light"/>
          <w:bCs w:val="0"/>
          <w:color w:val="000000"/>
          <w:sz w:val="12"/>
          <w:szCs w:val="24"/>
        </w:rPr>
      </w:pPr>
    </w:p>
    <w:p w:rsidR="00B70B4B" w:rsidRPr="002F17B5" w:rsidRDefault="00180A89">
      <w:pPr>
        <w:spacing w:after="0"/>
        <w:ind w:left="720"/>
      </w:pPr>
      <w:r w:rsidRPr="002F17B5">
        <w:t xml:space="preserve">The Statement of Accounts summarises the council's transactions for the </w:t>
      </w:r>
      <w:r w:rsidR="00CD4CF3" w:rsidRPr="002F17B5">
        <w:t>2013/14</w:t>
      </w:r>
      <w:r w:rsidRPr="002F17B5">
        <w:t xml:space="preserve"> financial year and its position at the year end of </w:t>
      </w:r>
      <w:r w:rsidR="006D01F9" w:rsidRPr="002F17B5">
        <w:t>31 March 2014</w:t>
      </w:r>
      <w:r w:rsidRPr="002F17B5">
        <w:t xml:space="preserve">. The council is required to prepare an annual Statement of Accounts by the Accounts and Audit Regulations, which require the accounts to be prepared in accordance with proper accounting practices. These practices primarily comprise the Code of Practice on Local Authority Accounting in the United Kingdom </w:t>
      </w:r>
      <w:r w:rsidR="00CD4CF3" w:rsidRPr="002F17B5">
        <w:t>2013/14</w:t>
      </w:r>
      <w:r w:rsidR="00EF6A02" w:rsidRPr="002F17B5">
        <w:t xml:space="preserve"> </w:t>
      </w:r>
      <w:r w:rsidRPr="002F17B5">
        <w:t xml:space="preserve">and the Service Reporting Code of Practice </w:t>
      </w:r>
      <w:r w:rsidR="00CD4CF3" w:rsidRPr="002F17B5">
        <w:t>2013/14</w:t>
      </w:r>
      <w:r w:rsidRPr="002F17B5">
        <w:t>, supported by International Financial Reporting Standards (IFRS). The accounting convention adopted is historical cost, modified by the revaluation of certain categories of non-current assets.</w:t>
      </w:r>
    </w:p>
    <w:p w:rsidR="00B70B4B" w:rsidRPr="002F17B5" w:rsidRDefault="00B70B4B">
      <w:pPr>
        <w:spacing w:after="0"/>
        <w:ind w:left="720"/>
        <w:rPr>
          <w:sz w:val="28"/>
        </w:rPr>
      </w:pPr>
    </w:p>
    <w:p w:rsidR="003A2194" w:rsidRDefault="00180A89" w:rsidP="00630928">
      <w:pPr>
        <w:spacing w:after="0"/>
        <w:ind w:left="720"/>
      </w:pPr>
      <w:r w:rsidRPr="002F17B5">
        <w:t>The balance sheet does not include the balances of the Lancashire County Pension Fund and several small trust funds, which are presented in separate statements. Most of the trust funds have been set up as a result of gifts and bequests to be used for the benefit of children, students or clients at particular schools, colleges, homes or in specific areas.</w:t>
      </w:r>
    </w:p>
    <w:p w:rsidR="000B54CC" w:rsidRDefault="000B54CC" w:rsidP="00630928">
      <w:pPr>
        <w:spacing w:after="0"/>
        <w:ind w:left="720"/>
      </w:pPr>
    </w:p>
    <w:p w:rsidR="003A2194" w:rsidRDefault="003A2194" w:rsidP="00630928">
      <w:pPr>
        <w:spacing w:after="0"/>
        <w:ind w:left="720"/>
      </w:pPr>
    </w:p>
    <w:p w:rsidR="00B70B4B" w:rsidRPr="002F17B5" w:rsidRDefault="00824DC9" w:rsidP="00AA0715">
      <w:pPr>
        <w:numPr>
          <w:ilvl w:val="0"/>
          <w:numId w:val="47"/>
        </w:numPr>
        <w:autoSpaceDE/>
        <w:autoSpaceDN/>
        <w:adjustRightInd/>
        <w:spacing w:before="0" w:line="360" w:lineRule="auto"/>
        <w:jc w:val="left"/>
      </w:pPr>
      <w:r w:rsidRPr="002F17B5">
        <w:rPr>
          <w:b/>
        </w:rPr>
        <w:t>Accruals of Income and E</w:t>
      </w:r>
      <w:r w:rsidR="00180A89" w:rsidRPr="002F17B5">
        <w:rPr>
          <w:b/>
        </w:rPr>
        <w:t>xpenditure</w:t>
      </w:r>
    </w:p>
    <w:p w:rsidR="00180A89" w:rsidRPr="002F17B5" w:rsidRDefault="00180A89" w:rsidP="00180A89">
      <w:pPr>
        <w:spacing w:after="240"/>
        <w:ind w:left="720"/>
      </w:pPr>
      <w:r w:rsidRPr="002F17B5">
        <w:t>Activity is accounted for in the year that it takes place, not simply when cash payments are made or received. In particular:</w:t>
      </w:r>
    </w:p>
    <w:p w:rsidR="00180A89" w:rsidRDefault="00180A89" w:rsidP="00144349">
      <w:pPr>
        <w:numPr>
          <w:ilvl w:val="0"/>
          <w:numId w:val="26"/>
        </w:numPr>
        <w:tabs>
          <w:tab w:val="clear" w:pos="2160"/>
          <w:tab w:val="num" w:pos="1134"/>
        </w:tabs>
        <w:autoSpaceDE/>
        <w:autoSpaceDN/>
        <w:adjustRightInd/>
        <w:spacing w:before="0" w:after="240"/>
        <w:ind w:left="1134" w:hanging="425"/>
      </w:pPr>
      <w:r w:rsidRPr="002F17B5">
        <w:t>Fees, charges and rents due from customers are accounted for as income at the date the council provides the relevant goods or services.</w:t>
      </w:r>
    </w:p>
    <w:p w:rsidR="00180A89" w:rsidRPr="002F17B5" w:rsidRDefault="004364D0" w:rsidP="00144349">
      <w:pPr>
        <w:numPr>
          <w:ilvl w:val="0"/>
          <w:numId w:val="26"/>
        </w:numPr>
        <w:tabs>
          <w:tab w:val="clear" w:pos="2160"/>
          <w:tab w:val="num" w:pos="1134"/>
        </w:tabs>
        <w:autoSpaceDE/>
        <w:autoSpaceDN/>
        <w:adjustRightInd/>
        <w:spacing w:before="0" w:after="240"/>
        <w:ind w:left="1134" w:hanging="425"/>
      </w:pPr>
      <w:r>
        <w:t xml:space="preserve">Revenue relating to such things as council tax, general rates, </w:t>
      </w:r>
      <w:proofErr w:type="spellStart"/>
      <w:r>
        <w:t>etc</w:t>
      </w:r>
      <w:proofErr w:type="spellEnd"/>
      <w:r>
        <w:t xml:space="preserve"> shall be measured at the full amount receivable (net of any impairment losses) as they are non-contractual, non-exchange transactions and there can be no difference between the delivery and payment dates</w:t>
      </w:r>
      <w:r>
        <w:rPr>
          <w:rStyle w:val="italic1"/>
        </w:rPr>
        <w:t>.</w:t>
      </w:r>
    </w:p>
    <w:p w:rsidR="00180A89" w:rsidRPr="002F17B5" w:rsidRDefault="00180A89" w:rsidP="00144349">
      <w:pPr>
        <w:numPr>
          <w:ilvl w:val="0"/>
          <w:numId w:val="26"/>
        </w:numPr>
        <w:tabs>
          <w:tab w:val="clear" w:pos="2160"/>
          <w:tab w:val="num" w:pos="1134"/>
        </w:tabs>
        <w:autoSpaceDE/>
        <w:autoSpaceDN/>
        <w:adjustRightInd/>
        <w:spacing w:before="0" w:after="240"/>
        <w:ind w:left="1134" w:hanging="425"/>
      </w:pPr>
      <w:r w:rsidRPr="002F17B5">
        <w:t>Works are charged as expenditure when they are completed, before which they are carried as works in progress on the balance sheet.</w:t>
      </w:r>
    </w:p>
    <w:p w:rsidR="00180A89" w:rsidRPr="002F17B5" w:rsidRDefault="00180A89" w:rsidP="00144349">
      <w:pPr>
        <w:numPr>
          <w:ilvl w:val="0"/>
          <w:numId w:val="26"/>
        </w:numPr>
        <w:tabs>
          <w:tab w:val="clear" w:pos="2160"/>
          <w:tab w:val="num" w:pos="1134"/>
        </w:tabs>
        <w:autoSpaceDE/>
        <w:autoSpaceDN/>
        <w:adjustRightInd/>
        <w:spacing w:before="0" w:after="240"/>
        <w:ind w:left="1134" w:hanging="425"/>
      </w:pPr>
      <w:r w:rsidRPr="002F17B5">
        <w:t>Interest payable on borrowings and receivable on investments is accounted for on the basis of the effective interest rate for the relevant financial instrument rather than the cash flows fixed or determined by the contract.</w:t>
      </w:r>
    </w:p>
    <w:p w:rsidR="00180A89" w:rsidRPr="002F17B5" w:rsidRDefault="00180A89" w:rsidP="00144349">
      <w:pPr>
        <w:numPr>
          <w:ilvl w:val="0"/>
          <w:numId w:val="26"/>
        </w:numPr>
        <w:tabs>
          <w:tab w:val="clear" w:pos="2160"/>
          <w:tab w:val="num" w:pos="1134"/>
        </w:tabs>
        <w:autoSpaceDE/>
        <w:autoSpaceDN/>
        <w:adjustRightInd/>
        <w:spacing w:before="0"/>
        <w:ind w:left="1134" w:hanging="425"/>
      </w:pPr>
      <w:r w:rsidRPr="002F17B5">
        <w:rPr>
          <w:color w:val="000000" w:themeColor="text1"/>
        </w:rPr>
        <w:t>Where income and expenditure have been recognised but cash has not been received or paid, a debtor or creditor for the relevant amount is recorded in the balance sheet.  Debtors and creditors have been included in the accounts at year end on an actual or</w:t>
      </w:r>
      <w:r w:rsidRPr="002F17B5">
        <w:t xml:space="preserve"> estimated basis in line with the accruals concept. Estimated debtors and creditors have only been included if they are material, which is defined as:</w:t>
      </w:r>
    </w:p>
    <w:p w:rsidR="00180A89" w:rsidRPr="002F17B5" w:rsidRDefault="00180A89" w:rsidP="00D55D63">
      <w:pPr>
        <w:numPr>
          <w:ilvl w:val="0"/>
          <w:numId w:val="57"/>
        </w:numPr>
        <w:autoSpaceDE/>
        <w:autoSpaceDN/>
        <w:adjustRightInd/>
        <w:spacing w:before="0"/>
      </w:pPr>
      <w:r w:rsidRPr="002F17B5">
        <w:t>£1,000 or more for primary schools, nursery schools and pupil referral units; and</w:t>
      </w:r>
    </w:p>
    <w:p w:rsidR="00180A89" w:rsidRPr="002F17B5" w:rsidRDefault="00180A89" w:rsidP="00D55D63">
      <w:pPr>
        <w:numPr>
          <w:ilvl w:val="0"/>
          <w:numId w:val="57"/>
        </w:numPr>
        <w:autoSpaceDE/>
        <w:autoSpaceDN/>
        <w:adjustRightInd/>
        <w:spacing w:before="0"/>
      </w:pPr>
      <w:r w:rsidRPr="002F17B5">
        <w:lastRenderedPageBreak/>
        <w:t>£5,000 or more for secondary schools and all other council services.</w:t>
      </w:r>
    </w:p>
    <w:p w:rsidR="00B70B4B" w:rsidRPr="002F17B5" w:rsidRDefault="00B70B4B">
      <w:pPr>
        <w:autoSpaceDE/>
        <w:autoSpaceDN/>
        <w:adjustRightInd/>
        <w:spacing w:before="0"/>
        <w:ind w:left="1494"/>
        <w:rPr>
          <w:sz w:val="8"/>
        </w:rPr>
      </w:pPr>
    </w:p>
    <w:p w:rsidR="00180A89" w:rsidRPr="002F17B5" w:rsidRDefault="00180A89" w:rsidP="00AA0715">
      <w:pPr>
        <w:pStyle w:val="ListParagraph"/>
        <w:numPr>
          <w:ilvl w:val="0"/>
          <w:numId w:val="51"/>
        </w:numPr>
        <w:autoSpaceDE/>
        <w:autoSpaceDN/>
        <w:adjustRightInd/>
        <w:spacing w:before="0" w:after="0"/>
        <w:ind w:left="1134" w:hanging="425"/>
        <w:contextualSpacing w:val="0"/>
      </w:pPr>
      <w:r w:rsidRPr="002F17B5">
        <w:t xml:space="preserve">Where it is doubtful that debts will be settled, the balance of debtors is written down and a charge made to revenue for the income that might not be collected. </w:t>
      </w:r>
    </w:p>
    <w:p w:rsidR="00754584" w:rsidRPr="002F17B5" w:rsidRDefault="00754584" w:rsidP="00754584">
      <w:pPr>
        <w:pStyle w:val="ListParagraph"/>
        <w:autoSpaceDE/>
        <w:autoSpaceDN/>
        <w:adjustRightInd/>
        <w:spacing w:before="0" w:after="0"/>
        <w:ind w:left="993"/>
        <w:contextualSpacing w:val="0"/>
        <w:rPr>
          <w:sz w:val="20"/>
        </w:rPr>
      </w:pPr>
    </w:p>
    <w:p w:rsidR="00446068" w:rsidRPr="002F17B5" w:rsidRDefault="00A955E3" w:rsidP="00AA0715">
      <w:pPr>
        <w:pStyle w:val="ListParagraph"/>
        <w:numPr>
          <w:ilvl w:val="0"/>
          <w:numId w:val="51"/>
        </w:numPr>
        <w:autoSpaceDE/>
        <w:autoSpaceDN/>
        <w:adjustRightInd/>
        <w:spacing w:before="0" w:after="0"/>
        <w:ind w:left="1134" w:hanging="425"/>
        <w:contextualSpacing w:val="0"/>
      </w:pPr>
      <w:r w:rsidRPr="002F17B5">
        <w:t>Expenses in relation to services received (including services provided by employees) are recorded as expenditure when services are received</w:t>
      </w:r>
      <w:r w:rsidR="00754584" w:rsidRPr="002F17B5">
        <w:t>,</w:t>
      </w:r>
      <w:r w:rsidRPr="002F17B5">
        <w:t xml:space="preserve"> rather than when payment </w:t>
      </w:r>
      <w:r w:rsidR="00754584" w:rsidRPr="002F17B5">
        <w:t>is</w:t>
      </w:r>
      <w:r w:rsidRPr="002F17B5">
        <w:t xml:space="preserve"> made.</w:t>
      </w:r>
    </w:p>
    <w:p w:rsidR="00180A89" w:rsidRDefault="00180A89" w:rsidP="00606CD2">
      <w:pPr>
        <w:tabs>
          <w:tab w:val="num" w:pos="1134"/>
        </w:tabs>
        <w:rPr>
          <w:sz w:val="20"/>
        </w:rPr>
      </w:pPr>
    </w:p>
    <w:p w:rsidR="000B54CC" w:rsidRPr="002F17B5" w:rsidRDefault="000B54CC" w:rsidP="00606CD2">
      <w:pPr>
        <w:tabs>
          <w:tab w:val="num" w:pos="1134"/>
        </w:tabs>
        <w:rPr>
          <w:sz w:val="20"/>
        </w:rPr>
      </w:pPr>
    </w:p>
    <w:p w:rsidR="00AA69B5" w:rsidRPr="00B72452" w:rsidRDefault="00B72452" w:rsidP="00B72452">
      <w:pPr>
        <w:pStyle w:val="ListParagraph"/>
        <w:numPr>
          <w:ilvl w:val="0"/>
          <w:numId w:val="47"/>
        </w:numPr>
        <w:autoSpaceDE/>
        <w:autoSpaceDN/>
        <w:adjustRightInd/>
        <w:spacing w:before="0" w:line="360" w:lineRule="auto"/>
        <w:jc w:val="left"/>
        <w:rPr>
          <w:b/>
        </w:rPr>
      </w:pPr>
      <w:r>
        <w:rPr>
          <w:b/>
        </w:rPr>
        <w:t xml:space="preserve">  </w:t>
      </w:r>
      <w:r w:rsidR="00AA69B5" w:rsidRPr="00B72452">
        <w:rPr>
          <w:b/>
        </w:rPr>
        <w:t>Prior Period Adjustments, Changes in Accounting Policies, Estimates and Errors</w:t>
      </w:r>
    </w:p>
    <w:p w:rsidR="00AA69B5" w:rsidRPr="002F17B5" w:rsidRDefault="00AA69B5" w:rsidP="00B72452">
      <w:pPr>
        <w:spacing w:after="0"/>
        <w:ind w:left="737"/>
      </w:pPr>
      <w:r w:rsidRPr="002F17B5">
        <w:t>Prior period adjustments may arise as a result of a change in accounting policies or to correct a material error. Changes in accounting estimates are accounted for prospectively (</w:t>
      </w:r>
      <w:r w:rsidR="00B8583B" w:rsidRPr="002F17B5">
        <w:t>i.e.</w:t>
      </w:r>
      <w:r w:rsidRPr="002F17B5">
        <w:t xml:space="preserve"> in the current and future years affected by the change) and do not give rise to a prior period adjustment.</w:t>
      </w:r>
    </w:p>
    <w:p w:rsidR="00AA69B5" w:rsidRPr="000B54CC" w:rsidRDefault="00AA69B5" w:rsidP="00B72452">
      <w:pPr>
        <w:spacing w:after="0"/>
        <w:ind w:left="737"/>
        <w:rPr>
          <w:sz w:val="28"/>
        </w:rPr>
      </w:pPr>
    </w:p>
    <w:p w:rsidR="00AA69B5" w:rsidRPr="002F17B5" w:rsidRDefault="00AA69B5" w:rsidP="00B72452">
      <w:pPr>
        <w:spacing w:after="0"/>
        <w:ind w:left="737"/>
      </w:pPr>
      <w:r w:rsidRPr="002F17B5">
        <w:t xml:space="preserve">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made, it is applied retrospectively (unless stated otherwise) by adjusting opening balances and comparative amounts for the prior period as if the new policy had always been applied. </w:t>
      </w:r>
    </w:p>
    <w:p w:rsidR="00AA69B5" w:rsidRPr="000B54CC" w:rsidRDefault="00AA69B5" w:rsidP="00B72452">
      <w:pPr>
        <w:spacing w:after="0"/>
        <w:ind w:left="737"/>
        <w:rPr>
          <w:sz w:val="28"/>
        </w:rPr>
      </w:pPr>
    </w:p>
    <w:p w:rsidR="00AA69B5" w:rsidRPr="002F17B5" w:rsidRDefault="00AA69B5" w:rsidP="00B72452">
      <w:pPr>
        <w:spacing w:after="0"/>
        <w:ind w:left="737"/>
      </w:pPr>
      <w:r w:rsidRPr="002F17B5">
        <w:t>Material errors discovered in prior period figures are corrected retrospectively by amending opening balances and comparative amounts for the prior period.</w:t>
      </w:r>
    </w:p>
    <w:p w:rsidR="00AA69B5" w:rsidRPr="000B54CC" w:rsidRDefault="00AA69B5" w:rsidP="00AA69B5">
      <w:pPr>
        <w:autoSpaceDE/>
        <w:autoSpaceDN/>
        <w:adjustRightInd/>
        <w:spacing w:before="0" w:line="360" w:lineRule="auto"/>
        <w:ind w:left="709"/>
        <w:jc w:val="left"/>
        <w:rPr>
          <w:b/>
          <w:sz w:val="30"/>
        </w:rPr>
      </w:pPr>
    </w:p>
    <w:p w:rsidR="00180A89"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Cash and Cash Equivalents</w:t>
      </w:r>
    </w:p>
    <w:p w:rsidR="00B70B4B" w:rsidRPr="002F17B5" w:rsidRDefault="00180A89">
      <w:pPr>
        <w:spacing w:after="0"/>
        <w:ind w:left="777"/>
      </w:pPr>
      <w:r w:rsidRPr="002F17B5">
        <w:t>Cash is represented by cash in hand and deposits with financial institutions repayable without penalty on notice of not more than 24 hours. Cash equivalents are investments that mature or are available for recall in three months or less from the date of acquisition and that are readily convertible to known amounts of cash with insignificant risk of change in value. This category will include cash on call and three months or less term deposit and also instant access money market funds.</w:t>
      </w:r>
    </w:p>
    <w:p w:rsidR="00180A89" w:rsidRPr="000B54CC" w:rsidRDefault="00180A89" w:rsidP="005526DA">
      <w:pPr>
        <w:spacing w:after="0"/>
        <w:rPr>
          <w:sz w:val="26"/>
        </w:rPr>
      </w:pPr>
    </w:p>
    <w:p w:rsidR="00180A89" w:rsidRPr="002F17B5" w:rsidRDefault="00180A89" w:rsidP="00180A89">
      <w:pPr>
        <w:ind w:left="720"/>
      </w:pPr>
      <w:r w:rsidRPr="002F17B5">
        <w:t>In the Cash Flow Statement, cash and cash equivalents are shown net of bank overdrafts that are repayable on demand and form an integral part of the council's cash management.</w:t>
      </w:r>
    </w:p>
    <w:p w:rsidR="00180A89" w:rsidRPr="000B54CC" w:rsidRDefault="00180A89" w:rsidP="00606CD2">
      <w:pPr>
        <w:spacing w:after="200"/>
        <w:ind w:left="720"/>
        <w:rPr>
          <w:sz w:val="28"/>
        </w:rPr>
      </w:pPr>
    </w:p>
    <w:p w:rsidR="00D70021"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Reserves</w:t>
      </w:r>
    </w:p>
    <w:p w:rsidR="00B70B4B" w:rsidRPr="002F17B5" w:rsidRDefault="00180A89">
      <w:pPr>
        <w:spacing w:after="0"/>
        <w:ind w:left="720"/>
      </w:pPr>
      <w:r w:rsidRPr="002F17B5">
        <w:t>The council sets aside specific amounts as reserves for future policy purposes or to cover contingencies. Reserves are created by appropriating amounts out of the County Fund balance in the Movement in Reserves Statement.</w:t>
      </w:r>
    </w:p>
    <w:p w:rsidR="00B70B4B" w:rsidRPr="002F17B5" w:rsidRDefault="00B70B4B">
      <w:pPr>
        <w:spacing w:after="0"/>
        <w:ind w:left="720"/>
      </w:pPr>
    </w:p>
    <w:p w:rsidR="00B70B4B" w:rsidRPr="002F17B5" w:rsidRDefault="00180A89">
      <w:pPr>
        <w:spacing w:after="0"/>
        <w:ind w:left="720"/>
      </w:pPr>
      <w:r w:rsidRPr="002F17B5">
        <w:lastRenderedPageBreak/>
        <w:t>When expenditure to be financed from a reserve is incurred, it is charged to the appropriate service revenue account in that year to score against the surplus or deficit on the provision of services in the Comprehensive Income and Expenditure Statement. The reserve is then appropriated back into the County Fund in the Movement in Reserves Statement so that there is no net charge against council tax for the expenditure.</w:t>
      </w:r>
    </w:p>
    <w:p w:rsidR="00180A89" w:rsidRPr="002F17B5" w:rsidRDefault="00180A89" w:rsidP="00AF5A89">
      <w:pPr>
        <w:spacing w:after="0"/>
        <w:ind w:left="720"/>
      </w:pPr>
      <w:r w:rsidRPr="002F17B5">
        <w:t>Certain reserves are kept to manage the accounting processes for non-current assets, financial instruments, and retirement and employee benefits and do not represent usable resources for the council – these reserves are explained in the relevant policies.</w:t>
      </w:r>
    </w:p>
    <w:p w:rsidR="00AF5A89" w:rsidRPr="002F17B5" w:rsidRDefault="00AF5A89" w:rsidP="00C93122">
      <w:pPr>
        <w:spacing w:after="240"/>
        <w:ind w:left="720"/>
        <w:rPr>
          <w:sz w:val="20"/>
        </w:rPr>
      </w:pPr>
    </w:p>
    <w:p w:rsidR="00180A89"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 xml:space="preserve">Provisions </w:t>
      </w:r>
    </w:p>
    <w:p w:rsidR="00B70B4B" w:rsidRPr="002F17B5" w:rsidRDefault="00180A89">
      <w:pPr>
        <w:spacing w:after="0"/>
        <w:ind w:left="720"/>
      </w:pPr>
      <w:r w:rsidRPr="002F17B5">
        <w:t>Provisions are made where an event has taken place that gives the council a legal or constructive obligation that probably requires settlement by a transfer of economic benefits or service potential, and a reliable estimate can be made of the amount of the obligation. For instance, the council may be involved in a court case that could eventually result in the making of a settlement or the payment of compensation.</w:t>
      </w:r>
    </w:p>
    <w:p w:rsidR="00B70B4B" w:rsidRPr="002F17B5" w:rsidRDefault="00B70B4B">
      <w:pPr>
        <w:spacing w:after="0"/>
        <w:ind w:left="720"/>
      </w:pPr>
    </w:p>
    <w:p w:rsidR="00B70B4B" w:rsidRPr="002F17B5" w:rsidRDefault="00180A89">
      <w:pPr>
        <w:spacing w:after="0"/>
        <w:ind w:left="720"/>
      </w:pPr>
      <w:r w:rsidRPr="002F17B5">
        <w:t xml:space="preserve">Provisions are charged as an expense to the appropriate service line in the Comprehensive Income and Expenditure Statement in the year the council becomes aware of the obligation, and are measured at the best estimate at the balance sheet date of the expenditure required to settle the obligation, taking into account relevant risks and uncertainties. </w:t>
      </w:r>
    </w:p>
    <w:p w:rsidR="00B70B4B" w:rsidRPr="002F17B5" w:rsidRDefault="00B70B4B">
      <w:pPr>
        <w:spacing w:after="0"/>
        <w:ind w:left="720"/>
      </w:pPr>
    </w:p>
    <w:p w:rsidR="00B70B4B" w:rsidRPr="002F17B5" w:rsidRDefault="00180A89">
      <w:pPr>
        <w:spacing w:after="0"/>
        <w:ind w:left="720"/>
      </w:pPr>
      <w:r w:rsidRPr="002F17B5">
        <w:t>When payments are eventually made, they are charged to the provision carried in the balance sheet. Estimated settlements are reviewed at the end of each financial year – where it becomes more likely than not that a transfer of economic benefits will not now be required (or a lower settlement than anticipated is made), the provision is reversed and credited back to the relevant service revenue account.</w:t>
      </w:r>
    </w:p>
    <w:p w:rsidR="00B70B4B" w:rsidRPr="002F17B5" w:rsidRDefault="00B70B4B">
      <w:pPr>
        <w:spacing w:after="0"/>
        <w:ind w:left="720"/>
      </w:pPr>
    </w:p>
    <w:p w:rsidR="00D70021" w:rsidRPr="002F17B5" w:rsidRDefault="00180A89">
      <w:pPr>
        <w:spacing w:after="0"/>
        <w:ind w:left="720"/>
      </w:pPr>
      <w:r w:rsidRPr="002F17B5">
        <w:t xml:space="preserve">Where some or all of the payment required to settle a provision is expected </w:t>
      </w:r>
      <w:r w:rsidR="004623EC" w:rsidRPr="002F17B5">
        <w:t>to be met by another party (</w:t>
      </w:r>
      <w:r w:rsidR="00B8583B" w:rsidRPr="002F17B5">
        <w:t>e.g.</w:t>
      </w:r>
      <w:r w:rsidRPr="002F17B5">
        <w:t xml:space="preserve"> from an insurance claim), this is only recognised as income in the relevant service revenue account if it is virtually certain that reimbursement will be received if the obligation is settled.</w:t>
      </w:r>
    </w:p>
    <w:p w:rsidR="004A0269" w:rsidRDefault="004A0269">
      <w:pPr>
        <w:spacing w:after="0"/>
        <w:ind w:left="720"/>
        <w:rPr>
          <w:sz w:val="34"/>
        </w:rPr>
      </w:pPr>
    </w:p>
    <w:p w:rsidR="000B54CC" w:rsidRPr="000B54CC" w:rsidRDefault="000B54CC">
      <w:pPr>
        <w:spacing w:after="0"/>
        <w:ind w:left="720"/>
        <w:rPr>
          <w:sz w:val="26"/>
        </w:rPr>
      </w:pPr>
    </w:p>
    <w:p w:rsidR="00180A89"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 xml:space="preserve">Intangible Assets </w:t>
      </w:r>
    </w:p>
    <w:p w:rsidR="00180A89" w:rsidRPr="002F17B5" w:rsidRDefault="00180A89" w:rsidP="00441F50">
      <w:pPr>
        <w:spacing w:after="240"/>
        <w:ind w:left="720"/>
      </w:pPr>
      <w:r w:rsidRPr="002F17B5">
        <w:t>Expenditure on assets that do not have physical substance but are controlled by the council is capitalised when it is expected that future economic benefits or service potential will flow from the intangible asset to the council.</w:t>
      </w:r>
    </w:p>
    <w:p w:rsidR="00180A89" w:rsidRPr="002F17B5" w:rsidRDefault="00180A89" w:rsidP="00180A89">
      <w:pPr>
        <w:spacing w:after="240"/>
        <w:ind w:left="720"/>
      </w:pPr>
      <w:r w:rsidRPr="002F17B5">
        <w:t>Expenditure on the development of websites is not capitalised if the website is solely or primarily intended to promote or advertise the council's goods or services.</w:t>
      </w:r>
    </w:p>
    <w:p w:rsidR="00920EFB" w:rsidRPr="002F17B5" w:rsidRDefault="00180A89" w:rsidP="00180A89">
      <w:pPr>
        <w:spacing w:after="240"/>
        <w:ind w:left="720"/>
      </w:pPr>
      <w:r w:rsidRPr="002F17B5">
        <w:t xml:space="preserve">Intangible assets are measured initially at cost. Amounts are only revalued where the fair value of the assets held by the council can be determined by reference to an active market. </w:t>
      </w:r>
    </w:p>
    <w:p w:rsidR="00180A89" w:rsidRPr="002F17B5" w:rsidRDefault="00180A89" w:rsidP="00180A89">
      <w:pPr>
        <w:spacing w:after="240"/>
        <w:ind w:left="720"/>
      </w:pPr>
      <w:r w:rsidRPr="002F17B5">
        <w:lastRenderedPageBreak/>
        <w:t xml:space="preserve">In practice, no intangible asset held by the council meets this criterion and they are therefore carried at amortised cost. The depreciable amount of an intangible asset is amortised over its useful life to the relevant service line(s) in the Comprehensive Income and Expenditure Statement. An asset is tested for impairment whenever there is an indication that the asset might be impaired – any losses recognised are posted to the relevant service line(s) in the Comprehensive Income and Expenditure Statement. </w:t>
      </w:r>
    </w:p>
    <w:p w:rsidR="00180A89" w:rsidRPr="002F17B5" w:rsidRDefault="00180A89" w:rsidP="00180A89">
      <w:pPr>
        <w:spacing w:after="240"/>
        <w:ind w:left="720"/>
      </w:pPr>
      <w:r w:rsidRPr="002F17B5">
        <w:t>Any gain or loss arising on the disposal or abandonment of an intangible asset is posted to the Other Operating Expenditure line in the Comprehensive Income and Expenditure Statement.</w:t>
      </w:r>
    </w:p>
    <w:p w:rsidR="00180A89" w:rsidRPr="002F17B5" w:rsidRDefault="00180A89" w:rsidP="00AF5A89">
      <w:pPr>
        <w:spacing w:after="0"/>
        <w:ind w:left="720"/>
      </w:pPr>
      <w:r w:rsidRPr="002F17B5">
        <w:t>Where expenditure on intangible assets qualifies as capital expenditure for statutory purposes, amortisation, impairment losses and disposal gains and losses are not permitted to have an impact on the County Fund balance. The gains and losses are therefore reversed out of the County Fund balance in the Movement in Reserves Statement and posted to the Capital Adjustment Account and (for any sale proceeds greater than £10,000) the Capital Receipts Reserve.</w:t>
      </w:r>
    </w:p>
    <w:p w:rsidR="00180A89" w:rsidRDefault="00180A89" w:rsidP="00C93122">
      <w:pPr>
        <w:spacing w:after="240"/>
        <w:ind w:left="539"/>
      </w:pPr>
    </w:p>
    <w:p w:rsidR="00180A89"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Property, Plant and Equipment</w:t>
      </w:r>
    </w:p>
    <w:p w:rsidR="00180A89" w:rsidRPr="002F17B5" w:rsidRDefault="00180A89" w:rsidP="00C93122">
      <w:pPr>
        <w:spacing w:after="0"/>
        <w:ind w:left="720"/>
      </w:pPr>
      <w:r w:rsidRPr="002F17B5">
        <w:t>Physical assets held for use in the production or supply of goods or services, for rental to others, or for administrative purposes and that are expected to be used during more than one financial year are classified as Property, Plant and Equipment.</w:t>
      </w:r>
    </w:p>
    <w:p w:rsidR="00C93122" w:rsidRPr="002F17B5" w:rsidRDefault="00C93122" w:rsidP="00C93122">
      <w:pPr>
        <w:ind w:left="720"/>
      </w:pPr>
    </w:p>
    <w:p w:rsidR="00C93122" w:rsidRPr="002F17B5" w:rsidRDefault="00180A89" w:rsidP="00C93122">
      <w:pPr>
        <w:ind w:left="527" w:firstLine="193"/>
        <w:rPr>
          <w:b/>
        </w:rPr>
      </w:pPr>
      <w:r w:rsidRPr="002F17B5">
        <w:rPr>
          <w:b/>
        </w:rPr>
        <w:t>Recognition</w:t>
      </w:r>
    </w:p>
    <w:p w:rsidR="00180A89" w:rsidRPr="002F17B5" w:rsidRDefault="00180A89" w:rsidP="00C93122">
      <w:pPr>
        <w:spacing w:after="0"/>
        <w:ind w:left="720"/>
      </w:pPr>
      <w:r w:rsidRPr="002F17B5">
        <w:t>Expenditure on the acquisition, creation or enhancement of Property, Plant and Equipment is capitalised provided the benefits accruing from the expenditure is for more than one year. This expenditure is accounted for on an accruals basis provided that it is probable that the future economic benefits or service potential associated with the item will flow to the council and the cost of the item can be measured reliably. Expenditure that maintains but does not add to an asset's potential to deliver future economic benefits or service potential (</w:t>
      </w:r>
      <w:r w:rsidR="00B8583B" w:rsidRPr="002F17B5">
        <w:t>i.e.</w:t>
      </w:r>
      <w:r w:rsidRPr="002F17B5">
        <w:t xml:space="preserve"> repairs and maintenance) is charged as a revenue expense when it is incurred.</w:t>
      </w:r>
    </w:p>
    <w:p w:rsidR="004A0269" w:rsidRPr="002F17B5" w:rsidRDefault="004A0269" w:rsidP="00C93122">
      <w:pPr>
        <w:spacing w:after="0"/>
        <w:ind w:left="720"/>
      </w:pPr>
    </w:p>
    <w:p w:rsidR="00180A89" w:rsidRPr="002F17B5" w:rsidRDefault="00180A89" w:rsidP="00AF5A89">
      <w:pPr>
        <w:ind w:left="527" w:firstLine="193"/>
        <w:rPr>
          <w:b/>
        </w:rPr>
      </w:pPr>
      <w:r w:rsidRPr="002F17B5">
        <w:rPr>
          <w:b/>
        </w:rPr>
        <w:t xml:space="preserve">Measurement </w:t>
      </w:r>
    </w:p>
    <w:p w:rsidR="00180A89" w:rsidRPr="002F17B5" w:rsidRDefault="00180A89" w:rsidP="00180A89">
      <w:pPr>
        <w:spacing w:after="240"/>
        <w:ind w:left="525" w:firstLine="195"/>
      </w:pPr>
      <w:r w:rsidRPr="002F17B5">
        <w:t>For assets that are purchased, they are initially recognised at cost. The cost comprises of:</w:t>
      </w:r>
    </w:p>
    <w:p w:rsidR="00180A89" w:rsidRPr="002F17B5" w:rsidRDefault="00180A89" w:rsidP="00144349">
      <w:pPr>
        <w:numPr>
          <w:ilvl w:val="0"/>
          <w:numId w:val="30"/>
        </w:numPr>
        <w:autoSpaceDE/>
        <w:autoSpaceDN/>
        <w:adjustRightInd/>
        <w:spacing w:before="0" w:after="240"/>
      </w:pPr>
      <w:r w:rsidRPr="002F17B5">
        <w:t xml:space="preserve">The purchase price. </w:t>
      </w:r>
    </w:p>
    <w:p w:rsidR="00180A89" w:rsidRPr="002F17B5" w:rsidRDefault="00180A89" w:rsidP="00144349">
      <w:pPr>
        <w:numPr>
          <w:ilvl w:val="0"/>
          <w:numId w:val="30"/>
        </w:numPr>
        <w:autoSpaceDE/>
        <w:autoSpaceDN/>
        <w:adjustRightInd/>
        <w:spacing w:before="0" w:after="240"/>
      </w:pPr>
      <w:r w:rsidRPr="002F17B5">
        <w:t xml:space="preserve">Any costs attributable to bringing the asset to the location and condition necessary for it to be operational. </w:t>
      </w:r>
    </w:p>
    <w:p w:rsidR="00180A89" w:rsidRPr="002F17B5" w:rsidRDefault="00180A89" w:rsidP="00144349">
      <w:pPr>
        <w:numPr>
          <w:ilvl w:val="0"/>
          <w:numId w:val="30"/>
        </w:numPr>
        <w:autoSpaceDE/>
        <w:autoSpaceDN/>
        <w:adjustRightInd/>
        <w:spacing w:before="0" w:after="240"/>
      </w:pPr>
      <w:r w:rsidRPr="002F17B5">
        <w:t>The initial estimate of the costs of dismantling and removing the item and restoring the site on which it is located.</w:t>
      </w:r>
    </w:p>
    <w:p w:rsidR="00180A89" w:rsidRPr="002F17B5" w:rsidRDefault="00180A89" w:rsidP="00180A89">
      <w:pPr>
        <w:spacing w:after="240"/>
        <w:ind w:left="720"/>
      </w:pPr>
      <w:r w:rsidRPr="002F17B5">
        <w:t>Assets that are being constructed by the council will initially b</w:t>
      </w:r>
      <w:r w:rsidR="00AB2558" w:rsidRPr="002F17B5">
        <w:t>e recognised at cost</w:t>
      </w:r>
      <w:r w:rsidR="00DC3E7A" w:rsidRPr="002F17B5">
        <w:t xml:space="preserve">. </w:t>
      </w:r>
      <w:r w:rsidR="007B75EE" w:rsidRPr="002F17B5">
        <w:t>Only costs</w:t>
      </w:r>
      <w:r w:rsidRPr="002F17B5">
        <w:t xml:space="preserve"> that can be directly attributable to bringing the asset into operation will be capitalised.</w:t>
      </w:r>
    </w:p>
    <w:p w:rsidR="00B70B4B" w:rsidRPr="002F17B5" w:rsidRDefault="00DC3E7A">
      <w:pPr>
        <w:spacing w:after="0"/>
        <w:ind w:left="720"/>
      </w:pPr>
      <w:r w:rsidRPr="002F17B5">
        <w:lastRenderedPageBreak/>
        <w:t>The c</w:t>
      </w:r>
      <w:r w:rsidR="00180A89" w:rsidRPr="002F17B5">
        <w:t>ouncil does not capitalise borrowing costs incurred whilst assets are under construction.</w:t>
      </w:r>
    </w:p>
    <w:p w:rsidR="00B70B4B" w:rsidRPr="002F17B5" w:rsidRDefault="00B70B4B">
      <w:pPr>
        <w:spacing w:after="0"/>
        <w:ind w:left="720"/>
        <w:rPr>
          <w:sz w:val="26"/>
        </w:rPr>
      </w:pPr>
    </w:p>
    <w:p w:rsidR="00B70B4B" w:rsidRPr="002F17B5" w:rsidRDefault="00180A89">
      <w:pPr>
        <w:spacing w:after="0"/>
        <w:ind w:left="720"/>
      </w:pPr>
      <w:r w:rsidRPr="002F17B5">
        <w:t>Alternative ways of acquiring assets are eithe</w:t>
      </w:r>
      <w:r w:rsidR="009268A1" w:rsidRPr="002F17B5">
        <w:t>r via an exchange or an asset being</w:t>
      </w:r>
      <w:r w:rsidRPr="002F17B5">
        <w:t xml:space="preserve"> donated. Where an asset is acquired via an exchange, the cost of the acquisition is the carrying amount of the asset given up by the council.</w:t>
      </w:r>
    </w:p>
    <w:p w:rsidR="00B70B4B" w:rsidRPr="002F17B5" w:rsidRDefault="00B70B4B">
      <w:pPr>
        <w:spacing w:after="0"/>
        <w:ind w:left="720"/>
        <w:rPr>
          <w:sz w:val="26"/>
        </w:rPr>
      </w:pPr>
    </w:p>
    <w:p w:rsidR="00B70B4B" w:rsidRPr="002F17B5" w:rsidRDefault="00180A89">
      <w:pPr>
        <w:spacing w:after="0"/>
        <w:ind w:left="720"/>
      </w:pPr>
      <w:r w:rsidRPr="002F17B5">
        <w:t xml:space="preserve">Donated assets are measured initially at fair value. The difference between fair value and any consideration paid is credited to the Taxation and Non-Specific Grant Income line of the Comprehensive Income and Expenditure Statement, unless the donation has been made conditionally. Until conditions are satisfied, the gain is held in the Donated Assets Account. </w:t>
      </w:r>
    </w:p>
    <w:p w:rsidR="00B70B4B" w:rsidRPr="002F17B5" w:rsidRDefault="00A13144" w:rsidP="00A13144">
      <w:pPr>
        <w:tabs>
          <w:tab w:val="left" w:pos="9561"/>
        </w:tabs>
        <w:spacing w:after="0"/>
        <w:ind w:left="720"/>
        <w:rPr>
          <w:sz w:val="26"/>
        </w:rPr>
      </w:pPr>
      <w:r>
        <w:rPr>
          <w:sz w:val="26"/>
        </w:rPr>
        <w:tab/>
      </w:r>
    </w:p>
    <w:p w:rsidR="00B70B4B" w:rsidRPr="002F17B5" w:rsidRDefault="00180A89" w:rsidP="009268A1">
      <w:pPr>
        <w:spacing w:after="0"/>
        <w:ind w:left="720"/>
      </w:pPr>
      <w:r w:rsidRPr="002F17B5">
        <w:t>Where gains are credited to the Comprehensive I</w:t>
      </w:r>
      <w:r w:rsidR="009268A1" w:rsidRPr="002F17B5">
        <w:t>ncome and Expenditure Statement</w:t>
      </w:r>
      <w:r w:rsidRPr="002F17B5">
        <w:t xml:space="preserve"> they are reversed out of the County Fund balance to the Capital Adjustment Account in the Movement in Reserves Statement.</w:t>
      </w:r>
      <w:r w:rsidR="009268A1" w:rsidRPr="002F17B5">
        <w:t xml:space="preserve"> </w:t>
      </w:r>
      <w:r w:rsidRPr="002F17B5">
        <w:t>As</w:t>
      </w:r>
      <w:r w:rsidR="009268A1" w:rsidRPr="002F17B5">
        <w:t>sets are then carried in the balance s</w:t>
      </w:r>
      <w:r w:rsidRPr="002F17B5">
        <w:t>heet using the following measurement bases:</w:t>
      </w:r>
    </w:p>
    <w:p w:rsidR="009268A1" w:rsidRPr="002F17B5" w:rsidRDefault="009268A1" w:rsidP="009268A1">
      <w:pPr>
        <w:spacing w:after="0"/>
        <w:ind w:left="720"/>
        <w:rPr>
          <w:sz w:val="6"/>
        </w:rPr>
      </w:pPr>
    </w:p>
    <w:p w:rsidR="009268A1" w:rsidRPr="002F17B5" w:rsidRDefault="00DB6394" w:rsidP="00D55D63">
      <w:pPr>
        <w:pStyle w:val="ListParagraph"/>
        <w:numPr>
          <w:ilvl w:val="0"/>
          <w:numId w:val="64"/>
        </w:numPr>
        <w:spacing w:after="0"/>
        <w:ind w:hanging="589"/>
      </w:pPr>
      <w:r w:rsidRPr="002F17B5">
        <w:t xml:space="preserve">Infrastructure, </w:t>
      </w:r>
      <w:r w:rsidR="00180A89" w:rsidRPr="002F17B5">
        <w:t>community assets and</w:t>
      </w:r>
      <w:r w:rsidRPr="002F17B5">
        <w:t xml:space="preserve"> </w:t>
      </w:r>
      <w:r w:rsidR="00180A89" w:rsidRPr="002F17B5">
        <w:t>assets under constructio</w:t>
      </w:r>
      <w:r w:rsidR="009268A1" w:rsidRPr="002F17B5">
        <w:t>n – depreciated historical cost.</w:t>
      </w:r>
    </w:p>
    <w:p w:rsidR="009268A1" w:rsidRPr="002F17B5" w:rsidRDefault="009268A1" w:rsidP="009268A1">
      <w:pPr>
        <w:spacing w:after="0"/>
        <w:ind w:left="709"/>
      </w:pPr>
    </w:p>
    <w:p w:rsidR="00B70B4B" w:rsidRPr="002F17B5" w:rsidRDefault="009268A1" w:rsidP="009268A1">
      <w:pPr>
        <w:spacing w:after="0"/>
        <w:ind w:left="709"/>
      </w:pPr>
      <w:r w:rsidRPr="002F17B5">
        <w:t>C</w:t>
      </w:r>
      <w:r w:rsidR="00180A89" w:rsidRPr="002F17B5">
        <w:t>ertain community assets wh</w:t>
      </w:r>
      <w:r w:rsidRPr="002F17B5">
        <w:t>ich were acquired years ago</w:t>
      </w:r>
      <w:r w:rsidR="00180A89" w:rsidRPr="002F17B5">
        <w:t xml:space="preserve"> are included at a notional amount of £1.</w:t>
      </w:r>
      <w:r w:rsidRPr="002F17B5">
        <w:t xml:space="preserve"> </w:t>
      </w:r>
      <w:r w:rsidR="00180A89" w:rsidRPr="002F17B5">
        <w:t>All other assets – fair value, determined as the amount that would be paid for the asset in its existing use (existing use value – EUV).</w:t>
      </w:r>
    </w:p>
    <w:p w:rsidR="00B70B4B" w:rsidRPr="002F17B5" w:rsidRDefault="00B70B4B">
      <w:pPr>
        <w:spacing w:after="0"/>
        <w:ind w:left="720"/>
        <w:rPr>
          <w:sz w:val="26"/>
        </w:rPr>
      </w:pPr>
    </w:p>
    <w:p w:rsidR="00B70B4B" w:rsidRPr="002F17B5" w:rsidRDefault="00180A89">
      <w:pPr>
        <w:spacing w:after="0"/>
        <w:ind w:left="720"/>
      </w:pPr>
      <w:r w:rsidRPr="002F17B5">
        <w:t>Where there is no market-based evidence of fair value because of the specialist nature of an asset, depreciated replacement cost (DRC) is used as an estimate of fair value.</w:t>
      </w:r>
    </w:p>
    <w:p w:rsidR="00B70B4B" w:rsidRPr="002F17B5" w:rsidRDefault="00B70B4B">
      <w:pPr>
        <w:spacing w:after="0"/>
        <w:ind w:left="720"/>
        <w:rPr>
          <w:sz w:val="26"/>
        </w:rPr>
      </w:pPr>
    </w:p>
    <w:p w:rsidR="00B70B4B" w:rsidRPr="002F17B5" w:rsidRDefault="00180A89">
      <w:pPr>
        <w:spacing w:after="0"/>
        <w:ind w:left="720"/>
      </w:pPr>
      <w:r w:rsidRPr="002F17B5">
        <w:t>Where non-property assets, principally furniture and equipment, that have short useful lives or low values (or both), depreciated historical cost basis is used as a proxy for fair value.</w:t>
      </w:r>
    </w:p>
    <w:p w:rsidR="00B70B4B" w:rsidRPr="002F17B5" w:rsidRDefault="00B70B4B">
      <w:pPr>
        <w:spacing w:after="0"/>
        <w:ind w:left="720"/>
      </w:pPr>
    </w:p>
    <w:p w:rsidR="00B70B4B" w:rsidRPr="002F17B5" w:rsidRDefault="009268A1">
      <w:pPr>
        <w:spacing w:after="0"/>
        <w:ind w:left="720"/>
      </w:pPr>
      <w:r w:rsidRPr="002F17B5">
        <w:t>Assets included in the balance s</w:t>
      </w:r>
      <w:r w:rsidR="00180A89" w:rsidRPr="002F17B5">
        <w:t>heet at fair value are revalued sufficiently regularly to ensure that their carrying amount is not materially different from their fair value at the year-end, but as a minimum every five years. Increases in valuations are matched by credits to the Revaluation Reserve to recognise unrealised gains unless the gain reverses a loss previously charged to a service. In such circumstances the gain up to the amount of the loss will be credited to the Comprehensive Income and Expenditure Statement.</w:t>
      </w:r>
    </w:p>
    <w:p w:rsidR="00B70B4B" w:rsidRPr="002F17B5" w:rsidRDefault="00B70B4B">
      <w:pPr>
        <w:spacing w:after="0"/>
        <w:ind w:left="720"/>
        <w:rPr>
          <w:sz w:val="26"/>
        </w:rPr>
      </w:pPr>
    </w:p>
    <w:p w:rsidR="00B70B4B" w:rsidRPr="002F17B5" w:rsidRDefault="00180A89">
      <w:pPr>
        <w:spacing w:after="0"/>
        <w:ind w:left="525" w:firstLine="195"/>
      </w:pPr>
      <w:r w:rsidRPr="002F17B5">
        <w:t>Where decreases in value are identified, they are accounted for as follows:</w:t>
      </w:r>
    </w:p>
    <w:p w:rsidR="00B70B4B" w:rsidRPr="002F17B5" w:rsidRDefault="00B70B4B">
      <w:pPr>
        <w:spacing w:after="0"/>
        <w:ind w:left="525" w:firstLine="195"/>
        <w:rPr>
          <w:sz w:val="14"/>
        </w:rPr>
      </w:pPr>
    </w:p>
    <w:p w:rsidR="00B70B4B" w:rsidRPr="002F17B5" w:rsidRDefault="00180A89" w:rsidP="00C62180">
      <w:pPr>
        <w:numPr>
          <w:ilvl w:val="0"/>
          <w:numId w:val="31"/>
        </w:numPr>
        <w:autoSpaceDE/>
        <w:autoSpaceDN/>
        <w:adjustRightInd/>
        <w:spacing w:before="0" w:after="0"/>
        <w:ind w:hanging="536"/>
      </w:pPr>
      <w:r w:rsidRPr="002F17B5">
        <w:t>Where there is a balance of revaluation gains for the asset in the Revaluation Reserve, the carrying amount of the asset is written down against that balance (up to the amount of the accumulated gains).</w:t>
      </w:r>
    </w:p>
    <w:p w:rsidR="00B70B4B" w:rsidRPr="002F17B5" w:rsidRDefault="00B70B4B" w:rsidP="00C62180">
      <w:pPr>
        <w:autoSpaceDE/>
        <w:autoSpaceDN/>
        <w:adjustRightInd/>
        <w:spacing w:before="0" w:after="0"/>
        <w:ind w:left="1245" w:hanging="536"/>
        <w:rPr>
          <w:sz w:val="16"/>
        </w:rPr>
      </w:pPr>
    </w:p>
    <w:p w:rsidR="00B70B4B" w:rsidRPr="002F17B5" w:rsidRDefault="00180A89" w:rsidP="00C62180">
      <w:pPr>
        <w:numPr>
          <w:ilvl w:val="0"/>
          <w:numId w:val="31"/>
        </w:numPr>
        <w:autoSpaceDE/>
        <w:autoSpaceDN/>
        <w:adjustRightInd/>
        <w:spacing w:before="0" w:after="0"/>
        <w:ind w:hanging="536"/>
      </w:pPr>
      <w:r w:rsidRPr="002F17B5">
        <w:t>Where there is no balance in the Revaluation Reserve or an insufficient balance, the carrying amount of the asset is written down against the relevant service line(s) in the Comprehensive Income and Expenditure Statement.</w:t>
      </w:r>
    </w:p>
    <w:p w:rsidR="00B70B4B" w:rsidRPr="002F17B5" w:rsidRDefault="00B70B4B">
      <w:pPr>
        <w:autoSpaceDE/>
        <w:autoSpaceDN/>
        <w:adjustRightInd/>
        <w:spacing w:before="0" w:after="240"/>
        <w:ind w:left="1245"/>
        <w:rPr>
          <w:sz w:val="2"/>
        </w:rPr>
      </w:pPr>
    </w:p>
    <w:p w:rsidR="00180A89" w:rsidRPr="002F17B5" w:rsidRDefault="00180A89" w:rsidP="00180A89">
      <w:pPr>
        <w:spacing w:after="240"/>
        <w:ind w:left="720"/>
      </w:pPr>
      <w:r w:rsidRPr="002F17B5">
        <w:lastRenderedPageBreak/>
        <w:t>The Revaluation Reserve contains revaluation gains recognised since 1 April 2007 only, the date of its formal implementation. Gains arising before that date have been consolidated into the Capital Adjustment Account.</w:t>
      </w:r>
    </w:p>
    <w:p w:rsidR="00B34E61" w:rsidRPr="002F17B5" w:rsidRDefault="00B34E61" w:rsidP="009268A1">
      <w:pPr>
        <w:autoSpaceDE/>
        <w:autoSpaceDN/>
        <w:adjustRightInd/>
        <w:spacing w:after="20"/>
        <w:ind w:firstLine="720"/>
        <w:jc w:val="left"/>
        <w:rPr>
          <w:b/>
        </w:rPr>
      </w:pPr>
    </w:p>
    <w:p w:rsidR="00180A89" w:rsidRPr="002F17B5" w:rsidRDefault="00180A89" w:rsidP="009268A1">
      <w:pPr>
        <w:autoSpaceDE/>
        <w:autoSpaceDN/>
        <w:adjustRightInd/>
        <w:spacing w:after="20"/>
        <w:ind w:firstLine="720"/>
        <w:jc w:val="left"/>
        <w:rPr>
          <w:b/>
        </w:rPr>
      </w:pPr>
      <w:r w:rsidRPr="002F17B5">
        <w:rPr>
          <w:b/>
        </w:rPr>
        <w:t>Impairment</w:t>
      </w:r>
    </w:p>
    <w:p w:rsidR="009268A1" w:rsidRPr="002F17B5" w:rsidRDefault="009268A1" w:rsidP="009268A1">
      <w:pPr>
        <w:autoSpaceDE/>
        <w:autoSpaceDN/>
        <w:adjustRightInd/>
        <w:spacing w:after="20"/>
        <w:ind w:firstLine="720"/>
        <w:jc w:val="left"/>
        <w:rPr>
          <w:b/>
          <w:sz w:val="8"/>
        </w:rPr>
      </w:pPr>
    </w:p>
    <w:p w:rsidR="00180A89" w:rsidRPr="002F17B5" w:rsidRDefault="00180A89" w:rsidP="00180A89">
      <w:pPr>
        <w:spacing w:after="240"/>
        <w:ind w:left="720"/>
      </w:pPr>
      <w:r w:rsidRPr="002F17B5">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rsidR="00180A89" w:rsidRPr="002F17B5" w:rsidRDefault="00180A89" w:rsidP="00180A89">
      <w:pPr>
        <w:spacing w:after="240"/>
        <w:ind w:left="390" w:firstLine="330"/>
      </w:pPr>
      <w:r w:rsidRPr="002F17B5">
        <w:t>Where impairment losses are identified, they are accounted for as follows:</w:t>
      </w:r>
    </w:p>
    <w:p w:rsidR="00180A89" w:rsidRPr="002F17B5" w:rsidRDefault="00180A89" w:rsidP="00C62180">
      <w:pPr>
        <w:numPr>
          <w:ilvl w:val="0"/>
          <w:numId w:val="32"/>
        </w:numPr>
        <w:autoSpaceDE/>
        <w:autoSpaceDN/>
        <w:adjustRightInd/>
        <w:spacing w:before="0" w:after="240"/>
        <w:ind w:hanging="401"/>
      </w:pPr>
      <w:r w:rsidRPr="002F17B5">
        <w:t>Where there is a balance of revaluation gains for the asset in the Revaluation Reserve, the carrying amount of the asset is written down against that balance (up to the amount of the accumulated gains).</w:t>
      </w:r>
    </w:p>
    <w:p w:rsidR="00180A89" w:rsidRPr="002F17B5" w:rsidRDefault="00180A89" w:rsidP="00C62180">
      <w:pPr>
        <w:numPr>
          <w:ilvl w:val="0"/>
          <w:numId w:val="32"/>
        </w:numPr>
        <w:autoSpaceDE/>
        <w:autoSpaceDN/>
        <w:adjustRightInd/>
        <w:spacing w:before="0" w:after="240"/>
        <w:ind w:hanging="401"/>
      </w:pPr>
      <w:r w:rsidRPr="002F17B5">
        <w:t>Where there is no balance in the Revaluation Reserve or an insufficient balance, the carrying amount of the asset is written down against the relevant service line(s) in the Comprehensive Income and Expenditure Statement.</w:t>
      </w:r>
    </w:p>
    <w:p w:rsidR="00180A89" w:rsidRPr="002F17B5" w:rsidRDefault="00180A89" w:rsidP="00AB2558">
      <w:pPr>
        <w:spacing w:after="0"/>
        <w:ind w:left="720"/>
      </w:pPr>
      <w:r w:rsidRPr="002F17B5">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rsidR="00AB2558" w:rsidRPr="002F17B5" w:rsidRDefault="00AB2558" w:rsidP="00AB2558">
      <w:pPr>
        <w:spacing w:after="0"/>
        <w:ind w:left="720"/>
        <w:rPr>
          <w:sz w:val="10"/>
        </w:rPr>
      </w:pPr>
    </w:p>
    <w:p w:rsidR="00DD070A" w:rsidRPr="002F17B5" w:rsidRDefault="00DD070A" w:rsidP="00AB2558">
      <w:pPr>
        <w:spacing w:after="0"/>
        <w:ind w:left="720"/>
        <w:rPr>
          <w:sz w:val="10"/>
        </w:rPr>
      </w:pPr>
    </w:p>
    <w:p w:rsidR="00180A89" w:rsidRPr="002F17B5" w:rsidRDefault="00180A89" w:rsidP="00AB2558">
      <w:pPr>
        <w:spacing w:before="240"/>
        <w:ind w:left="255" w:firstLine="465"/>
        <w:rPr>
          <w:b/>
        </w:rPr>
      </w:pPr>
      <w:r w:rsidRPr="002F17B5">
        <w:rPr>
          <w:b/>
        </w:rPr>
        <w:t>Depreciation</w:t>
      </w:r>
      <w:r w:rsidR="00E83DE8" w:rsidRPr="002F17B5">
        <w:rPr>
          <w:b/>
        </w:rPr>
        <w:t xml:space="preserve"> </w:t>
      </w:r>
    </w:p>
    <w:p w:rsidR="00B70B4B" w:rsidRPr="002F17B5" w:rsidRDefault="00180A89">
      <w:pPr>
        <w:spacing w:after="0"/>
        <w:ind w:left="720"/>
      </w:pPr>
      <w:r w:rsidRPr="002F17B5">
        <w:t>Depreciation is provided for on all Property, Plant and Equipment assets by the systematic allocation of their depreciable amounts over their useful lives. An exception is made for assets without a determinable finite useful life (</w:t>
      </w:r>
      <w:r w:rsidR="00B8583B" w:rsidRPr="002F17B5">
        <w:t>i.e.</w:t>
      </w:r>
      <w:r w:rsidRPr="002F17B5">
        <w:t xml:space="preserve"> freehold land and certain </w:t>
      </w:r>
      <w:r w:rsidR="000D193C" w:rsidRPr="002F17B5">
        <w:t>c</w:t>
      </w:r>
      <w:r w:rsidRPr="002F17B5">
        <w:t xml:space="preserve">ommunity </w:t>
      </w:r>
      <w:r w:rsidR="000D193C" w:rsidRPr="002F17B5">
        <w:t>a</w:t>
      </w:r>
      <w:r w:rsidRPr="002F17B5">
        <w:t>ssets) and assets that are not yet available for use (</w:t>
      </w:r>
      <w:r w:rsidR="00B8583B" w:rsidRPr="002F17B5">
        <w:t>i.e.</w:t>
      </w:r>
      <w:r w:rsidRPr="002F17B5">
        <w:t xml:space="preserve"> assets under construction).</w:t>
      </w:r>
    </w:p>
    <w:p w:rsidR="00B70B4B" w:rsidRPr="002F17B5" w:rsidRDefault="00B70B4B">
      <w:pPr>
        <w:spacing w:after="0"/>
        <w:ind w:left="720"/>
      </w:pPr>
    </w:p>
    <w:p w:rsidR="00B70B4B" w:rsidRPr="002F17B5" w:rsidRDefault="00180A89">
      <w:pPr>
        <w:spacing w:after="0"/>
        <w:ind w:left="255" w:firstLine="465"/>
      </w:pPr>
      <w:r w:rsidRPr="002F17B5">
        <w:t>Depreciation is calculated on the following bases:</w:t>
      </w:r>
    </w:p>
    <w:p w:rsidR="00B70B4B" w:rsidRPr="002F17B5" w:rsidRDefault="00B70B4B">
      <w:pPr>
        <w:spacing w:after="0"/>
        <w:ind w:left="255" w:firstLine="465"/>
        <w:rPr>
          <w:sz w:val="12"/>
        </w:rPr>
      </w:pPr>
    </w:p>
    <w:p w:rsidR="00B70B4B" w:rsidRPr="002F17B5" w:rsidRDefault="00286D86" w:rsidP="00C62180">
      <w:pPr>
        <w:numPr>
          <w:ilvl w:val="0"/>
          <w:numId w:val="33"/>
        </w:numPr>
        <w:autoSpaceDE/>
        <w:autoSpaceDN/>
        <w:adjustRightInd/>
        <w:spacing w:before="0"/>
        <w:ind w:left="1134" w:hanging="425"/>
        <w:rPr>
          <w:sz w:val="23"/>
          <w:szCs w:val="23"/>
        </w:rPr>
      </w:pPr>
      <w:r w:rsidRPr="002F17B5">
        <w:rPr>
          <w:sz w:val="23"/>
          <w:szCs w:val="23"/>
        </w:rPr>
        <w:t xml:space="preserve">Dwellings and other buildings – straight-line allocation over the useful life of the property as estimated by the </w:t>
      </w:r>
      <w:proofErr w:type="spellStart"/>
      <w:r w:rsidRPr="002F17B5">
        <w:rPr>
          <w:sz w:val="23"/>
          <w:szCs w:val="23"/>
        </w:rPr>
        <w:t>valuer</w:t>
      </w:r>
      <w:proofErr w:type="spellEnd"/>
      <w:r w:rsidRPr="002F17B5">
        <w:rPr>
          <w:sz w:val="23"/>
          <w:szCs w:val="23"/>
        </w:rPr>
        <w:t>.</w:t>
      </w:r>
      <w:r w:rsidR="00090134" w:rsidRPr="002F17B5">
        <w:rPr>
          <w:sz w:val="23"/>
          <w:szCs w:val="23"/>
        </w:rPr>
        <w:t xml:space="preserve"> Where there is a change in the value or asset life this is taken into account in calculating the depreciation charge immediately.</w:t>
      </w:r>
    </w:p>
    <w:p w:rsidR="00B70B4B" w:rsidRPr="002F17B5" w:rsidRDefault="00286D86" w:rsidP="00C62180">
      <w:pPr>
        <w:numPr>
          <w:ilvl w:val="0"/>
          <w:numId w:val="33"/>
        </w:numPr>
        <w:autoSpaceDE/>
        <w:autoSpaceDN/>
        <w:adjustRightInd/>
        <w:spacing w:before="0"/>
        <w:ind w:left="1134" w:hanging="425"/>
        <w:rPr>
          <w:sz w:val="23"/>
          <w:szCs w:val="23"/>
        </w:rPr>
      </w:pPr>
      <w:r w:rsidRPr="002F17B5">
        <w:rPr>
          <w:sz w:val="23"/>
          <w:szCs w:val="23"/>
        </w:rPr>
        <w:t xml:space="preserve">Vehicles, plant, furniture and equipment – on a straight line generally over 10 years unless it is considered the life of the asset is less than 10 years. </w:t>
      </w:r>
    </w:p>
    <w:p w:rsidR="00B70B4B" w:rsidRPr="002F17B5" w:rsidRDefault="00286D86" w:rsidP="00C62180">
      <w:pPr>
        <w:numPr>
          <w:ilvl w:val="0"/>
          <w:numId w:val="33"/>
        </w:numPr>
        <w:autoSpaceDE/>
        <w:autoSpaceDN/>
        <w:adjustRightInd/>
        <w:spacing w:before="0"/>
        <w:ind w:left="1134" w:hanging="425"/>
        <w:rPr>
          <w:sz w:val="23"/>
          <w:szCs w:val="23"/>
        </w:rPr>
      </w:pPr>
      <w:r w:rsidRPr="002F17B5">
        <w:rPr>
          <w:sz w:val="23"/>
          <w:szCs w:val="23"/>
        </w:rPr>
        <w:t>Infrastructure – straight-line allocation over the estimated life of the asset. This varies from 20 to 50 years depending upon the nature of the asset.</w:t>
      </w:r>
    </w:p>
    <w:p w:rsidR="00B70B4B" w:rsidRPr="002F17B5" w:rsidRDefault="00B70B4B" w:rsidP="00C62180">
      <w:pPr>
        <w:autoSpaceDE/>
        <w:autoSpaceDN/>
        <w:adjustRightInd/>
        <w:spacing w:before="0"/>
        <w:ind w:left="1134" w:hanging="284"/>
        <w:rPr>
          <w:sz w:val="2"/>
        </w:rPr>
      </w:pPr>
    </w:p>
    <w:p w:rsidR="00B70B4B" w:rsidRDefault="00180A89" w:rsidP="00D52F8A">
      <w:pPr>
        <w:spacing w:after="240"/>
        <w:ind w:left="720"/>
      </w:pPr>
      <w:r w:rsidRPr="002F17B5">
        <w:t>Where an item of Property, Plant and Equipment asset has major components whose cost is significant in relation to the total cost of the item, the components are depreciated separately</w:t>
      </w:r>
      <w:r w:rsidR="00D52F8A" w:rsidRPr="002F17B5">
        <w:t>.</w:t>
      </w:r>
    </w:p>
    <w:p w:rsidR="006F48D1" w:rsidRPr="006F48D1" w:rsidRDefault="006F48D1" w:rsidP="00D52F8A">
      <w:pPr>
        <w:spacing w:after="240"/>
        <w:ind w:left="720"/>
        <w:rPr>
          <w:sz w:val="2"/>
          <w:szCs w:val="23"/>
        </w:rPr>
      </w:pPr>
    </w:p>
    <w:p w:rsidR="00180A89" w:rsidRPr="002F17B5" w:rsidRDefault="00180A89" w:rsidP="00E83DE8">
      <w:pPr>
        <w:ind w:left="709"/>
      </w:pPr>
      <w:r w:rsidRPr="002F17B5">
        <w:lastRenderedPageBreak/>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rsidR="005526DA" w:rsidRPr="002F17B5" w:rsidRDefault="005526DA" w:rsidP="00086822">
      <w:pPr>
        <w:spacing w:after="0"/>
        <w:ind w:left="567"/>
        <w:rPr>
          <w:sz w:val="20"/>
        </w:rPr>
      </w:pPr>
    </w:p>
    <w:p w:rsidR="00DD070A" w:rsidRDefault="00DD070A" w:rsidP="00086822">
      <w:pPr>
        <w:spacing w:after="0"/>
        <w:ind w:left="567"/>
        <w:rPr>
          <w:sz w:val="4"/>
        </w:rPr>
      </w:pPr>
    </w:p>
    <w:p w:rsidR="000B54CC" w:rsidRDefault="000B54CC" w:rsidP="00086822">
      <w:pPr>
        <w:spacing w:after="0"/>
        <w:ind w:left="567"/>
        <w:rPr>
          <w:sz w:val="4"/>
        </w:rPr>
      </w:pPr>
    </w:p>
    <w:p w:rsidR="000B54CC" w:rsidRPr="002F17B5" w:rsidRDefault="000B54CC" w:rsidP="00086822">
      <w:pPr>
        <w:spacing w:after="0"/>
        <w:ind w:left="567"/>
        <w:rPr>
          <w:sz w:val="4"/>
        </w:rPr>
      </w:pPr>
    </w:p>
    <w:p w:rsidR="00896310" w:rsidRDefault="00896310" w:rsidP="00086822">
      <w:pPr>
        <w:ind w:left="567"/>
        <w:rPr>
          <w:b/>
        </w:rPr>
      </w:pPr>
    </w:p>
    <w:p w:rsidR="00180A89" w:rsidRPr="002F17B5" w:rsidRDefault="00180A89" w:rsidP="00086822">
      <w:pPr>
        <w:ind w:left="567"/>
        <w:rPr>
          <w:b/>
        </w:rPr>
      </w:pPr>
      <w:r w:rsidRPr="002F17B5">
        <w:rPr>
          <w:b/>
        </w:rPr>
        <w:t>Disposals and Non-current Assets Held for Sale</w:t>
      </w:r>
    </w:p>
    <w:p w:rsidR="00DD070A" w:rsidRPr="000B54CC" w:rsidRDefault="00DD070A" w:rsidP="00086822">
      <w:pPr>
        <w:ind w:left="567"/>
        <w:rPr>
          <w:b/>
          <w:sz w:val="8"/>
        </w:rPr>
      </w:pPr>
    </w:p>
    <w:p w:rsidR="00B70B4B" w:rsidRPr="002F17B5" w:rsidRDefault="00180A89">
      <w:pPr>
        <w:spacing w:after="0"/>
        <w:ind w:left="567"/>
      </w:pPr>
      <w:r w:rsidRPr="002F17B5">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 losses recognised in the surplus or deficit on the Provision of Services. Depreciation is not charged on Assets Held for Sale.</w:t>
      </w:r>
    </w:p>
    <w:p w:rsidR="00B70B4B" w:rsidRPr="000B54CC" w:rsidRDefault="00B70B4B">
      <w:pPr>
        <w:spacing w:after="0"/>
        <w:ind w:left="567"/>
        <w:rPr>
          <w:sz w:val="26"/>
        </w:rPr>
      </w:pPr>
    </w:p>
    <w:p w:rsidR="00B70B4B" w:rsidRPr="002F17B5" w:rsidRDefault="00B70B4B">
      <w:pPr>
        <w:spacing w:after="0"/>
        <w:ind w:left="567"/>
        <w:rPr>
          <w:sz w:val="2"/>
        </w:rPr>
      </w:pPr>
    </w:p>
    <w:p w:rsidR="00B70B4B" w:rsidRPr="002F17B5" w:rsidRDefault="00180A89">
      <w:pPr>
        <w:spacing w:after="0"/>
        <w:ind w:left="567"/>
      </w:pPr>
      <w:r w:rsidRPr="002F17B5">
        <w:t>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rsidR="00B70B4B" w:rsidRPr="000B54CC" w:rsidRDefault="00B70B4B">
      <w:pPr>
        <w:spacing w:after="0"/>
        <w:ind w:left="567"/>
        <w:rPr>
          <w:sz w:val="26"/>
        </w:rPr>
      </w:pPr>
    </w:p>
    <w:p w:rsidR="00B70B4B" w:rsidRPr="002F17B5" w:rsidRDefault="00180A89">
      <w:pPr>
        <w:spacing w:after="0"/>
        <w:ind w:left="567"/>
      </w:pPr>
      <w:r w:rsidRPr="002F17B5">
        <w:t>Assets that are to be abandoned or scrapped are not reclassified as Assets Held for Sale.</w:t>
      </w:r>
    </w:p>
    <w:p w:rsidR="00B70B4B" w:rsidRPr="000B54CC" w:rsidRDefault="00B70B4B">
      <w:pPr>
        <w:spacing w:after="0"/>
        <w:ind w:left="567"/>
        <w:rPr>
          <w:sz w:val="26"/>
        </w:rPr>
      </w:pPr>
    </w:p>
    <w:p w:rsidR="00B70B4B" w:rsidRPr="002F17B5" w:rsidRDefault="00180A89">
      <w:pPr>
        <w:spacing w:after="0"/>
        <w:ind w:left="567"/>
      </w:pPr>
      <w:r w:rsidRPr="002F17B5">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 (if any) are credited to the same line in the Comprehensive Income and Expenditure Statement also as part of the gain or loss on disposal (</w:t>
      </w:r>
      <w:r w:rsidR="0079660B" w:rsidRPr="002F17B5">
        <w:t>i.e.</w:t>
      </w:r>
      <w:r w:rsidRPr="002F17B5">
        <w:t xml:space="preserve"> netted off against the carrying value of the asset at the time of the disposal). Any revaluation gains accumulated for the asset in the Revaluation Reserve are transferred to the Capital Adjustment Account.</w:t>
      </w:r>
    </w:p>
    <w:p w:rsidR="00B70B4B" w:rsidRPr="002F17B5" w:rsidRDefault="00B70B4B">
      <w:pPr>
        <w:spacing w:after="0"/>
        <w:ind w:left="567"/>
      </w:pPr>
    </w:p>
    <w:p w:rsidR="00D70021" w:rsidRPr="002F17B5" w:rsidRDefault="00180A89">
      <w:pPr>
        <w:spacing w:after="0"/>
        <w:ind w:left="567"/>
      </w:pPr>
      <w:r w:rsidRPr="002F17B5">
        <w:t>Amounts received for a disposal in excess of £10,000 are categorised as capital receipts. These are credited to the Capital Receipts Reserve, and can then only be used for new capital investment or be set aside to reduce the council's underlying need to borrow (the capital financing requirement). Receipts are appropriated to the reserve from the County Fund balance in the Movement in Reserve</w:t>
      </w:r>
      <w:r w:rsidR="00960640" w:rsidRPr="002F17B5">
        <w:t>s</w:t>
      </w:r>
      <w:r w:rsidRPr="002F17B5">
        <w:t xml:space="preserve"> Statement.</w:t>
      </w:r>
    </w:p>
    <w:p w:rsidR="00B70B4B" w:rsidRPr="002F17B5" w:rsidRDefault="00180A89">
      <w:pPr>
        <w:spacing w:after="0"/>
        <w:ind w:left="567"/>
      </w:pPr>
      <w:r w:rsidRPr="002F17B5">
        <w:t xml:space="preserve">The written-off value of disposals is not a charge against council tax, as the cost of fixed assets is fully provided for under separate arrangements for capital financing.  </w:t>
      </w:r>
    </w:p>
    <w:p w:rsidR="00B70B4B" w:rsidRPr="002F17B5" w:rsidRDefault="00B70B4B">
      <w:pPr>
        <w:spacing w:after="0"/>
        <w:ind w:left="567"/>
        <w:rPr>
          <w:sz w:val="20"/>
        </w:rPr>
      </w:pPr>
    </w:p>
    <w:p w:rsidR="000B54CC" w:rsidRDefault="00180A89" w:rsidP="00896310">
      <w:pPr>
        <w:spacing w:after="80"/>
        <w:ind w:left="567"/>
      </w:pPr>
      <w:r w:rsidRPr="002F17B5">
        <w:t>Amounts are appropriated to the Capital Adjustment Account from the County Fund balance in the Movement in Reserve</w:t>
      </w:r>
      <w:r w:rsidR="00960640" w:rsidRPr="002F17B5">
        <w:t>s</w:t>
      </w:r>
      <w:r w:rsidRPr="002F17B5">
        <w:t xml:space="preserve"> Statement. </w:t>
      </w:r>
    </w:p>
    <w:p w:rsidR="00344414" w:rsidRDefault="00344414" w:rsidP="00896310">
      <w:pPr>
        <w:spacing w:after="80"/>
        <w:ind w:left="567"/>
      </w:pPr>
    </w:p>
    <w:p w:rsidR="000B54CC" w:rsidRPr="002F17B5" w:rsidRDefault="000B54CC">
      <w:pPr>
        <w:spacing w:after="80"/>
        <w:ind w:left="720"/>
      </w:pPr>
    </w:p>
    <w:p w:rsidR="00B70B4B" w:rsidRPr="002F17B5" w:rsidRDefault="00B70B4B">
      <w:pPr>
        <w:spacing w:after="80"/>
        <w:ind w:left="720"/>
        <w:rPr>
          <w:sz w:val="2"/>
        </w:rPr>
      </w:pPr>
    </w:p>
    <w:p w:rsidR="00B70B4B" w:rsidRDefault="00180A89" w:rsidP="00AA0715">
      <w:pPr>
        <w:numPr>
          <w:ilvl w:val="0"/>
          <w:numId w:val="47"/>
        </w:numPr>
        <w:tabs>
          <w:tab w:val="num" w:pos="1260"/>
        </w:tabs>
        <w:autoSpaceDE/>
        <w:autoSpaceDN/>
        <w:adjustRightInd/>
        <w:spacing w:before="0" w:after="80" w:line="360" w:lineRule="auto"/>
        <w:ind w:left="709" w:hanging="567"/>
        <w:jc w:val="left"/>
        <w:rPr>
          <w:b/>
        </w:rPr>
      </w:pPr>
      <w:r w:rsidRPr="002F17B5">
        <w:rPr>
          <w:b/>
        </w:rPr>
        <w:t>Heritage Assets</w:t>
      </w:r>
      <w:r w:rsidR="005A14C7" w:rsidRPr="002F17B5">
        <w:rPr>
          <w:b/>
        </w:rPr>
        <w:t xml:space="preserve"> </w:t>
      </w:r>
    </w:p>
    <w:p w:rsidR="000B54CC" w:rsidRPr="000B54CC" w:rsidRDefault="000B54CC" w:rsidP="000B54CC">
      <w:pPr>
        <w:autoSpaceDE/>
        <w:autoSpaceDN/>
        <w:adjustRightInd/>
        <w:spacing w:before="0" w:after="80" w:line="360" w:lineRule="auto"/>
        <w:ind w:left="709"/>
        <w:jc w:val="left"/>
        <w:rPr>
          <w:b/>
          <w:sz w:val="2"/>
        </w:rPr>
      </w:pPr>
    </w:p>
    <w:p w:rsidR="00B70B4B" w:rsidRPr="002F17B5" w:rsidRDefault="00180A89">
      <w:pPr>
        <w:spacing w:after="0"/>
        <w:ind w:left="567"/>
      </w:pPr>
      <w:r w:rsidRPr="002F17B5">
        <w:t>The CIPFA Code of Practice defines Heritage assets as any asset that is held for their contribution to the knowledge or culture. The council has a number of assets which are held and maintained principally for its contribution to knowledge and culture and therefore they are considered to meet the definition of Heritage assets. These assets have been valued at fair value in accordance with the policy on Property, Plant and Equipment. Any acquisitions have initially been valued at cost if purchased or at a valuation if donated.</w:t>
      </w:r>
    </w:p>
    <w:p w:rsidR="00B70B4B" w:rsidRPr="002F17B5" w:rsidRDefault="00B70B4B">
      <w:pPr>
        <w:spacing w:after="0"/>
        <w:ind w:left="567"/>
        <w:rPr>
          <w:sz w:val="22"/>
        </w:rPr>
      </w:pPr>
    </w:p>
    <w:p w:rsidR="00B70B4B" w:rsidRPr="002F17B5" w:rsidRDefault="00180A89">
      <w:pPr>
        <w:spacing w:after="0"/>
        <w:ind w:left="567"/>
      </w:pPr>
      <w:r w:rsidRPr="002F17B5">
        <w:t>The collection has indeterminate life and is subject to appropriate conservation measures therefore depreciation is not charged on Heritage assets.</w:t>
      </w:r>
    </w:p>
    <w:p w:rsidR="00B70B4B" w:rsidRPr="002F17B5" w:rsidRDefault="00B70B4B">
      <w:pPr>
        <w:spacing w:after="0"/>
        <w:ind w:left="567"/>
        <w:rPr>
          <w:sz w:val="22"/>
        </w:rPr>
      </w:pPr>
    </w:p>
    <w:p w:rsidR="00B70B4B" w:rsidRPr="002F17B5" w:rsidRDefault="00180A89">
      <w:pPr>
        <w:spacing w:after="0"/>
        <w:ind w:left="567"/>
      </w:pPr>
      <w:r w:rsidRPr="002F17B5">
        <w:t>The county council has a detailed acquisitions and disposal policy further information on which can be obtained from the county council. In broad terms any acquisition by the county council must relate to the county palatine of Lancaster. Consideration is also given to the ability of the county council to ensure the long term care of the acquisition and that the acquisition does not conflict with the acquisitions policy of other museums in the region.</w:t>
      </w:r>
    </w:p>
    <w:p w:rsidR="00B70B4B" w:rsidRPr="002F17B5" w:rsidRDefault="00B70B4B">
      <w:pPr>
        <w:spacing w:after="0"/>
        <w:ind w:left="567"/>
        <w:rPr>
          <w:sz w:val="22"/>
        </w:rPr>
      </w:pPr>
    </w:p>
    <w:p w:rsidR="00B70B4B" w:rsidRPr="002F17B5" w:rsidRDefault="00180A89">
      <w:pPr>
        <w:spacing w:after="0"/>
        <w:ind w:left="567"/>
      </w:pPr>
      <w:r w:rsidRPr="002F17B5">
        <w:t>With respect to disposals it is considered that the collection has a long term purpose and therefore there is a strong presumption against disposal. Disposals will not be made with the principal aim of generating funds.</w:t>
      </w:r>
    </w:p>
    <w:p w:rsidR="00B34E61" w:rsidRPr="002F17B5" w:rsidRDefault="00B34E61">
      <w:pPr>
        <w:spacing w:after="0"/>
        <w:ind w:left="567"/>
        <w:rPr>
          <w:sz w:val="12"/>
        </w:rPr>
      </w:pPr>
    </w:p>
    <w:p w:rsidR="00DD070A" w:rsidRPr="002F17B5" w:rsidRDefault="00DD070A" w:rsidP="005526DA">
      <w:pPr>
        <w:spacing w:after="0"/>
        <w:ind w:left="720"/>
        <w:rPr>
          <w:sz w:val="2"/>
        </w:rPr>
      </w:pPr>
    </w:p>
    <w:p w:rsidR="00DD070A" w:rsidRDefault="00DD070A" w:rsidP="005526DA">
      <w:pPr>
        <w:spacing w:after="0"/>
        <w:ind w:left="720"/>
        <w:rPr>
          <w:sz w:val="22"/>
        </w:rPr>
      </w:pPr>
    </w:p>
    <w:p w:rsidR="000B54CC" w:rsidRPr="002F17B5" w:rsidRDefault="000B54CC" w:rsidP="005526DA">
      <w:pPr>
        <w:spacing w:after="0"/>
        <w:ind w:left="720"/>
        <w:rPr>
          <w:sz w:val="22"/>
        </w:rPr>
      </w:pPr>
    </w:p>
    <w:p w:rsidR="00B70B4B" w:rsidRPr="002F17B5" w:rsidRDefault="00180A89" w:rsidP="00AA0715">
      <w:pPr>
        <w:numPr>
          <w:ilvl w:val="0"/>
          <w:numId w:val="47"/>
        </w:numPr>
        <w:tabs>
          <w:tab w:val="num" w:pos="1260"/>
        </w:tabs>
        <w:autoSpaceDE/>
        <w:autoSpaceDN/>
        <w:adjustRightInd/>
        <w:spacing w:before="0" w:after="80" w:line="360" w:lineRule="auto"/>
        <w:ind w:left="709" w:hanging="567"/>
        <w:jc w:val="left"/>
        <w:rPr>
          <w:b/>
          <w:snapToGrid w:val="0"/>
        </w:rPr>
      </w:pPr>
      <w:r w:rsidRPr="002F17B5">
        <w:rPr>
          <w:b/>
        </w:rPr>
        <w:t>Charges to Revenue for Non-Current Assets</w:t>
      </w:r>
    </w:p>
    <w:p w:rsidR="00B70B4B" w:rsidRPr="002F17B5" w:rsidRDefault="00180A89">
      <w:pPr>
        <w:spacing w:after="0"/>
        <w:ind w:left="720"/>
        <w:rPr>
          <w:snapToGrid w:val="0"/>
        </w:rPr>
      </w:pPr>
      <w:r w:rsidRPr="002F17B5">
        <w:rPr>
          <w:snapToGrid w:val="0"/>
        </w:rPr>
        <w:t xml:space="preserve">Services, support services and trading accounts are debited with the following amounts to record the cost of holding fixed assets during the year: </w:t>
      </w:r>
    </w:p>
    <w:p w:rsidR="00B70B4B" w:rsidRPr="002F17B5" w:rsidRDefault="00B70B4B">
      <w:pPr>
        <w:spacing w:after="0"/>
        <w:ind w:left="720"/>
        <w:rPr>
          <w:snapToGrid w:val="0"/>
          <w:sz w:val="14"/>
        </w:rPr>
      </w:pPr>
    </w:p>
    <w:p w:rsidR="00B70B4B" w:rsidRPr="002F17B5" w:rsidRDefault="00286D86" w:rsidP="00144349">
      <w:pPr>
        <w:numPr>
          <w:ilvl w:val="0"/>
          <w:numId w:val="34"/>
        </w:numPr>
        <w:autoSpaceDE/>
        <w:autoSpaceDN/>
        <w:adjustRightInd/>
        <w:spacing w:before="0" w:after="0"/>
        <w:ind w:left="993" w:hanging="284"/>
        <w:rPr>
          <w:snapToGrid w:val="0"/>
        </w:rPr>
      </w:pPr>
      <w:r w:rsidRPr="002F17B5">
        <w:rPr>
          <w:snapToGrid w:val="0"/>
        </w:rPr>
        <w:t>Depreciation attributable to the assets used by the relevant service.</w:t>
      </w:r>
    </w:p>
    <w:p w:rsidR="00B70B4B" w:rsidRPr="002F17B5" w:rsidRDefault="00B70B4B">
      <w:pPr>
        <w:autoSpaceDE/>
        <w:autoSpaceDN/>
        <w:adjustRightInd/>
        <w:spacing w:before="0" w:after="0"/>
        <w:ind w:left="993"/>
        <w:rPr>
          <w:snapToGrid w:val="0"/>
        </w:rPr>
      </w:pPr>
    </w:p>
    <w:p w:rsidR="00B70B4B" w:rsidRPr="002F17B5" w:rsidRDefault="00286D86" w:rsidP="00144349">
      <w:pPr>
        <w:numPr>
          <w:ilvl w:val="0"/>
          <w:numId w:val="34"/>
        </w:numPr>
        <w:autoSpaceDE/>
        <w:autoSpaceDN/>
        <w:adjustRightInd/>
        <w:spacing w:before="0" w:after="0"/>
        <w:ind w:left="993" w:hanging="284"/>
        <w:rPr>
          <w:snapToGrid w:val="0"/>
        </w:rPr>
      </w:pPr>
      <w:r w:rsidRPr="002F17B5">
        <w:rPr>
          <w:snapToGrid w:val="0"/>
        </w:rPr>
        <w:t>Revaluation and impairment losses on assets used by the service where there are no accumulated gains in the Revaluation Reserve against which the losses can be written off.</w:t>
      </w:r>
    </w:p>
    <w:p w:rsidR="00B70B4B" w:rsidRPr="002F17B5" w:rsidRDefault="00B70B4B">
      <w:pPr>
        <w:autoSpaceDE/>
        <w:autoSpaceDN/>
        <w:adjustRightInd/>
        <w:spacing w:before="0" w:after="0"/>
        <w:rPr>
          <w:snapToGrid w:val="0"/>
        </w:rPr>
      </w:pPr>
    </w:p>
    <w:p w:rsidR="00B70B4B" w:rsidRPr="002F17B5" w:rsidRDefault="00286D86" w:rsidP="00144349">
      <w:pPr>
        <w:numPr>
          <w:ilvl w:val="0"/>
          <w:numId w:val="34"/>
        </w:numPr>
        <w:autoSpaceDE/>
        <w:autoSpaceDN/>
        <w:adjustRightInd/>
        <w:spacing w:before="0" w:after="0"/>
        <w:ind w:left="993" w:hanging="284"/>
        <w:rPr>
          <w:snapToGrid w:val="0"/>
        </w:rPr>
      </w:pPr>
      <w:r w:rsidRPr="002F17B5">
        <w:rPr>
          <w:snapToGrid w:val="0"/>
        </w:rPr>
        <w:t>Amortisation of intangible assets attributable to the service.</w:t>
      </w:r>
    </w:p>
    <w:p w:rsidR="00B70B4B" w:rsidRPr="002F17B5" w:rsidRDefault="00B70B4B">
      <w:pPr>
        <w:autoSpaceDE/>
        <w:autoSpaceDN/>
        <w:adjustRightInd/>
        <w:spacing w:before="0" w:after="0"/>
        <w:rPr>
          <w:snapToGrid w:val="0"/>
          <w:sz w:val="27"/>
          <w:szCs w:val="23"/>
        </w:rPr>
      </w:pPr>
    </w:p>
    <w:p w:rsidR="00DD070A" w:rsidRPr="002F17B5" w:rsidRDefault="00180A89" w:rsidP="00606CD2">
      <w:pPr>
        <w:spacing w:after="0"/>
        <w:ind w:left="720"/>
        <w:rPr>
          <w:snapToGrid w:val="0"/>
        </w:rPr>
      </w:pPr>
      <w:r w:rsidRPr="002F17B5">
        <w:rPr>
          <w:snapToGrid w:val="0"/>
        </w:rPr>
        <w:t xml:space="preserve">The council is not required to raise council tax to fund depreciation, revaluation and impairment losses or amortisations. However, it is required to make an annual charge to revenue towards the reduction in its overall borrowing requirement which is calculated on a prudent basis determined in accordance with statutory guidance. </w:t>
      </w:r>
    </w:p>
    <w:p w:rsidR="004A0269" w:rsidRPr="002F17B5" w:rsidRDefault="004A0269" w:rsidP="00606CD2">
      <w:pPr>
        <w:spacing w:after="0"/>
        <w:ind w:left="720"/>
        <w:rPr>
          <w:snapToGrid w:val="0"/>
        </w:rPr>
      </w:pPr>
    </w:p>
    <w:p w:rsidR="00180A89" w:rsidRPr="002F17B5" w:rsidRDefault="00180A89" w:rsidP="00606CD2">
      <w:pPr>
        <w:spacing w:after="0"/>
        <w:ind w:left="720"/>
        <w:rPr>
          <w:snapToGrid w:val="0"/>
        </w:rPr>
      </w:pPr>
      <w:r w:rsidRPr="002F17B5">
        <w:rPr>
          <w:snapToGrid w:val="0"/>
        </w:rPr>
        <w:t>Depreciation, revaluation and impairment losses and amortisations are therefore replaced by the contribution in the County Fund balance (minimum revenue provision), by way of an adjusting transaction with the Capital Adjustment Account in the Movement in Reserves Statement for the difference between the two.</w:t>
      </w:r>
    </w:p>
    <w:p w:rsidR="00B34E61" w:rsidRPr="002F17B5" w:rsidRDefault="00B34E61" w:rsidP="00606CD2">
      <w:pPr>
        <w:spacing w:after="0"/>
        <w:ind w:left="720"/>
        <w:rPr>
          <w:snapToGrid w:val="0"/>
          <w:sz w:val="4"/>
        </w:rPr>
      </w:pPr>
    </w:p>
    <w:p w:rsidR="00365381" w:rsidRDefault="00365381" w:rsidP="00606CD2">
      <w:pPr>
        <w:spacing w:after="0"/>
        <w:ind w:left="720"/>
        <w:rPr>
          <w:snapToGrid w:val="0"/>
          <w:sz w:val="30"/>
        </w:rPr>
      </w:pPr>
    </w:p>
    <w:p w:rsidR="000B54CC" w:rsidRPr="002F17B5" w:rsidRDefault="000B54CC" w:rsidP="00606CD2">
      <w:pPr>
        <w:spacing w:after="0"/>
        <w:ind w:left="720"/>
        <w:rPr>
          <w:snapToGrid w:val="0"/>
          <w:sz w:val="30"/>
        </w:rPr>
      </w:pPr>
    </w:p>
    <w:p w:rsidR="00B80DA1" w:rsidRPr="002F17B5" w:rsidRDefault="00AB2558" w:rsidP="00B80DA1">
      <w:pPr>
        <w:numPr>
          <w:ilvl w:val="0"/>
          <w:numId w:val="47"/>
        </w:numPr>
        <w:tabs>
          <w:tab w:val="num" w:pos="1260"/>
        </w:tabs>
        <w:autoSpaceDE/>
        <w:autoSpaceDN/>
        <w:adjustRightInd/>
        <w:spacing w:before="0" w:after="100"/>
        <w:ind w:left="709" w:hanging="567"/>
        <w:jc w:val="left"/>
      </w:pPr>
      <w:r w:rsidRPr="002F17B5">
        <w:rPr>
          <w:b/>
        </w:rPr>
        <w:lastRenderedPageBreak/>
        <w:t>Fixed Assets not owned by the C</w:t>
      </w:r>
      <w:r w:rsidR="00180A89" w:rsidRPr="002F17B5">
        <w:rPr>
          <w:b/>
        </w:rPr>
        <w:t>ouncil</w:t>
      </w:r>
      <w:r w:rsidR="00180A89" w:rsidRPr="002F17B5">
        <w:rPr>
          <w:b/>
          <w:snapToGrid w:val="0"/>
        </w:rPr>
        <w:t xml:space="preserve"> </w:t>
      </w:r>
    </w:p>
    <w:p w:rsidR="00086822" w:rsidRPr="002F17B5" w:rsidRDefault="00086822" w:rsidP="00AB2558">
      <w:pPr>
        <w:spacing w:after="0"/>
        <w:ind w:left="720"/>
        <w:rPr>
          <w:snapToGrid w:val="0"/>
          <w:sz w:val="6"/>
        </w:rPr>
      </w:pPr>
    </w:p>
    <w:p w:rsidR="00986813" w:rsidRPr="002F17B5" w:rsidRDefault="00986813">
      <w:pPr>
        <w:ind w:left="720"/>
        <w:rPr>
          <w:snapToGrid w:val="0"/>
        </w:rPr>
      </w:pPr>
      <w:r w:rsidRPr="002F17B5">
        <w:rPr>
          <w:snapToGrid w:val="0"/>
        </w:rPr>
        <w:t>Some voluntary aided and controlled schools are owned by the school governors. However these schools are included in our fixed assets as we receive the benefit from using the properties in terms of delivery of services and also meet their costs of service provision, using the assets and the costs of maintaining them.</w:t>
      </w:r>
    </w:p>
    <w:p w:rsidR="00B70B4B" w:rsidRPr="002F17B5" w:rsidRDefault="00180A89">
      <w:pPr>
        <w:ind w:left="720"/>
        <w:rPr>
          <w:snapToGrid w:val="0"/>
        </w:rPr>
      </w:pPr>
      <w:r w:rsidRPr="002F17B5">
        <w:rPr>
          <w:snapToGrid w:val="0"/>
        </w:rPr>
        <w:t>In total</w:t>
      </w:r>
      <w:r w:rsidRPr="002F17B5">
        <w:rPr>
          <w:b/>
          <w:snapToGrid w:val="0"/>
        </w:rPr>
        <w:t>,</w:t>
      </w:r>
      <w:r w:rsidR="008B1CAE" w:rsidRPr="002F17B5">
        <w:rPr>
          <w:b/>
          <w:snapToGrid w:val="0"/>
        </w:rPr>
        <w:t xml:space="preserve"> </w:t>
      </w:r>
      <w:r w:rsidR="00D0122A" w:rsidRPr="002F17B5">
        <w:rPr>
          <w:snapToGrid w:val="0"/>
        </w:rPr>
        <w:t>£589</w:t>
      </w:r>
      <w:r w:rsidR="00286D86" w:rsidRPr="002F17B5">
        <w:rPr>
          <w:snapToGrid w:val="0"/>
        </w:rPr>
        <w:t>m</w:t>
      </w:r>
      <w:r w:rsidR="008B1CAE" w:rsidRPr="002F17B5">
        <w:rPr>
          <w:snapToGrid w:val="0"/>
        </w:rPr>
        <w:t xml:space="preserve"> </w:t>
      </w:r>
      <w:r w:rsidR="00286D86" w:rsidRPr="002F17B5">
        <w:rPr>
          <w:snapToGrid w:val="0"/>
        </w:rPr>
        <w:t>(</w:t>
      </w:r>
      <w:r w:rsidR="00CD4CF3" w:rsidRPr="002F17B5">
        <w:rPr>
          <w:snapToGrid w:val="0"/>
        </w:rPr>
        <w:t>2012/13</w:t>
      </w:r>
      <w:r w:rsidR="00286D86" w:rsidRPr="002F17B5">
        <w:rPr>
          <w:snapToGrid w:val="0"/>
        </w:rPr>
        <w:t xml:space="preserve"> £</w:t>
      </w:r>
      <w:r w:rsidR="00B80DA1" w:rsidRPr="002F17B5">
        <w:rPr>
          <w:snapToGrid w:val="0"/>
        </w:rPr>
        <w:t>489m</w:t>
      </w:r>
      <w:r w:rsidR="00286D86" w:rsidRPr="002F17B5">
        <w:rPr>
          <w:snapToGrid w:val="0"/>
        </w:rPr>
        <w:t>)</w:t>
      </w:r>
      <w:r w:rsidRPr="002F17B5">
        <w:rPr>
          <w:snapToGrid w:val="0"/>
        </w:rPr>
        <w:t xml:space="preserve"> of fixed assets not owned by us are included in the balance sheet.</w:t>
      </w:r>
    </w:p>
    <w:p w:rsidR="006A23C5" w:rsidRPr="002F17B5" w:rsidRDefault="006A23C5" w:rsidP="00AB2558">
      <w:pPr>
        <w:ind w:firstLine="720"/>
        <w:rPr>
          <w:snapToGrid w:val="0"/>
        </w:rPr>
      </w:pPr>
    </w:p>
    <w:p w:rsidR="00180A89" w:rsidRPr="002F17B5" w:rsidRDefault="00180A89" w:rsidP="00AA0715">
      <w:pPr>
        <w:numPr>
          <w:ilvl w:val="0"/>
          <w:numId w:val="47"/>
        </w:numPr>
        <w:tabs>
          <w:tab w:val="num" w:pos="1260"/>
        </w:tabs>
        <w:autoSpaceDE/>
        <w:autoSpaceDN/>
        <w:adjustRightInd/>
        <w:spacing w:before="0"/>
        <w:ind w:left="709" w:hanging="567"/>
        <w:jc w:val="left"/>
        <w:rPr>
          <w:b/>
          <w:snapToGrid w:val="0"/>
        </w:rPr>
      </w:pPr>
      <w:r w:rsidRPr="002F17B5">
        <w:rPr>
          <w:b/>
        </w:rPr>
        <w:t>Revenue Expenditure Funded from Capital under Statute</w:t>
      </w:r>
    </w:p>
    <w:p w:rsidR="004A0269" w:rsidRPr="002F17B5" w:rsidRDefault="00180A89" w:rsidP="00AB2558">
      <w:pPr>
        <w:ind w:left="720"/>
        <w:rPr>
          <w:snapToGrid w:val="0"/>
        </w:rPr>
      </w:pPr>
      <w:r w:rsidRPr="002F17B5">
        <w:rPr>
          <w:snapToGrid w:val="0"/>
        </w:rPr>
        <w:t xml:space="preserve">Expenditure incurred during the year that may be capitalised under statutory provisions but does not result in the creation of a non-current asset has been charged as expenditure to the relevant service in the Comprehensive Income and Expenditure Statement in the year. </w:t>
      </w:r>
    </w:p>
    <w:p w:rsidR="00180A89" w:rsidRPr="002F17B5" w:rsidRDefault="00180A89" w:rsidP="00AB2558">
      <w:pPr>
        <w:ind w:left="720"/>
        <w:rPr>
          <w:snapToGrid w:val="0"/>
        </w:rPr>
      </w:pPr>
      <w:r w:rsidRPr="002F17B5">
        <w:rPr>
          <w:snapToGrid w:val="0"/>
        </w:rPr>
        <w:t xml:space="preserve">Where the council has determined to meet the cost of this expenditure from existing capital resources or by borrowing, a transfer from the County Fund to the Capital Adjustment Account then reverses out the amounts charged so that there is no impact on the level of council tax.  </w:t>
      </w:r>
    </w:p>
    <w:p w:rsidR="009268A1" w:rsidRPr="002F17B5" w:rsidRDefault="009268A1" w:rsidP="00AB2558">
      <w:pPr>
        <w:ind w:left="720"/>
        <w:rPr>
          <w:snapToGrid w:val="0"/>
          <w:sz w:val="14"/>
        </w:rPr>
      </w:pPr>
    </w:p>
    <w:p w:rsidR="00180A89" w:rsidRPr="002F17B5" w:rsidRDefault="00180A89" w:rsidP="00AA0715">
      <w:pPr>
        <w:numPr>
          <w:ilvl w:val="0"/>
          <w:numId w:val="47"/>
        </w:numPr>
        <w:tabs>
          <w:tab w:val="num" w:pos="1260"/>
        </w:tabs>
        <w:autoSpaceDE/>
        <w:autoSpaceDN/>
        <w:adjustRightInd/>
        <w:spacing w:before="0" w:after="100"/>
        <w:ind w:left="709" w:hanging="567"/>
        <w:jc w:val="left"/>
        <w:rPr>
          <w:b/>
        </w:rPr>
      </w:pPr>
      <w:r w:rsidRPr="002F17B5">
        <w:rPr>
          <w:b/>
        </w:rPr>
        <w:t>Investment Property</w:t>
      </w:r>
    </w:p>
    <w:p w:rsidR="00B70B4B" w:rsidRPr="002F17B5" w:rsidRDefault="00180A89">
      <w:pPr>
        <w:spacing w:after="0"/>
        <w:ind w:left="660"/>
        <w:rPr>
          <w:snapToGrid w:val="0"/>
        </w:rPr>
      </w:pPr>
      <w:r w:rsidRPr="002F17B5">
        <w:rPr>
          <w:snapToGrid w:val="0"/>
        </w:rPr>
        <w:t>Investment properties are those that are used solely to earn rentals and/or for capital appreciation. The definition is not met if the property is used in any way to facilitate the delivery of services or production of goods or is held for sale.</w:t>
      </w:r>
    </w:p>
    <w:p w:rsidR="00B70B4B" w:rsidRPr="002F17B5" w:rsidRDefault="00B70B4B">
      <w:pPr>
        <w:spacing w:after="0"/>
        <w:ind w:left="660"/>
        <w:rPr>
          <w:snapToGrid w:val="0"/>
        </w:rPr>
      </w:pPr>
    </w:p>
    <w:p w:rsidR="00B70B4B" w:rsidRPr="002F17B5" w:rsidRDefault="00180A89">
      <w:pPr>
        <w:spacing w:after="0"/>
        <w:ind w:left="660"/>
        <w:rPr>
          <w:snapToGrid w:val="0"/>
        </w:rPr>
      </w:pPr>
      <w:r w:rsidRPr="002F17B5">
        <w:rPr>
          <w:snapToGrid w:val="0"/>
        </w:rPr>
        <w:t>Investment properties are measured initially at cost and subsequently at fair value, based on the amount at which the asset could be exchanged between knowledgeable parties at arm's-length. Properties are not depreciated but are revalued annually according to market conditions at the year end. Gains and losses on revaluation are posted to the Financing and Investment Income and Expenditure line in the Comprehensive Income and Expenditure Statement. The same treatment is applied to gains and losses on disposal.</w:t>
      </w:r>
    </w:p>
    <w:p w:rsidR="00B70B4B" w:rsidRPr="002F17B5" w:rsidRDefault="00B70B4B">
      <w:pPr>
        <w:spacing w:after="0"/>
        <w:ind w:left="660"/>
        <w:rPr>
          <w:snapToGrid w:val="0"/>
        </w:rPr>
      </w:pPr>
    </w:p>
    <w:p w:rsidR="00772854" w:rsidRPr="002F17B5" w:rsidRDefault="00180A89" w:rsidP="00772854">
      <w:pPr>
        <w:spacing w:after="0"/>
        <w:ind w:left="658"/>
        <w:rPr>
          <w:snapToGrid w:val="0"/>
          <w:sz w:val="18"/>
        </w:rPr>
      </w:pPr>
      <w:r w:rsidRPr="002F17B5">
        <w:rPr>
          <w:snapToGrid w:val="0"/>
        </w:rPr>
        <w:t>Rentals received in relation to investment properties are credited to the Financing and Investment Income line and result in a gain for the County Fund balance. However, revaluation and disposal gains and losses are not permitted by statutory arrangements to have an impact on the County Fund balance. The gains and losses are therefore reversed out of the County Fund balance in the Movement in Reserves Statement and posted to the Capital Adjustment Accounts and (for any sale proceeds greater than £10,000) the Capital Receipts Reserve.</w:t>
      </w:r>
      <w:r w:rsidRPr="002F17B5">
        <w:rPr>
          <w:snapToGrid w:val="0"/>
          <w:sz w:val="18"/>
        </w:rPr>
        <w:t xml:space="preserve"> </w:t>
      </w:r>
    </w:p>
    <w:p w:rsidR="00B70B4B" w:rsidRPr="002F17B5" w:rsidRDefault="00B70B4B">
      <w:pPr>
        <w:autoSpaceDE/>
        <w:autoSpaceDN/>
        <w:adjustRightInd/>
        <w:spacing w:before="0" w:line="360" w:lineRule="auto"/>
        <w:ind w:left="709"/>
        <w:jc w:val="left"/>
        <w:rPr>
          <w:b/>
          <w:sz w:val="16"/>
        </w:rPr>
      </w:pPr>
    </w:p>
    <w:p w:rsidR="00772854" w:rsidRDefault="00772854" w:rsidP="00772854">
      <w:pPr>
        <w:numPr>
          <w:ilvl w:val="0"/>
          <w:numId w:val="47"/>
        </w:numPr>
        <w:tabs>
          <w:tab w:val="num" w:pos="1260"/>
        </w:tabs>
        <w:autoSpaceDE/>
        <w:autoSpaceDN/>
        <w:adjustRightInd/>
        <w:spacing w:before="0" w:after="0" w:line="360" w:lineRule="auto"/>
        <w:ind w:left="709" w:hanging="567"/>
        <w:jc w:val="left"/>
        <w:rPr>
          <w:b/>
        </w:rPr>
      </w:pPr>
      <w:r>
        <w:rPr>
          <w:b/>
        </w:rPr>
        <w:t>Long Term Contracts</w:t>
      </w:r>
    </w:p>
    <w:p w:rsidR="00772854" w:rsidRDefault="00772854" w:rsidP="000B54CC">
      <w:pPr>
        <w:autoSpaceDE/>
        <w:autoSpaceDN/>
        <w:adjustRightInd/>
        <w:spacing w:before="0" w:after="0" w:line="360" w:lineRule="auto"/>
        <w:ind w:left="680"/>
        <w:jc w:val="left"/>
        <w:rPr>
          <w:snapToGrid w:val="0"/>
        </w:rPr>
      </w:pPr>
      <w:r w:rsidRPr="00772854">
        <w:rPr>
          <w:snapToGrid w:val="0"/>
        </w:rPr>
        <w:t>Long term contracts are accounted for on the basis of charging the surplus or deficit on the Provision of Services with the value of works and services received under the contract during the financial year.</w:t>
      </w:r>
    </w:p>
    <w:p w:rsidR="00772854" w:rsidRPr="00772854" w:rsidRDefault="00772854" w:rsidP="00772854">
      <w:pPr>
        <w:autoSpaceDE/>
        <w:autoSpaceDN/>
        <w:adjustRightInd/>
        <w:spacing w:before="0" w:after="0" w:line="360" w:lineRule="auto"/>
        <w:ind w:left="680"/>
        <w:jc w:val="left"/>
        <w:rPr>
          <w:snapToGrid w:val="0"/>
        </w:rPr>
      </w:pPr>
    </w:p>
    <w:p w:rsidR="00B70B4B" w:rsidRPr="002F17B5" w:rsidRDefault="00772854" w:rsidP="00AA0715">
      <w:pPr>
        <w:numPr>
          <w:ilvl w:val="0"/>
          <w:numId w:val="47"/>
        </w:numPr>
        <w:tabs>
          <w:tab w:val="num" w:pos="1260"/>
        </w:tabs>
        <w:autoSpaceDE/>
        <w:autoSpaceDN/>
        <w:adjustRightInd/>
        <w:spacing w:before="0" w:after="0" w:line="360" w:lineRule="auto"/>
        <w:ind w:left="709" w:hanging="567"/>
        <w:jc w:val="left"/>
        <w:rPr>
          <w:b/>
        </w:rPr>
      </w:pPr>
      <w:r>
        <w:rPr>
          <w:b/>
        </w:rPr>
        <w:lastRenderedPageBreak/>
        <w:t>Overheads and Support Services</w:t>
      </w:r>
    </w:p>
    <w:p w:rsidR="00B70B4B" w:rsidRPr="002F17B5" w:rsidRDefault="00B70B4B">
      <w:pPr>
        <w:autoSpaceDE/>
        <w:autoSpaceDN/>
        <w:adjustRightInd/>
        <w:spacing w:before="0" w:after="0" w:line="360" w:lineRule="auto"/>
        <w:ind w:left="709"/>
        <w:jc w:val="left"/>
        <w:rPr>
          <w:b/>
          <w:sz w:val="2"/>
        </w:rPr>
      </w:pPr>
    </w:p>
    <w:p w:rsidR="00B70B4B" w:rsidRPr="002F17B5" w:rsidRDefault="00180A89">
      <w:pPr>
        <w:spacing w:after="0"/>
        <w:ind w:left="720"/>
      </w:pPr>
      <w:r w:rsidRPr="002F17B5">
        <w:t xml:space="preserve">The costs of overheads and support services are charged to those that benefit from the supply or service in accordance with the costing principles of the CIPFA Service Reporting Code of Practice </w:t>
      </w:r>
      <w:r w:rsidR="00CD4CF3" w:rsidRPr="002F17B5">
        <w:t>2013/14</w:t>
      </w:r>
      <w:r w:rsidRPr="002F17B5">
        <w:t xml:space="preserve"> (</w:t>
      </w:r>
      <w:proofErr w:type="spellStart"/>
      <w:r w:rsidRPr="002F17B5">
        <w:t>SeRCOP</w:t>
      </w:r>
      <w:proofErr w:type="spellEnd"/>
      <w:r w:rsidRPr="002F17B5">
        <w:t xml:space="preserve">). </w:t>
      </w:r>
    </w:p>
    <w:p w:rsidR="00B70B4B" w:rsidRPr="002F17B5" w:rsidRDefault="00B70B4B">
      <w:pPr>
        <w:spacing w:after="0"/>
        <w:ind w:left="720"/>
      </w:pPr>
    </w:p>
    <w:p w:rsidR="00180A89" w:rsidRDefault="00180A89" w:rsidP="00B34E61">
      <w:pPr>
        <w:ind w:left="720"/>
      </w:pPr>
      <w:r w:rsidRPr="002F17B5">
        <w:t>The total absorption costing principle is used; the full cost of overheads and support services are shared be</w:t>
      </w:r>
      <w:r w:rsidR="00AB2558" w:rsidRPr="002F17B5">
        <w:t xml:space="preserve">tween users in proportion </w:t>
      </w:r>
      <w:r w:rsidR="00277BAC" w:rsidRPr="002F17B5">
        <w:t>to benefits</w:t>
      </w:r>
      <w:r w:rsidRPr="002F17B5">
        <w:t xml:space="preserve"> received, with the exception of:</w:t>
      </w:r>
    </w:p>
    <w:p w:rsidR="000B54CC" w:rsidRPr="000B54CC" w:rsidRDefault="000B54CC" w:rsidP="00B34E61">
      <w:pPr>
        <w:ind w:left="720"/>
        <w:rPr>
          <w:sz w:val="2"/>
        </w:rPr>
      </w:pPr>
    </w:p>
    <w:p w:rsidR="00B70B4B" w:rsidRPr="002F17B5" w:rsidRDefault="00180A89" w:rsidP="00144349">
      <w:pPr>
        <w:numPr>
          <w:ilvl w:val="0"/>
          <w:numId w:val="22"/>
        </w:numPr>
        <w:tabs>
          <w:tab w:val="clear" w:pos="1440"/>
          <w:tab w:val="num" w:pos="1276"/>
        </w:tabs>
        <w:autoSpaceDE/>
        <w:autoSpaceDN/>
        <w:adjustRightInd/>
        <w:spacing w:before="0" w:after="0"/>
        <w:ind w:left="1276" w:right="401" w:hanging="448"/>
      </w:pPr>
      <w:r w:rsidRPr="002F17B5">
        <w:t>Corporate and democratic core – costs relating to the council’s status as a multi-functional, democratic organisation.</w:t>
      </w:r>
    </w:p>
    <w:p w:rsidR="00B70B4B" w:rsidRPr="000B54CC" w:rsidRDefault="00B70B4B">
      <w:pPr>
        <w:autoSpaceDE/>
        <w:autoSpaceDN/>
        <w:adjustRightInd/>
        <w:spacing w:before="0" w:after="0"/>
        <w:ind w:left="1276" w:right="401"/>
        <w:rPr>
          <w:sz w:val="18"/>
        </w:rPr>
      </w:pPr>
    </w:p>
    <w:p w:rsidR="00B70B4B" w:rsidRPr="002F17B5" w:rsidRDefault="00B70B4B">
      <w:pPr>
        <w:autoSpaceDE/>
        <w:autoSpaceDN/>
        <w:adjustRightInd/>
        <w:spacing w:before="0" w:after="0"/>
        <w:ind w:left="1276" w:right="401"/>
        <w:rPr>
          <w:sz w:val="4"/>
        </w:rPr>
      </w:pPr>
    </w:p>
    <w:p w:rsidR="00B70B4B" w:rsidRPr="002F17B5" w:rsidRDefault="00180A89" w:rsidP="00144349">
      <w:pPr>
        <w:numPr>
          <w:ilvl w:val="0"/>
          <w:numId w:val="22"/>
        </w:numPr>
        <w:tabs>
          <w:tab w:val="clear" w:pos="1440"/>
          <w:tab w:val="num" w:pos="1276"/>
        </w:tabs>
        <w:autoSpaceDE/>
        <w:autoSpaceDN/>
        <w:adjustRightInd/>
        <w:spacing w:before="0" w:after="0"/>
        <w:ind w:left="1276" w:right="401" w:hanging="448"/>
      </w:pPr>
      <w:r w:rsidRPr="002F17B5">
        <w:t>Non-distributed costs – the cost of discretionary benefits awarded to employees retiring early and any depreciation and impairment losses chargeable on Assets Held for Sale.</w:t>
      </w:r>
    </w:p>
    <w:p w:rsidR="00B34E61" w:rsidRPr="000B54CC" w:rsidRDefault="00B34E61">
      <w:pPr>
        <w:spacing w:after="0"/>
        <w:ind w:left="720"/>
        <w:rPr>
          <w:sz w:val="28"/>
        </w:rPr>
      </w:pPr>
    </w:p>
    <w:p w:rsidR="00B70B4B" w:rsidRDefault="00180A89">
      <w:pPr>
        <w:spacing w:after="0"/>
        <w:ind w:left="720"/>
      </w:pPr>
      <w:r w:rsidRPr="002F17B5">
        <w:t xml:space="preserve">These two cost categories are defined in </w:t>
      </w:r>
      <w:proofErr w:type="spellStart"/>
      <w:r w:rsidRPr="002F17B5">
        <w:t>SeRCOP</w:t>
      </w:r>
      <w:proofErr w:type="spellEnd"/>
      <w:r w:rsidRPr="002F17B5">
        <w:t xml:space="preserve"> and accounted for as separate headings in the Comprehensive Income and Expenditure Statement, as part of the Net Expenditure on Continuing Services.</w:t>
      </w:r>
    </w:p>
    <w:p w:rsidR="000B54CC" w:rsidRPr="000B54CC" w:rsidRDefault="000B54CC">
      <w:pPr>
        <w:spacing w:after="0"/>
        <w:ind w:left="720"/>
        <w:rPr>
          <w:sz w:val="14"/>
        </w:rPr>
      </w:pPr>
    </w:p>
    <w:p w:rsidR="000B54CC" w:rsidRPr="002F17B5" w:rsidRDefault="000B54CC">
      <w:pPr>
        <w:spacing w:after="0"/>
        <w:ind w:left="720"/>
      </w:pPr>
    </w:p>
    <w:p w:rsidR="00180A89" w:rsidRPr="002F17B5" w:rsidRDefault="005D3E0E" w:rsidP="00AA0715">
      <w:pPr>
        <w:numPr>
          <w:ilvl w:val="0"/>
          <w:numId w:val="47"/>
        </w:numPr>
        <w:tabs>
          <w:tab w:val="num" w:pos="1260"/>
        </w:tabs>
        <w:autoSpaceDE/>
        <w:autoSpaceDN/>
        <w:adjustRightInd/>
        <w:spacing w:before="0" w:line="360" w:lineRule="auto"/>
        <w:ind w:left="709" w:hanging="567"/>
        <w:jc w:val="left"/>
        <w:rPr>
          <w:b/>
        </w:rPr>
      </w:pPr>
      <w:r w:rsidRPr="002F17B5">
        <w:rPr>
          <w:b/>
        </w:rPr>
        <w:t xml:space="preserve">Government Grants and Contributions </w:t>
      </w:r>
    </w:p>
    <w:p w:rsidR="00180A89" w:rsidRPr="002F17B5" w:rsidRDefault="005D3E0E" w:rsidP="00180A89">
      <w:pPr>
        <w:spacing w:after="240"/>
        <w:ind w:left="720"/>
      </w:pPr>
      <w:r w:rsidRPr="002F17B5">
        <w:t>Whether paid on account, by instalments or in arrears, government grants and third party contributions and donations are recognised as due to the council when there is reasonable assurance that:</w:t>
      </w:r>
    </w:p>
    <w:p w:rsidR="00180A89" w:rsidRPr="002F17B5" w:rsidRDefault="005D3E0E" w:rsidP="000B54CC">
      <w:pPr>
        <w:numPr>
          <w:ilvl w:val="0"/>
          <w:numId w:val="22"/>
        </w:numPr>
        <w:tabs>
          <w:tab w:val="clear" w:pos="1440"/>
          <w:tab w:val="num" w:pos="1276"/>
        </w:tabs>
        <w:autoSpaceDE/>
        <w:autoSpaceDN/>
        <w:adjustRightInd/>
        <w:spacing w:before="0"/>
        <w:ind w:hanging="589"/>
      </w:pPr>
      <w:r w:rsidRPr="002F17B5">
        <w:t>The council will comply with the conditions attached to the payments, and</w:t>
      </w:r>
    </w:p>
    <w:p w:rsidR="00180A89" w:rsidRPr="002F17B5" w:rsidRDefault="005D3E0E" w:rsidP="000B54CC">
      <w:pPr>
        <w:numPr>
          <w:ilvl w:val="0"/>
          <w:numId w:val="22"/>
        </w:numPr>
        <w:tabs>
          <w:tab w:val="clear" w:pos="1440"/>
          <w:tab w:val="num" w:pos="1276"/>
        </w:tabs>
        <w:autoSpaceDE/>
        <w:autoSpaceDN/>
        <w:adjustRightInd/>
        <w:spacing w:before="0"/>
        <w:ind w:left="1434" w:hanging="589"/>
      </w:pPr>
      <w:r w:rsidRPr="002F17B5">
        <w:t>The grants or contributions will be received.</w:t>
      </w:r>
    </w:p>
    <w:p w:rsidR="00C93122" w:rsidRPr="002F17B5" w:rsidRDefault="00C93122" w:rsidP="000B54CC">
      <w:pPr>
        <w:autoSpaceDE/>
        <w:autoSpaceDN/>
        <w:adjustRightInd/>
        <w:spacing w:before="0"/>
        <w:ind w:left="1080"/>
        <w:rPr>
          <w:sz w:val="14"/>
        </w:rPr>
      </w:pPr>
    </w:p>
    <w:p w:rsidR="00086822" w:rsidRPr="002F17B5" w:rsidRDefault="005D3E0E" w:rsidP="00C93122">
      <w:pPr>
        <w:spacing w:after="0"/>
        <w:ind w:left="720"/>
      </w:pPr>
      <w:r w:rsidRPr="002F17B5">
        <w:t xml:space="preserve">Amounts recognised as due to the council are not credited to the Comprehensive Income and Expenditure Statement until conditions attached to the grant or contribution have been satisfied. </w:t>
      </w:r>
    </w:p>
    <w:p w:rsidR="00DD070A" w:rsidRPr="000B54CC" w:rsidRDefault="00DD070A" w:rsidP="00C93122">
      <w:pPr>
        <w:spacing w:after="0"/>
        <w:ind w:left="720"/>
        <w:rPr>
          <w:sz w:val="26"/>
        </w:rPr>
      </w:pPr>
    </w:p>
    <w:p w:rsidR="00180A89" w:rsidRPr="002F17B5" w:rsidRDefault="005D3E0E" w:rsidP="00C93122">
      <w:pPr>
        <w:spacing w:after="0"/>
        <w:ind w:left="720"/>
      </w:pPr>
      <w:r w:rsidRPr="002F17B5">
        <w:t>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rsidR="00C93122" w:rsidRPr="000B54CC" w:rsidRDefault="00C93122" w:rsidP="00C93122">
      <w:pPr>
        <w:spacing w:after="0"/>
        <w:ind w:left="720"/>
      </w:pPr>
    </w:p>
    <w:p w:rsidR="00180A89" w:rsidRPr="002F17B5" w:rsidRDefault="005D3E0E" w:rsidP="00C93122">
      <w:pPr>
        <w:spacing w:after="0"/>
        <w:ind w:left="720"/>
      </w:pPr>
      <w:r w:rsidRPr="002F17B5">
        <w:t>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Grant Income (non-ring fenced revenue grants and all capital grants) in the Comprehensive Income and Expenditure Statement.</w:t>
      </w:r>
    </w:p>
    <w:p w:rsidR="00C93122" w:rsidRPr="002F17B5" w:rsidRDefault="00C93122" w:rsidP="00C93122">
      <w:pPr>
        <w:spacing w:after="0"/>
        <w:ind w:left="720"/>
        <w:rPr>
          <w:sz w:val="30"/>
        </w:rPr>
      </w:pPr>
    </w:p>
    <w:p w:rsidR="000B54CC" w:rsidRDefault="005D3E0E" w:rsidP="00180A89">
      <w:pPr>
        <w:spacing w:after="240"/>
        <w:ind w:left="720"/>
      </w:pPr>
      <w:r w:rsidRPr="002F17B5">
        <w:t xml:space="preserve">Where capital grants are credited to the Comprehensive Income and Expenditure Statement, they are reversed out of the County Fund balance in the Movement in Reserves Statement. </w:t>
      </w:r>
    </w:p>
    <w:p w:rsidR="00DD070A" w:rsidRDefault="005D3E0E" w:rsidP="000033B9">
      <w:pPr>
        <w:spacing w:after="240"/>
        <w:ind w:left="720"/>
      </w:pPr>
      <w:r w:rsidRPr="002F17B5">
        <w:lastRenderedPageBreak/>
        <w:t>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w:t>
      </w:r>
      <w:r w:rsidR="00E83DE8" w:rsidRPr="002F17B5">
        <w:t>e.</w:t>
      </w:r>
    </w:p>
    <w:p w:rsidR="000033B9" w:rsidRPr="000033B9" w:rsidRDefault="000033B9" w:rsidP="000033B9">
      <w:pPr>
        <w:spacing w:after="240"/>
        <w:ind w:left="720"/>
      </w:pPr>
    </w:p>
    <w:p w:rsidR="00180A89"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Employee Benefits Payable during Employment</w:t>
      </w:r>
    </w:p>
    <w:p w:rsidR="00B70B4B" w:rsidRPr="002F17B5" w:rsidRDefault="00180A89">
      <w:pPr>
        <w:spacing w:after="0"/>
        <w:ind w:left="720"/>
      </w:pPr>
      <w:r w:rsidRPr="002F17B5">
        <w:t xml:space="preserve">Short-term employee benefits are those due to be settled within 12 months of the year end. They include wages and salaries, paid annual leave and paid sick leave, bonuses and non-monetary benefits and are recognised as an expense for services in the year in which employees render service to the council. An accrual is made for the cost of holiday entitlements earned by employees but not taken before the year end which employees can carry forward into the next financial year.  The accrual is made at the wage and salary rates applicable in the following accounting year, being the period in which the employee takes the benefit. </w:t>
      </w:r>
    </w:p>
    <w:p w:rsidR="00B70B4B" w:rsidRPr="002F17B5" w:rsidRDefault="00B70B4B">
      <w:pPr>
        <w:spacing w:after="0"/>
        <w:ind w:left="720"/>
        <w:rPr>
          <w:sz w:val="22"/>
        </w:rPr>
      </w:pPr>
    </w:p>
    <w:p w:rsidR="00180A89" w:rsidRPr="002F17B5" w:rsidRDefault="00180A89" w:rsidP="005526DA">
      <w:pPr>
        <w:spacing w:after="0"/>
        <w:ind w:left="720"/>
      </w:pPr>
      <w:r w:rsidRPr="002F17B5">
        <w:t>The accrual is charged to the surplus or deficit on the Provision of Services, but then reversed out through the Movement in Reserves Statement so that holiday benefits are charged to revenue in the financial year in which the holiday absence occurs.</w:t>
      </w:r>
    </w:p>
    <w:p w:rsidR="00D14AC2" w:rsidRPr="000B54CC" w:rsidRDefault="00D14AC2" w:rsidP="005526DA">
      <w:pPr>
        <w:spacing w:after="0"/>
        <w:ind w:left="720"/>
        <w:rPr>
          <w:sz w:val="40"/>
        </w:rPr>
      </w:pPr>
    </w:p>
    <w:p w:rsidR="00180A89" w:rsidRPr="002F17B5" w:rsidRDefault="00180A89" w:rsidP="005526DA">
      <w:pPr>
        <w:ind w:left="720"/>
        <w:rPr>
          <w:b/>
          <w:bCs/>
        </w:rPr>
      </w:pPr>
      <w:r w:rsidRPr="002F17B5">
        <w:rPr>
          <w:b/>
          <w:bCs/>
        </w:rPr>
        <w:t>Termination Benefits</w:t>
      </w:r>
    </w:p>
    <w:p w:rsidR="00AB19D7" w:rsidRDefault="00AB19D7">
      <w:pPr>
        <w:spacing w:after="0"/>
        <w:ind w:left="720"/>
      </w:pPr>
      <w:r>
        <w:t>T</w:t>
      </w:r>
      <w:r w:rsidR="00180A89" w:rsidRPr="002F17B5">
        <w:t xml:space="preserve">ermination benefits are amounts payable as a result of a decision by the council to terminate an officer's employment before the normal retirement date or an officer's decision to accept voluntary redundancy and are charged on an accruals basis to the continuing operations costs in the Comprehensive Income and Expenditure Statement, </w:t>
      </w:r>
      <w:r w:rsidRPr="006A6598">
        <w:t>at the earlier of when the council can no longer withdraw the offer of those benefits or when the council recognises costs for a restructuring, i</w:t>
      </w:r>
      <w:r>
        <w:t xml:space="preserve">n accordance with IAS 19 Employment Benefits, </w:t>
      </w:r>
    </w:p>
    <w:p w:rsidR="00D70021" w:rsidRPr="002F17B5" w:rsidRDefault="00D70021">
      <w:pPr>
        <w:spacing w:after="0"/>
        <w:ind w:left="720"/>
        <w:rPr>
          <w:sz w:val="28"/>
        </w:rPr>
      </w:pPr>
    </w:p>
    <w:p w:rsidR="00D70021" w:rsidRPr="002F17B5" w:rsidRDefault="00180A89">
      <w:pPr>
        <w:spacing w:after="0"/>
        <w:ind w:left="720"/>
      </w:pPr>
      <w:r w:rsidRPr="002F17B5">
        <w:t xml:space="preserve">Where termination benefits involve the enhancement of pensions, statutory provisions require the County Fund balance to be charged with the amount payable by the council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 end. </w:t>
      </w:r>
    </w:p>
    <w:p w:rsidR="00D70021" w:rsidRPr="002F17B5" w:rsidRDefault="00D70021">
      <w:pPr>
        <w:spacing w:after="0"/>
        <w:ind w:left="720"/>
      </w:pPr>
    </w:p>
    <w:p w:rsidR="00D70021" w:rsidRPr="002F17B5" w:rsidRDefault="00D70021">
      <w:pPr>
        <w:spacing w:after="0"/>
        <w:ind w:left="720"/>
        <w:rPr>
          <w:sz w:val="16"/>
        </w:rPr>
      </w:pPr>
    </w:p>
    <w:p w:rsidR="00180A89" w:rsidRPr="002F17B5" w:rsidRDefault="00180A89" w:rsidP="005526DA">
      <w:pPr>
        <w:ind w:left="709"/>
      </w:pPr>
      <w:r w:rsidRPr="002F17B5">
        <w:rPr>
          <w:b/>
          <w:bCs/>
        </w:rPr>
        <w:t>Pension Arrangements</w:t>
      </w:r>
    </w:p>
    <w:p w:rsidR="00180A89" w:rsidRPr="002F17B5" w:rsidRDefault="00180A89" w:rsidP="00592D8F">
      <w:pPr>
        <w:ind w:left="709"/>
      </w:pPr>
      <w:r w:rsidRPr="002F17B5">
        <w:t>Employees of the council are members of t</w:t>
      </w:r>
      <w:r w:rsidR="00925E0A" w:rsidRPr="002F17B5">
        <w:t xml:space="preserve">hree </w:t>
      </w:r>
      <w:r w:rsidRPr="002F17B5">
        <w:t>separate pension schemes:</w:t>
      </w:r>
    </w:p>
    <w:p w:rsidR="00180A89" w:rsidRPr="002F17B5" w:rsidRDefault="00E749E5" w:rsidP="00AA0715">
      <w:pPr>
        <w:numPr>
          <w:ilvl w:val="0"/>
          <w:numId w:val="48"/>
        </w:numPr>
        <w:autoSpaceDE/>
        <w:autoSpaceDN/>
        <w:adjustRightInd/>
        <w:spacing w:before="0"/>
        <w:ind w:hanging="503"/>
      </w:pPr>
      <w:r w:rsidRPr="002F17B5">
        <w:t>The Teachers’ Pension Scheme, administered by Capita Teachers’ Pensions on behalf of the Department for Education (</w:t>
      </w:r>
      <w:proofErr w:type="spellStart"/>
      <w:r w:rsidRPr="002F17B5">
        <w:t>DfE</w:t>
      </w:r>
      <w:proofErr w:type="spellEnd"/>
      <w:r w:rsidRPr="002F17B5">
        <w:t xml:space="preserve">) </w:t>
      </w:r>
    </w:p>
    <w:p w:rsidR="00B70B4B" w:rsidRPr="002F17B5" w:rsidRDefault="00B70B4B" w:rsidP="00C62180">
      <w:pPr>
        <w:autoSpaceDE/>
        <w:autoSpaceDN/>
        <w:adjustRightInd/>
        <w:spacing w:before="0"/>
        <w:ind w:left="1353" w:hanging="503"/>
        <w:rPr>
          <w:sz w:val="2"/>
        </w:rPr>
      </w:pPr>
    </w:p>
    <w:p w:rsidR="00925E0A" w:rsidRPr="002F17B5" w:rsidRDefault="00E749E5" w:rsidP="00925E0A">
      <w:pPr>
        <w:numPr>
          <w:ilvl w:val="0"/>
          <w:numId w:val="48"/>
        </w:numPr>
        <w:autoSpaceDE/>
        <w:autoSpaceDN/>
        <w:adjustRightInd/>
        <w:spacing w:before="0"/>
        <w:ind w:hanging="503"/>
      </w:pPr>
      <w:r w:rsidRPr="002F17B5">
        <w:t>The Local Government Pensions Scheme, administered by Lancashire County Council.</w:t>
      </w:r>
    </w:p>
    <w:p w:rsidR="00925E0A" w:rsidRPr="002F17B5" w:rsidRDefault="00925E0A" w:rsidP="00AA0715">
      <w:pPr>
        <w:numPr>
          <w:ilvl w:val="0"/>
          <w:numId w:val="48"/>
        </w:numPr>
        <w:autoSpaceDE/>
        <w:autoSpaceDN/>
        <w:adjustRightInd/>
        <w:spacing w:before="0"/>
        <w:ind w:hanging="503"/>
      </w:pPr>
      <w:r w:rsidRPr="002F17B5">
        <w:lastRenderedPageBreak/>
        <w:t xml:space="preserve">The NHS Pension Scheme administered by </w:t>
      </w:r>
      <w:r w:rsidR="00194EE6" w:rsidRPr="002F17B5">
        <w:rPr>
          <w:sz w:val="22"/>
          <w:szCs w:val="22"/>
        </w:rPr>
        <w:t xml:space="preserve">NHS Business Services Authority </w:t>
      </w:r>
      <w:r w:rsidRPr="002F17B5">
        <w:t xml:space="preserve">on behalf of </w:t>
      </w:r>
      <w:r w:rsidR="00194EE6" w:rsidRPr="002F17B5">
        <w:t>Secretary of State for Health</w:t>
      </w:r>
      <w:r w:rsidRPr="002F17B5">
        <w:t xml:space="preserve">. </w:t>
      </w:r>
    </w:p>
    <w:p w:rsidR="00B70B4B" w:rsidRPr="002F17B5" w:rsidRDefault="00B70B4B">
      <w:pPr>
        <w:autoSpaceDE/>
        <w:autoSpaceDN/>
        <w:adjustRightInd/>
        <w:spacing w:before="0"/>
        <w:ind w:left="1353"/>
        <w:rPr>
          <w:sz w:val="2"/>
          <w:szCs w:val="23"/>
        </w:rPr>
      </w:pPr>
    </w:p>
    <w:p w:rsidR="00180A89" w:rsidRPr="002F17B5" w:rsidRDefault="00925E0A" w:rsidP="00180A89">
      <w:pPr>
        <w:spacing w:after="240"/>
        <w:ind w:left="709"/>
      </w:pPr>
      <w:r w:rsidRPr="002F17B5">
        <w:t>All these</w:t>
      </w:r>
      <w:r w:rsidR="00277BAC" w:rsidRPr="002F17B5">
        <w:t xml:space="preserve"> schemes provide</w:t>
      </w:r>
      <w:r w:rsidR="00180A89" w:rsidRPr="002F17B5">
        <w:t xml:space="preserve"> defined benefits to members (retirement lump sums and pensions), earned as employees worked for the council.</w:t>
      </w:r>
    </w:p>
    <w:p w:rsidR="00180A89" w:rsidRPr="002F17B5" w:rsidRDefault="00180A89" w:rsidP="00180A89">
      <w:pPr>
        <w:spacing w:after="240"/>
        <w:ind w:left="709"/>
      </w:pPr>
      <w:r w:rsidRPr="002F17B5">
        <w:t xml:space="preserve">However, the arrangements for the teachers’ scheme mean that liabilities for these benefits cannot be identified to the council. </w:t>
      </w:r>
    </w:p>
    <w:p w:rsidR="00180A89" w:rsidRPr="002F17B5" w:rsidRDefault="00180A89" w:rsidP="005526DA">
      <w:pPr>
        <w:spacing w:after="0"/>
        <w:ind w:left="709"/>
      </w:pPr>
      <w:r w:rsidRPr="002F17B5">
        <w:t>The scheme is therefore accounted for as if it were a defined contributions scheme – no liability for future payments of benefits is recognised in the Balance Sheet and the education service revenue account is charged with the employer’s contributions payable to teachers’ pensions in the year.</w:t>
      </w:r>
    </w:p>
    <w:p w:rsidR="005526DA" w:rsidRPr="002F17B5" w:rsidRDefault="005526DA" w:rsidP="005526DA">
      <w:pPr>
        <w:spacing w:after="0"/>
        <w:ind w:left="709"/>
        <w:rPr>
          <w:b/>
          <w:bCs/>
        </w:rPr>
      </w:pPr>
    </w:p>
    <w:p w:rsidR="00DD070A" w:rsidRPr="002F17B5" w:rsidRDefault="00DD070A" w:rsidP="005526DA">
      <w:pPr>
        <w:spacing w:after="0"/>
        <w:ind w:left="709"/>
        <w:rPr>
          <w:b/>
          <w:bCs/>
          <w:sz w:val="8"/>
        </w:rPr>
      </w:pPr>
    </w:p>
    <w:p w:rsidR="006A23C5" w:rsidRPr="002F17B5" w:rsidRDefault="006A23C5">
      <w:pPr>
        <w:autoSpaceDE/>
        <w:autoSpaceDN/>
        <w:adjustRightInd/>
        <w:spacing w:after="20"/>
        <w:jc w:val="right"/>
        <w:rPr>
          <w:b/>
          <w:bCs/>
        </w:rPr>
      </w:pPr>
    </w:p>
    <w:p w:rsidR="00180A89" w:rsidRPr="002F17B5" w:rsidRDefault="00180A89" w:rsidP="00592D8F">
      <w:pPr>
        <w:ind w:firstLine="709"/>
        <w:rPr>
          <w:b/>
          <w:bCs/>
        </w:rPr>
      </w:pPr>
      <w:r w:rsidRPr="002F17B5">
        <w:rPr>
          <w:b/>
          <w:bCs/>
        </w:rPr>
        <w:t>Lancashire County Pension Fund</w:t>
      </w:r>
    </w:p>
    <w:p w:rsidR="00180A89" w:rsidRPr="002F17B5" w:rsidRDefault="00180A89" w:rsidP="00180A89">
      <w:pPr>
        <w:spacing w:after="240"/>
        <w:ind w:left="709"/>
      </w:pPr>
      <w:r w:rsidRPr="002F17B5">
        <w:t xml:space="preserve">The Lancashire County Pension Fund is accounted </w:t>
      </w:r>
      <w:r w:rsidR="00E83DE8" w:rsidRPr="002F17B5">
        <w:t>for as a defined benefits scheme:</w:t>
      </w:r>
    </w:p>
    <w:p w:rsidR="00180A89" w:rsidRPr="002F17B5" w:rsidRDefault="00180A89" w:rsidP="00AA0715">
      <w:pPr>
        <w:numPr>
          <w:ilvl w:val="0"/>
          <w:numId w:val="49"/>
        </w:numPr>
        <w:tabs>
          <w:tab w:val="clear" w:pos="1353"/>
          <w:tab w:val="num" w:pos="1276"/>
        </w:tabs>
        <w:autoSpaceDE/>
        <w:autoSpaceDN/>
        <w:adjustRightInd/>
        <w:spacing w:before="0" w:after="240"/>
        <w:ind w:left="1276" w:hanging="567"/>
      </w:pPr>
      <w:r w:rsidRPr="002F17B5">
        <w:t xml:space="preserve">The liabilities of the Lancashire County Pension Fund attributable to the council are included in the balance sheet on an actuarial basis using the projected unit method, </w:t>
      </w:r>
      <w:r w:rsidR="004623EC" w:rsidRPr="002F17B5">
        <w:t>(</w:t>
      </w:r>
      <w:r w:rsidR="0079660B" w:rsidRPr="002F17B5">
        <w:t>i.e.</w:t>
      </w:r>
      <w:r w:rsidRPr="002F17B5">
        <w:t xml:space="preserve"> an assessment of the future payments that will be made in relation to retirement benefits earned to date by employees, based on assumptions about mortality rates, employee turnover rates, </w:t>
      </w:r>
      <w:proofErr w:type="spellStart"/>
      <w:r w:rsidRPr="002F17B5">
        <w:t>etc</w:t>
      </w:r>
      <w:proofErr w:type="spellEnd"/>
      <w:r w:rsidRPr="002F17B5">
        <w:t>, and projected earnings for current employees</w:t>
      </w:r>
      <w:r w:rsidR="004623EC" w:rsidRPr="002F17B5">
        <w:t>)</w:t>
      </w:r>
      <w:r w:rsidRPr="002F17B5">
        <w:t>.</w:t>
      </w:r>
    </w:p>
    <w:p w:rsidR="00180A89" w:rsidRPr="002F17B5" w:rsidRDefault="00180A89" w:rsidP="00AA0715">
      <w:pPr>
        <w:numPr>
          <w:ilvl w:val="0"/>
          <w:numId w:val="49"/>
        </w:numPr>
        <w:tabs>
          <w:tab w:val="clear" w:pos="1353"/>
          <w:tab w:val="num" w:pos="1276"/>
        </w:tabs>
        <w:autoSpaceDE/>
        <w:autoSpaceDN/>
        <w:adjustRightInd/>
        <w:spacing w:before="0" w:after="240"/>
        <w:ind w:left="1276" w:hanging="567"/>
      </w:pPr>
      <w:r w:rsidRPr="002F17B5">
        <w:t>Liabilities are discounted to their value at current prices, using a discount rate of</w:t>
      </w:r>
      <w:r w:rsidR="009129D0" w:rsidRPr="002F17B5">
        <w:t xml:space="preserve"> 4.5</w:t>
      </w:r>
      <w:r w:rsidRPr="002F17B5">
        <w:t>%; this was based on a weighted average of “spot yields” on AA rated corporate bonds.</w:t>
      </w:r>
    </w:p>
    <w:p w:rsidR="00180A89" w:rsidRPr="002F17B5" w:rsidRDefault="00180A89" w:rsidP="00AA0715">
      <w:pPr>
        <w:numPr>
          <w:ilvl w:val="0"/>
          <w:numId w:val="49"/>
        </w:numPr>
        <w:tabs>
          <w:tab w:val="clear" w:pos="1353"/>
          <w:tab w:val="num" w:pos="1276"/>
        </w:tabs>
        <w:autoSpaceDE/>
        <w:autoSpaceDN/>
        <w:adjustRightInd/>
        <w:spacing w:before="0"/>
        <w:ind w:left="1276" w:hanging="567"/>
      </w:pPr>
      <w:r w:rsidRPr="002F17B5">
        <w:t>The assets of the Local Government Pension Fund attributable to the council are included in the balance sheet at their fair value:</w:t>
      </w:r>
    </w:p>
    <w:p w:rsidR="00180A89" w:rsidRPr="002F17B5" w:rsidRDefault="00180A89" w:rsidP="00B34E61">
      <w:pPr>
        <w:numPr>
          <w:ilvl w:val="0"/>
          <w:numId w:val="50"/>
        </w:numPr>
        <w:autoSpaceDE/>
        <w:autoSpaceDN/>
        <w:adjustRightInd/>
        <w:spacing w:before="0" w:after="60"/>
        <w:ind w:hanging="306"/>
      </w:pPr>
      <w:r w:rsidRPr="002F17B5">
        <w:t>Quoted securities – current bid price;</w:t>
      </w:r>
    </w:p>
    <w:p w:rsidR="00180A89" w:rsidRPr="002F17B5" w:rsidRDefault="00180A89" w:rsidP="00B34E61">
      <w:pPr>
        <w:numPr>
          <w:ilvl w:val="0"/>
          <w:numId w:val="50"/>
        </w:numPr>
        <w:autoSpaceDE/>
        <w:autoSpaceDN/>
        <w:adjustRightInd/>
        <w:spacing w:before="0" w:after="60"/>
        <w:ind w:hanging="306"/>
      </w:pPr>
      <w:r w:rsidRPr="002F17B5">
        <w:t>Unquoted securities – professional estimate;</w:t>
      </w:r>
    </w:p>
    <w:p w:rsidR="00180A89" w:rsidRPr="002F17B5" w:rsidRDefault="00180A89" w:rsidP="00B34E61">
      <w:pPr>
        <w:numPr>
          <w:ilvl w:val="0"/>
          <w:numId w:val="50"/>
        </w:numPr>
        <w:autoSpaceDE/>
        <w:autoSpaceDN/>
        <w:adjustRightInd/>
        <w:spacing w:before="0" w:after="60"/>
        <w:ind w:hanging="306"/>
      </w:pPr>
      <w:r w:rsidRPr="002F17B5">
        <w:t>Unitised securities – current bid price; and</w:t>
      </w:r>
    </w:p>
    <w:p w:rsidR="00180A89" w:rsidRPr="002F17B5" w:rsidRDefault="00180A89" w:rsidP="00B34E61">
      <w:pPr>
        <w:numPr>
          <w:ilvl w:val="0"/>
          <w:numId w:val="50"/>
        </w:numPr>
        <w:autoSpaceDE/>
        <w:autoSpaceDN/>
        <w:adjustRightInd/>
        <w:spacing w:before="0" w:after="60"/>
        <w:ind w:hanging="306"/>
      </w:pPr>
      <w:r w:rsidRPr="002F17B5">
        <w:t>Property – market value.</w:t>
      </w:r>
    </w:p>
    <w:p w:rsidR="00277BAC" w:rsidRPr="002F17B5" w:rsidRDefault="00277BAC" w:rsidP="009129D0">
      <w:pPr>
        <w:autoSpaceDE/>
        <w:autoSpaceDN/>
        <w:adjustRightInd/>
        <w:spacing w:before="0"/>
        <w:rPr>
          <w:sz w:val="6"/>
        </w:rPr>
      </w:pPr>
    </w:p>
    <w:p w:rsidR="009129D0" w:rsidRPr="002F17B5" w:rsidRDefault="009129D0" w:rsidP="009129D0">
      <w:pPr>
        <w:autoSpaceDE/>
        <w:autoSpaceDN/>
        <w:adjustRightInd/>
        <w:spacing w:before="0"/>
        <w:rPr>
          <w:sz w:val="12"/>
        </w:rPr>
      </w:pPr>
    </w:p>
    <w:p w:rsidR="009129D0" w:rsidRPr="002F17B5" w:rsidRDefault="009129D0" w:rsidP="009129D0">
      <w:pPr>
        <w:spacing w:after="240"/>
        <w:ind w:left="360"/>
      </w:pPr>
      <w:r w:rsidRPr="002F17B5">
        <w:t xml:space="preserve">The change in the net pension liability </w:t>
      </w:r>
      <w:r w:rsidR="00235E84" w:rsidRPr="002F17B5">
        <w:t>is</w:t>
      </w:r>
      <w:r w:rsidRPr="002F17B5">
        <w:t xml:space="preserve"> analysed into the following components: </w:t>
      </w:r>
    </w:p>
    <w:p w:rsidR="00925E0A" w:rsidRPr="002F17B5" w:rsidRDefault="00925E0A" w:rsidP="009A4C35">
      <w:pPr>
        <w:numPr>
          <w:ilvl w:val="0"/>
          <w:numId w:val="72"/>
        </w:numPr>
        <w:shd w:val="clear" w:color="auto" w:fill="FFFFFF"/>
        <w:tabs>
          <w:tab w:val="clear" w:pos="1440"/>
          <w:tab w:val="num" w:pos="851"/>
        </w:tabs>
        <w:autoSpaceDE/>
        <w:autoSpaceDN/>
        <w:adjustRightInd/>
        <w:spacing w:before="0" w:after="0"/>
        <w:ind w:left="851" w:hanging="425"/>
      </w:pPr>
      <w:r w:rsidRPr="002F17B5">
        <w:rPr>
          <w:b/>
        </w:rPr>
        <w:t>C</w:t>
      </w:r>
      <w:r w:rsidR="009129D0" w:rsidRPr="002F17B5">
        <w:rPr>
          <w:b/>
        </w:rPr>
        <w:t>urrent service cost</w:t>
      </w:r>
      <w:r w:rsidR="009129D0" w:rsidRPr="002F17B5">
        <w:t xml:space="preserve">: represents the future service cost to the employer of one year's accrual of pension benefits for active members, calculated on the actuarial assumptions used at the start of the year for IAS19 purposes. The interest on the service cost is now included within the service cost -allocated in the CIES across activity areas, in line with the CIPFA </w:t>
      </w:r>
      <w:proofErr w:type="spellStart"/>
      <w:r w:rsidR="009129D0" w:rsidRPr="002F17B5">
        <w:t>SeRCOP</w:t>
      </w:r>
      <w:proofErr w:type="spellEnd"/>
      <w:r w:rsidR="009129D0" w:rsidRPr="002F17B5">
        <w:t>;</w:t>
      </w:r>
    </w:p>
    <w:p w:rsidR="00B34E61" w:rsidRPr="002F17B5" w:rsidRDefault="00B34E61" w:rsidP="006A23C5">
      <w:pPr>
        <w:shd w:val="clear" w:color="auto" w:fill="FFFFFF"/>
        <w:autoSpaceDE/>
        <w:autoSpaceDN/>
        <w:adjustRightInd/>
        <w:spacing w:before="0" w:after="0"/>
        <w:ind w:left="851"/>
      </w:pPr>
    </w:p>
    <w:p w:rsidR="00925E0A" w:rsidRPr="002F17B5" w:rsidRDefault="00925E0A" w:rsidP="009A4C35">
      <w:pPr>
        <w:numPr>
          <w:ilvl w:val="0"/>
          <w:numId w:val="72"/>
        </w:numPr>
        <w:shd w:val="clear" w:color="auto" w:fill="FFFFFF"/>
        <w:tabs>
          <w:tab w:val="clear" w:pos="1440"/>
          <w:tab w:val="num" w:pos="851"/>
        </w:tabs>
        <w:autoSpaceDE/>
        <w:autoSpaceDN/>
        <w:adjustRightInd/>
        <w:spacing w:before="0" w:after="0"/>
        <w:ind w:left="851" w:hanging="425"/>
      </w:pPr>
      <w:r w:rsidRPr="002F17B5">
        <w:rPr>
          <w:b/>
        </w:rPr>
        <w:t>P</w:t>
      </w:r>
      <w:r w:rsidR="009129D0" w:rsidRPr="002F17B5">
        <w:rPr>
          <w:b/>
        </w:rPr>
        <w:t>ast service and curtailments costs</w:t>
      </w:r>
      <w:r w:rsidR="009129D0" w:rsidRPr="002F17B5">
        <w:t>: these are normally the result of increased benefits being awarded in the event of members retiring early during the year. Changes in scheme benefits and any augmentation of benefits for active members would also give rise to past service costs – debited to the Surplus or Deficit on the Provision of Services in the Comprehensive Income and Expenditure Statement as part of Non Distributed Costs</w:t>
      </w:r>
    </w:p>
    <w:p w:rsidR="000B54CC" w:rsidRDefault="00925E0A" w:rsidP="009A4C35">
      <w:pPr>
        <w:numPr>
          <w:ilvl w:val="0"/>
          <w:numId w:val="72"/>
        </w:numPr>
        <w:shd w:val="clear" w:color="auto" w:fill="FFFFFF"/>
        <w:tabs>
          <w:tab w:val="clear" w:pos="1440"/>
          <w:tab w:val="num" w:pos="851"/>
        </w:tabs>
        <w:autoSpaceDE/>
        <w:autoSpaceDN/>
        <w:adjustRightInd/>
        <w:spacing w:before="0" w:after="0"/>
        <w:ind w:left="851" w:hanging="425"/>
      </w:pPr>
      <w:r w:rsidRPr="002F17B5">
        <w:rPr>
          <w:b/>
        </w:rPr>
        <w:lastRenderedPageBreak/>
        <w:t>A</w:t>
      </w:r>
      <w:r w:rsidR="009129D0" w:rsidRPr="002F17B5">
        <w:rPr>
          <w:b/>
        </w:rPr>
        <w:t>dministrative expenses</w:t>
      </w:r>
      <w:r w:rsidR="009129D0" w:rsidRPr="002F17B5">
        <w:t xml:space="preserve">: </w:t>
      </w:r>
    </w:p>
    <w:p w:rsidR="009129D0" w:rsidRPr="002F17B5" w:rsidRDefault="009129D0" w:rsidP="000B54CC">
      <w:pPr>
        <w:shd w:val="clear" w:color="auto" w:fill="FFFFFF"/>
        <w:autoSpaceDE/>
        <w:autoSpaceDN/>
        <w:adjustRightInd/>
        <w:spacing w:before="0" w:after="0"/>
        <w:ind w:left="851"/>
      </w:pPr>
      <w:r w:rsidRPr="002F17B5">
        <w:t>these are the costs of running the fund, attributable to the employer, and does not include any investment management expenses which are allowed for under "</w:t>
      </w:r>
      <w:proofErr w:type="spellStart"/>
      <w:r w:rsidRPr="002F17B5">
        <w:t>Remeasurements</w:t>
      </w:r>
      <w:proofErr w:type="spellEnd"/>
      <w:r w:rsidRPr="002F17B5">
        <w:t>". These costs are debited to the Surplus or Deficit on the Provision of Services in the Comprehensive Income and Expenditure Statement as part of Non Distributed Costs</w:t>
      </w:r>
    </w:p>
    <w:p w:rsidR="00896310" w:rsidRDefault="00896310" w:rsidP="006A23C5">
      <w:pPr>
        <w:shd w:val="clear" w:color="auto" w:fill="FFFFFF"/>
        <w:autoSpaceDE/>
        <w:autoSpaceDN/>
        <w:adjustRightInd/>
        <w:spacing w:before="0" w:after="0"/>
        <w:rPr>
          <w:sz w:val="34"/>
        </w:rPr>
      </w:pPr>
    </w:p>
    <w:p w:rsidR="00D611AF" w:rsidRDefault="00D611AF" w:rsidP="006A23C5">
      <w:pPr>
        <w:shd w:val="clear" w:color="auto" w:fill="FFFFFF"/>
        <w:autoSpaceDE/>
        <w:autoSpaceDN/>
        <w:adjustRightInd/>
        <w:spacing w:before="0" w:after="0"/>
        <w:rPr>
          <w:sz w:val="34"/>
        </w:rPr>
      </w:pPr>
    </w:p>
    <w:p w:rsidR="00D611AF" w:rsidRPr="000B54CC" w:rsidRDefault="00D611AF" w:rsidP="006A23C5">
      <w:pPr>
        <w:shd w:val="clear" w:color="auto" w:fill="FFFFFF"/>
        <w:autoSpaceDE/>
        <w:autoSpaceDN/>
        <w:adjustRightInd/>
        <w:spacing w:before="0" w:after="0"/>
        <w:rPr>
          <w:sz w:val="34"/>
        </w:rPr>
      </w:pPr>
    </w:p>
    <w:p w:rsidR="00235E84" w:rsidRPr="002F17B5" w:rsidRDefault="00235E84" w:rsidP="006A23C5">
      <w:pPr>
        <w:shd w:val="clear" w:color="auto" w:fill="FFFFFF"/>
        <w:autoSpaceDE/>
        <w:autoSpaceDN/>
        <w:adjustRightInd/>
        <w:spacing w:before="0" w:after="0"/>
        <w:rPr>
          <w:sz w:val="2"/>
        </w:rPr>
      </w:pPr>
    </w:p>
    <w:p w:rsidR="000B54CC" w:rsidRDefault="00925E0A" w:rsidP="009A4C35">
      <w:pPr>
        <w:numPr>
          <w:ilvl w:val="0"/>
          <w:numId w:val="72"/>
        </w:numPr>
        <w:shd w:val="clear" w:color="auto" w:fill="FFFFFF"/>
        <w:tabs>
          <w:tab w:val="clear" w:pos="1440"/>
          <w:tab w:val="num" w:pos="851"/>
        </w:tabs>
        <w:autoSpaceDE/>
        <w:autoSpaceDN/>
        <w:adjustRightInd/>
        <w:spacing w:before="0" w:after="0"/>
        <w:ind w:left="851" w:hanging="425"/>
      </w:pPr>
      <w:r w:rsidRPr="002F17B5">
        <w:rPr>
          <w:b/>
        </w:rPr>
        <w:t>N</w:t>
      </w:r>
      <w:r w:rsidR="009129D0" w:rsidRPr="002F17B5">
        <w:rPr>
          <w:b/>
        </w:rPr>
        <w:t>et interest on the net defined benefit liability (asset)</w:t>
      </w:r>
      <w:r w:rsidR="009129D0" w:rsidRPr="002F17B5">
        <w:t>:</w:t>
      </w:r>
    </w:p>
    <w:p w:rsidR="009129D0" w:rsidRPr="002F17B5" w:rsidRDefault="009129D0" w:rsidP="000B54CC">
      <w:pPr>
        <w:shd w:val="clear" w:color="auto" w:fill="FFFFFF"/>
        <w:autoSpaceDE/>
        <w:autoSpaceDN/>
        <w:adjustRightInd/>
        <w:spacing w:before="0" w:after="0"/>
        <w:ind w:left="851"/>
      </w:pPr>
      <w:r w:rsidRPr="002F17B5">
        <w:t xml:space="preserve"> net interest expense for </w:t>
      </w:r>
      <w:r w:rsidR="003143C4">
        <w:t xml:space="preserve">LGPS </w:t>
      </w:r>
      <w:r w:rsidRPr="002F17B5">
        <w:t>– the change during the period in the net defined benefit liability (asset)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rsidR="00235E84" w:rsidRPr="002F17B5" w:rsidRDefault="00235E84" w:rsidP="00B34E61">
      <w:pPr>
        <w:shd w:val="clear" w:color="auto" w:fill="FFFFFF"/>
        <w:autoSpaceDE/>
        <w:autoSpaceDN/>
        <w:adjustRightInd/>
        <w:spacing w:before="0" w:after="0"/>
        <w:ind w:left="851"/>
        <w:jc w:val="left"/>
        <w:rPr>
          <w:sz w:val="2"/>
        </w:rPr>
      </w:pPr>
    </w:p>
    <w:p w:rsidR="000B54CC" w:rsidRDefault="009129D0" w:rsidP="009A4C35">
      <w:pPr>
        <w:numPr>
          <w:ilvl w:val="0"/>
          <w:numId w:val="72"/>
        </w:numPr>
        <w:shd w:val="clear" w:color="auto" w:fill="FFFFFF"/>
        <w:tabs>
          <w:tab w:val="clear" w:pos="1440"/>
          <w:tab w:val="num" w:pos="851"/>
        </w:tabs>
        <w:autoSpaceDE/>
        <w:autoSpaceDN/>
        <w:adjustRightInd/>
        <w:spacing w:before="100" w:beforeAutospacing="1" w:after="0"/>
        <w:ind w:left="851" w:hanging="425"/>
        <w:jc w:val="left"/>
      </w:pPr>
      <w:proofErr w:type="spellStart"/>
      <w:r w:rsidRPr="002F17B5">
        <w:rPr>
          <w:b/>
        </w:rPr>
        <w:t>Remeasurements</w:t>
      </w:r>
      <w:proofErr w:type="spellEnd"/>
      <w:r w:rsidRPr="002F17B5">
        <w:rPr>
          <w:b/>
        </w:rPr>
        <w:t xml:space="preserve"> (assets)</w:t>
      </w:r>
      <w:r w:rsidR="00CC24FD" w:rsidRPr="002F17B5">
        <w:t>:</w:t>
      </w:r>
    </w:p>
    <w:p w:rsidR="00925E0A" w:rsidRPr="000033B9" w:rsidRDefault="009129D0" w:rsidP="000033B9">
      <w:pPr>
        <w:shd w:val="clear" w:color="auto" w:fill="FFFFFF"/>
        <w:autoSpaceDE/>
        <w:autoSpaceDN/>
        <w:adjustRightInd/>
        <w:spacing w:before="0" w:after="0"/>
        <w:ind w:left="851"/>
      </w:pPr>
      <w:r w:rsidRPr="002F17B5">
        <w:t xml:space="preserve"> these are set out in IAS19 as being the return on assets net of interest on assets, so this is a reflection of the extent to which the investment returns achieved are different from the interest rate used at the start of the year. However, for multi-employer schemes such as LGPS, which do not have asset values which are formally segregated between employers, additional adjustments can arise in the year in which a new set of actuarial valuation results is brought into account for IAS19 purposes. In particular, the approach to calculating the IAS19 assets and liabilities in between full actuarial valuations is approximate in nature. At each valuation, the position is reassessed, with the assets (and liabilities) attributable to each employer being fully recalculated. Following each full actuarial valuation it can therefore be necessary to put through some adjustments to reflect this recalculation. The adjustment is not explicitly catered for under IAS19 and it has been presented as part of the re-measurement on assets and referred to as "E</w:t>
      </w:r>
      <w:r w:rsidR="000033B9">
        <w:t>xperience gain/loss on assets";</w:t>
      </w:r>
    </w:p>
    <w:p w:rsidR="000B54CC" w:rsidRDefault="009129D0" w:rsidP="009A4C35">
      <w:pPr>
        <w:numPr>
          <w:ilvl w:val="0"/>
          <w:numId w:val="72"/>
        </w:numPr>
        <w:shd w:val="clear" w:color="auto" w:fill="FFFFFF"/>
        <w:tabs>
          <w:tab w:val="clear" w:pos="1440"/>
          <w:tab w:val="num" w:pos="851"/>
        </w:tabs>
        <w:autoSpaceDE/>
        <w:autoSpaceDN/>
        <w:adjustRightInd/>
        <w:spacing w:before="100" w:beforeAutospacing="1" w:after="0"/>
        <w:ind w:left="851" w:hanging="425"/>
        <w:jc w:val="left"/>
      </w:pPr>
      <w:proofErr w:type="spellStart"/>
      <w:r w:rsidRPr="002F17B5">
        <w:rPr>
          <w:b/>
        </w:rPr>
        <w:t>Remeasurements</w:t>
      </w:r>
      <w:proofErr w:type="spellEnd"/>
      <w:r w:rsidRPr="002F17B5">
        <w:rPr>
          <w:b/>
        </w:rPr>
        <w:t xml:space="preserve"> (liabilities)</w:t>
      </w:r>
      <w:r w:rsidRPr="002F17B5">
        <w:t xml:space="preserve"> </w:t>
      </w:r>
    </w:p>
    <w:p w:rsidR="00E94057" w:rsidRPr="002F17B5" w:rsidRDefault="009129D0" w:rsidP="000B54CC">
      <w:pPr>
        <w:shd w:val="clear" w:color="auto" w:fill="FFFFFF"/>
        <w:autoSpaceDE/>
        <w:autoSpaceDN/>
        <w:adjustRightInd/>
        <w:spacing w:before="0" w:after="0"/>
        <w:ind w:left="851"/>
        <w:jc w:val="left"/>
      </w:pPr>
      <w:r w:rsidRPr="002F17B5">
        <w:t>these are subdivided into:</w:t>
      </w:r>
    </w:p>
    <w:p w:rsidR="00E94057" w:rsidRPr="002F17B5" w:rsidRDefault="00E94057" w:rsidP="00E94057">
      <w:pPr>
        <w:shd w:val="clear" w:color="auto" w:fill="FFFFFF"/>
        <w:autoSpaceDE/>
        <w:autoSpaceDN/>
        <w:adjustRightInd/>
        <w:spacing w:before="100" w:beforeAutospacing="1" w:after="0"/>
        <w:jc w:val="left"/>
        <w:rPr>
          <w:sz w:val="2"/>
        </w:rPr>
      </w:pPr>
    </w:p>
    <w:p w:rsidR="009129D0" w:rsidRPr="002F17B5" w:rsidRDefault="009129D0" w:rsidP="00CC24FD">
      <w:pPr>
        <w:spacing w:after="0"/>
        <w:ind w:left="851"/>
      </w:pPr>
      <w:r w:rsidRPr="002F17B5">
        <w:rPr>
          <w:b/>
        </w:rPr>
        <w:t>Gain/loss on financial assumptions and gain/loss on demographic assumptions</w:t>
      </w:r>
      <w:r w:rsidR="000B54CC">
        <w:t xml:space="preserve"> </w:t>
      </w:r>
      <w:r w:rsidRPr="002F17B5">
        <w:t>under the accounting standards the assumptions will normally differ between the start and end of the employer's financial  year. Changes in actuarial assumptions show the effect of this difference, calculated at the end of the financial year;</w:t>
      </w:r>
    </w:p>
    <w:p w:rsidR="00CC24FD" w:rsidRPr="002F17B5" w:rsidRDefault="00CC24FD" w:rsidP="00CC24FD">
      <w:pPr>
        <w:spacing w:after="0"/>
        <w:ind w:left="851"/>
        <w:rPr>
          <w:sz w:val="28"/>
        </w:rPr>
      </w:pPr>
    </w:p>
    <w:p w:rsidR="000B54CC" w:rsidRDefault="009129D0" w:rsidP="00CC24FD">
      <w:pPr>
        <w:spacing w:after="0"/>
        <w:ind w:left="851"/>
      </w:pPr>
      <w:r w:rsidRPr="002F17B5">
        <w:rPr>
          <w:b/>
        </w:rPr>
        <w:t>Experience gains/losses on liabilities</w:t>
      </w:r>
      <w:r w:rsidR="000B54CC">
        <w:rPr>
          <w:b/>
        </w:rPr>
        <w:t>:-</w:t>
      </w:r>
    </w:p>
    <w:p w:rsidR="009129D0" w:rsidRPr="002F17B5" w:rsidRDefault="009129D0" w:rsidP="00CC24FD">
      <w:pPr>
        <w:spacing w:after="0"/>
        <w:ind w:left="851"/>
      </w:pPr>
      <w:r w:rsidRPr="002F17B5">
        <w:t>as mentioned earlier, the approach to calculating the IAS19 figures in between actuarial valuations is approximate in nature. At each triennial valuation, the position is reassessed, with the assets and liabilities attributable to each employer fully recalculated. The adjustment to the liabilities which arises from this recalculation is known as an "Experience gain/loss on liabilities". Experience gain/loss on liabilities is normally zero in between full actuarial valuations.</w:t>
      </w:r>
    </w:p>
    <w:p w:rsidR="00CC24FD" w:rsidRPr="002F17B5" w:rsidRDefault="00CC24FD" w:rsidP="00CC24FD">
      <w:pPr>
        <w:spacing w:after="0"/>
        <w:ind w:left="851"/>
        <w:rPr>
          <w:sz w:val="28"/>
        </w:rPr>
      </w:pPr>
    </w:p>
    <w:p w:rsidR="00180A89" w:rsidRPr="002F17B5" w:rsidRDefault="00180A89" w:rsidP="00EC359E">
      <w:pPr>
        <w:spacing w:after="0"/>
        <w:ind w:left="720"/>
      </w:pPr>
      <w:r w:rsidRPr="002F17B5">
        <w:t>In relation to retirement benefits, statutory provisions require the County Fund balance to be charged with the amount payable by the council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w:t>
      </w:r>
      <w:r w:rsidR="00F902D6" w:rsidRPr="002F17B5">
        <w:t>r retirement b</w:t>
      </w:r>
      <w:r w:rsidRPr="002F17B5">
        <w:t xml:space="preserve">enefits and replace them with debits for the cash paid to the pension fund and pensioners and any such amounts payable but unpaid at the year end. The negative balance that arises on the Pensions Reserve thereby measures the beneficial impact to the County Fund of being required to account for retirement benefits on the basis of cash flows rather than as benefits are earned by employees. </w:t>
      </w:r>
    </w:p>
    <w:p w:rsidR="00D611AF" w:rsidRDefault="00D611AF" w:rsidP="00180A89">
      <w:pPr>
        <w:ind w:firstLine="720"/>
        <w:rPr>
          <w:b/>
          <w:bCs/>
        </w:rPr>
      </w:pPr>
    </w:p>
    <w:p w:rsidR="00180A89" w:rsidRPr="002F17B5" w:rsidRDefault="00180A89" w:rsidP="00180A89">
      <w:pPr>
        <w:ind w:firstLine="720"/>
        <w:rPr>
          <w:b/>
          <w:bCs/>
        </w:rPr>
      </w:pPr>
      <w:r w:rsidRPr="002F17B5">
        <w:rPr>
          <w:b/>
          <w:bCs/>
        </w:rPr>
        <w:t>Discretionary benefits</w:t>
      </w:r>
    </w:p>
    <w:p w:rsidR="00180A89" w:rsidRDefault="00180A89" w:rsidP="00EC359E">
      <w:pPr>
        <w:spacing w:after="0"/>
        <w:ind w:left="720"/>
      </w:pPr>
      <w:r w:rsidRPr="002F17B5">
        <w:t>The council also has restricted powers to make discretionary awards of retirement benefits in the event of early retirements. Any liabilities estimated to arise as a result of an award to any member of staff (including teachers) are accrued in the year of the decision to make the award and accounted for using the same policies as are applied to the Lancashire County Pension Fund.</w:t>
      </w:r>
    </w:p>
    <w:p w:rsidR="000B54CC" w:rsidRPr="002F17B5" w:rsidRDefault="000B54CC" w:rsidP="00EC359E">
      <w:pPr>
        <w:spacing w:after="0"/>
        <w:ind w:left="720"/>
      </w:pPr>
    </w:p>
    <w:p w:rsidR="00DD070A" w:rsidRPr="002F17B5" w:rsidRDefault="00DD070A" w:rsidP="00EC359E">
      <w:pPr>
        <w:spacing w:after="0"/>
        <w:ind w:left="720"/>
      </w:pPr>
    </w:p>
    <w:p w:rsidR="00180A89"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 xml:space="preserve">Private Finance Initiatives (PFI) </w:t>
      </w:r>
    </w:p>
    <w:p w:rsidR="00BD49AF" w:rsidRPr="002F17B5" w:rsidRDefault="00BD49AF" w:rsidP="00BD49AF">
      <w:pPr>
        <w:ind w:left="720"/>
      </w:pPr>
      <w:r w:rsidRPr="002F17B5">
        <w:t>PFI contracts are agreements to receive services, where responsibility for making available the property plant and equipment needed to provide services passes to the PFI contractor. As the council is deemed to control the services that are provided under our PFI schemes, and as ownership of the property, plant and equipment will pass to the council at the end of the contracts for no additional charge, the council carries the assets used under the contracts on the Balance Sheet as part of Property, Plant and Equipment.</w:t>
      </w:r>
    </w:p>
    <w:p w:rsidR="00BD49AF" w:rsidRPr="002F17B5" w:rsidRDefault="00BD49AF" w:rsidP="00BD49AF">
      <w:pPr>
        <w:spacing w:after="0"/>
        <w:ind w:left="720"/>
      </w:pPr>
    </w:p>
    <w:p w:rsidR="00BD49AF" w:rsidRPr="002F17B5" w:rsidRDefault="00BD49AF" w:rsidP="00BD49AF">
      <w:pPr>
        <w:spacing w:after="0"/>
        <w:ind w:left="720"/>
      </w:pPr>
      <w:r w:rsidRPr="002F17B5">
        <w:t>The original recognition of these assets at fair value (based on the cost to purchase the property, plant and equipment) was balanced by the recognition of a liability for amounts due to the scheme operation to pay for the capital investment. For the BSF Schemes the liability was written down by an initial capital contribution of £10.5 million and £1.6 million.</w:t>
      </w:r>
    </w:p>
    <w:p w:rsidR="00BD49AF" w:rsidRPr="002F17B5" w:rsidRDefault="00BD49AF" w:rsidP="00BD49AF">
      <w:pPr>
        <w:autoSpaceDE/>
        <w:autoSpaceDN/>
        <w:adjustRightInd/>
        <w:spacing w:after="20"/>
        <w:jc w:val="right"/>
      </w:pPr>
    </w:p>
    <w:p w:rsidR="00BD49AF" w:rsidRPr="002F17B5" w:rsidRDefault="00BD49AF" w:rsidP="00BD49AF">
      <w:pPr>
        <w:spacing w:after="0"/>
        <w:ind w:firstLine="720"/>
      </w:pPr>
      <w:r w:rsidRPr="002F17B5">
        <w:t>The amounts payable to the PFI operators each year are analysed into five elements:</w:t>
      </w:r>
    </w:p>
    <w:p w:rsidR="00BD49AF" w:rsidRPr="002F17B5" w:rsidRDefault="00BD49AF" w:rsidP="00BD49AF">
      <w:pPr>
        <w:spacing w:after="0"/>
        <w:ind w:left="720"/>
        <w:rPr>
          <w:sz w:val="12"/>
        </w:rPr>
      </w:pPr>
    </w:p>
    <w:p w:rsidR="00BD49AF" w:rsidRPr="002F17B5" w:rsidRDefault="00BD49AF" w:rsidP="00BD49AF">
      <w:pPr>
        <w:numPr>
          <w:ilvl w:val="0"/>
          <w:numId w:val="24"/>
        </w:numPr>
        <w:autoSpaceDE/>
        <w:autoSpaceDN/>
        <w:adjustRightInd/>
        <w:spacing w:before="0" w:after="0"/>
      </w:pPr>
      <w:r w:rsidRPr="002F17B5">
        <w:t>Fair value of the services received during the year – debited to the relevant service in the Comprehensive Income and Expenditure Statement</w:t>
      </w:r>
    </w:p>
    <w:p w:rsidR="00BD49AF" w:rsidRPr="002F17B5" w:rsidRDefault="00BD49AF" w:rsidP="00BD49AF">
      <w:pPr>
        <w:spacing w:after="0"/>
        <w:ind w:left="720"/>
        <w:rPr>
          <w:sz w:val="12"/>
        </w:rPr>
      </w:pPr>
    </w:p>
    <w:p w:rsidR="00BD49AF" w:rsidRPr="002F17B5" w:rsidRDefault="00BD49AF" w:rsidP="00BD49AF">
      <w:pPr>
        <w:numPr>
          <w:ilvl w:val="0"/>
          <w:numId w:val="24"/>
        </w:numPr>
        <w:autoSpaceDE/>
        <w:autoSpaceDN/>
        <w:adjustRightInd/>
        <w:spacing w:before="0" w:after="0"/>
      </w:pPr>
      <w:r w:rsidRPr="002F17B5">
        <w:t>Finance cost – an interest charge which varies for each scheme but lies in the range of 8.0% to 11.2% on the outstanding Balance Sheet liability, debited to the Financing and Investment Income and Expenditure line in the Comprehensive Income and Expenditure Statement.</w:t>
      </w:r>
    </w:p>
    <w:p w:rsidR="00BD49AF" w:rsidRPr="002F17B5" w:rsidRDefault="00BD49AF" w:rsidP="00BD49AF">
      <w:pPr>
        <w:spacing w:after="0"/>
        <w:ind w:left="720"/>
        <w:rPr>
          <w:sz w:val="12"/>
        </w:rPr>
      </w:pPr>
    </w:p>
    <w:p w:rsidR="00BD49AF" w:rsidRPr="002F17B5" w:rsidRDefault="00BD49AF" w:rsidP="00BD49AF">
      <w:pPr>
        <w:numPr>
          <w:ilvl w:val="0"/>
          <w:numId w:val="24"/>
        </w:numPr>
        <w:autoSpaceDE/>
        <w:autoSpaceDN/>
        <w:adjustRightInd/>
        <w:spacing w:before="0" w:after="0"/>
      </w:pPr>
      <w:r w:rsidRPr="002F17B5">
        <w:t>Contingent rent – increases in the amount to be paid for the property arising during the contract, debited to the Financing and Investment Income and Expenditure line in the Comprehensive Income and Expenditure Statement.</w:t>
      </w:r>
    </w:p>
    <w:p w:rsidR="00BD49AF" w:rsidRPr="002F17B5" w:rsidRDefault="00BD49AF" w:rsidP="00BD49AF">
      <w:pPr>
        <w:spacing w:after="0"/>
        <w:ind w:left="720"/>
        <w:rPr>
          <w:sz w:val="12"/>
        </w:rPr>
      </w:pPr>
    </w:p>
    <w:p w:rsidR="00BD49AF" w:rsidRPr="002F17B5" w:rsidRDefault="00BD49AF" w:rsidP="00BD49AF">
      <w:pPr>
        <w:numPr>
          <w:ilvl w:val="0"/>
          <w:numId w:val="24"/>
        </w:numPr>
        <w:autoSpaceDE/>
        <w:autoSpaceDN/>
        <w:adjustRightInd/>
        <w:spacing w:before="0" w:after="0"/>
      </w:pPr>
      <w:r w:rsidRPr="002F17B5">
        <w:lastRenderedPageBreak/>
        <w:t>Payment towards liability – applied to write down the Balance Sheet liability towards the PFI operator (the profile of write-downs is calculated using the same principles as for a finance lease).</w:t>
      </w:r>
    </w:p>
    <w:p w:rsidR="00BD49AF" w:rsidRPr="002F17B5" w:rsidRDefault="00BD49AF" w:rsidP="00BD49AF">
      <w:pPr>
        <w:spacing w:after="0"/>
        <w:ind w:left="720"/>
        <w:rPr>
          <w:sz w:val="12"/>
        </w:rPr>
      </w:pPr>
    </w:p>
    <w:p w:rsidR="00BD49AF" w:rsidRDefault="00BD49AF" w:rsidP="00BD49AF">
      <w:pPr>
        <w:numPr>
          <w:ilvl w:val="0"/>
          <w:numId w:val="24"/>
        </w:numPr>
        <w:autoSpaceDE/>
        <w:autoSpaceDN/>
        <w:adjustRightInd/>
        <w:spacing w:before="0" w:after="0"/>
      </w:pPr>
      <w:r w:rsidRPr="002F17B5">
        <w:t>Lifecycle replacement costs – proportion of the amounts payable is posted to the Balance Sheet as a prepayment and then recognised as additions to Property, Plant and Equipment when the relevant works are eventually carried out.</w:t>
      </w:r>
    </w:p>
    <w:p w:rsidR="00C966F3" w:rsidRPr="002F17B5" w:rsidRDefault="00C966F3" w:rsidP="00C966F3">
      <w:pPr>
        <w:autoSpaceDE/>
        <w:autoSpaceDN/>
        <w:adjustRightInd/>
        <w:spacing w:before="0" w:after="0"/>
        <w:ind w:left="1353"/>
      </w:pPr>
    </w:p>
    <w:p w:rsidR="00BD49AF" w:rsidRDefault="00BD49AF" w:rsidP="00BD49AF">
      <w:pPr>
        <w:ind w:left="720"/>
        <w:rPr>
          <w:sz w:val="14"/>
        </w:rPr>
      </w:pPr>
    </w:p>
    <w:p w:rsidR="00122637" w:rsidRDefault="00122637" w:rsidP="00BD49AF">
      <w:pPr>
        <w:ind w:left="720"/>
        <w:rPr>
          <w:sz w:val="14"/>
        </w:rPr>
      </w:pPr>
    </w:p>
    <w:p w:rsidR="00122637" w:rsidRPr="002F17B5" w:rsidRDefault="00122637" w:rsidP="00BD49AF">
      <w:pPr>
        <w:ind w:left="720"/>
        <w:rPr>
          <w:sz w:val="14"/>
        </w:rPr>
      </w:pPr>
    </w:p>
    <w:p w:rsidR="00BD49AF" w:rsidRPr="002F17B5" w:rsidRDefault="00BD49AF" w:rsidP="00BD49AF">
      <w:pPr>
        <w:spacing w:after="0"/>
        <w:ind w:firstLine="720"/>
      </w:pPr>
      <w:r w:rsidRPr="002F17B5">
        <w:rPr>
          <w:b/>
        </w:rPr>
        <w:t>Recognition of assets and liabilities</w:t>
      </w:r>
    </w:p>
    <w:p w:rsidR="00BD49AF" w:rsidRPr="002F17B5" w:rsidRDefault="00BD49AF" w:rsidP="00BD49AF">
      <w:pPr>
        <w:spacing w:after="0"/>
        <w:rPr>
          <w:sz w:val="10"/>
        </w:rPr>
      </w:pPr>
    </w:p>
    <w:p w:rsidR="00BD49AF" w:rsidRPr="002F17B5" w:rsidRDefault="00BD49AF" w:rsidP="00BD49AF">
      <w:pPr>
        <w:spacing w:after="0"/>
        <w:ind w:left="720"/>
      </w:pPr>
      <w:r w:rsidRPr="002F17B5">
        <w:t xml:space="preserve">Properties used in the PFI schemes are now recognised as fixed assets of the council. A related liability is also recognised. The asset and liability are recognised when the asset is made available for use. </w:t>
      </w:r>
    </w:p>
    <w:p w:rsidR="00BD49AF" w:rsidRPr="002F17B5" w:rsidRDefault="00BD49AF" w:rsidP="00BD49AF">
      <w:pPr>
        <w:spacing w:after="0"/>
        <w:ind w:left="720"/>
        <w:rPr>
          <w:sz w:val="20"/>
        </w:rPr>
      </w:pPr>
    </w:p>
    <w:p w:rsidR="00BD49AF" w:rsidRPr="002F17B5" w:rsidRDefault="00BD49AF" w:rsidP="00BD49AF">
      <w:pPr>
        <w:spacing w:after="0"/>
        <w:ind w:left="720"/>
      </w:pPr>
      <w:r w:rsidRPr="002F17B5">
        <w:t>Separate assets are recognised in respect of land and buildings where appropriate. The related liability is initially measured at the value of the related asset and subsequently calculated using the same actuarial method used for finance leases.</w:t>
      </w:r>
    </w:p>
    <w:p w:rsidR="00BD49AF" w:rsidRPr="002F17B5" w:rsidRDefault="00BD49AF" w:rsidP="00BD49AF">
      <w:pPr>
        <w:spacing w:after="0"/>
      </w:pPr>
    </w:p>
    <w:p w:rsidR="00BD49AF" w:rsidRPr="002F17B5" w:rsidRDefault="00BD49AF" w:rsidP="00BD49AF">
      <w:pPr>
        <w:spacing w:after="0"/>
        <w:ind w:left="720"/>
      </w:pPr>
      <w:r w:rsidRPr="002F17B5">
        <w:t>Once on the balance sheet the PFI assets will be treated in the same way as all other non-current assets of the same type including depreciation, impairment and revaluation.</w:t>
      </w:r>
    </w:p>
    <w:p w:rsidR="00BD49AF" w:rsidRPr="00657CCB" w:rsidRDefault="00BD49AF" w:rsidP="00BD49AF">
      <w:pPr>
        <w:spacing w:after="0"/>
        <w:rPr>
          <w:sz w:val="12"/>
        </w:rPr>
      </w:pPr>
    </w:p>
    <w:p w:rsidR="00BD49AF" w:rsidRPr="002F17B5" w:rsidRDefault="00BD49AF" w:rsidP="00BD49AF">
      <w:pPr>
        <w:autoSpaceDE/>
        <w:autoSpaceDN/>
        <w:adjustRightInd/>
        <w:spacing w:after="20"/>
        <w:jc w:val="left"/>
        <w:rPr>
          <w:b/>
        </w:rPr>
      </w:pPr>
    </w:p>
    <w:p w:rsidR="00BD49AF" w:rsidRPr="002F17B5" w:rsidRDefault="00BD49AF" w:rsidP="00BD49AF">
      <w:pPr>
        <w:spacing w:after="0"/>
        <w:ind w:firstLine="720"/>
      </w:pPr>
      <w:r w:rsidRPr="002F17B5">
        <w:rPr>
          <w:b/>
        </w:rPr>
        <w:t>Prepayments</w:t>
      </w:r>
      <w:r w:rsidRPr="002F17B5">
        <w:t xml:space="preserve"> </w:t>
      </w:r>
    </w:p>
    <w:p w:rsidR="00BD49AF" w:rsidRPr="002F17B5" w:rsidRDefault="00BD49AF" w:rsidP="00BD49AF">
      <w:pPr>
        <w:spacing w:after="0"/>
        <w:rPr>
          <w:sz w:val="12"/>
        </w:rPr>
      </w:pPr>
    </w:p>
    <w:p w:rsidR="00BD49AF" w:rsidRPr="002F17B5" w:rsidRDefault="00BD49AF" w:rsidP="00BD49AF">
      <w:pPr>
        <w:spacing w:after="0"/>
        <w:ind w:left="720"/>
      </w:pPr>
      <w:r w:rsidRPr="002F17B5">
        <w:t>Where the PFI contract requires payments to be made as a lump sum contribution before the related property is recognised as an asset on the balance sheet, such payments are recognised as prepayments. At the point that the property is recognised as an asset, the related liability is also recognised. The prepayment is then applied to reduce the outstanding liability.</w:t>
      </w:r>
    </w:p>
    <w:p w:rsidR="00BD49AF" w:rsidRPr="002F17B5" w:rsidRDefault="00BD49AF" w:rsidP="00BD49AF">
      <w:pPr>
        <w:spacing w:before="0" w:after="0"/>
        <w:ind w:firstLine="720"/>
        <w:rPr>
          <w:b/>
          <w:sz w:val="28"/>
        </w:rPr>
      </w:pPr>
    </w:p>
    <w:p w:rsidR="00CC24FD" w:rsidRPr="00FF4391" w:rsidRDefault="00CC24FD" w:rsidP="00BD49AF">
      <w:pPr>
        <w:spacing w:before="0" w:after="0"/>
        <w:ind w:firstLine="720"/>
        <w:rPr>
          <w:b/>
          <w:sz w:val="16"/>
        </w:rPr>
      </w:pPr>
    </w:p>
    <w:p w:rsidR="00BD49AF" w:rsidRPr="002F17B5" w:rsidRDefault="00BD49AF" w:rsidP="00BD49AF">
      <w:pPr>
        <w:spacing w:before="0" w:after="0"/>
        <w:ind w:firstLine="720"/>
      </w:pPr>
      <w:r w:rsidRPr="002F17B5">
        <w:rPr>
          <w:b/>
        </w:rPr>
        <w:t>Minimum Revenue Provision (MRP</w:t>
      </w:r>
      <w:r w:rsidRPr="002F17B5">
        <w:rPr>
          <w:b/>
          <w:sz w:val="20"/>
        </w:rPr>
        <w:t>)</w:t>
      </w:r>
    </w:p>
    <w:p w:rsidR="00BD49AF" w:rsidRPr="002F17B5" w:rsidRDefault="00BD49AF" w:rsidP="00BD49AF">
      <w:pPr>
        <w:spacing w:before="0" w:after="0"/>
        <w:rPr>
          <w:sz w:val="12"/>
        </w:rPr>
      </w:pPr>
    </w:p>
    <w:p w:rsidR="00BD49AF" w:rsidRPr="002F17B5" w:rsidRDefault="00BD49AF" w:rsidP="00BD49AF">
      <w:pPr>
        <w:spacing w:before="0" w:after="0"/>
        <w:ind w:left="720"/>
      </w:pPr>
      <w:r w:rsidRPr="002F17B5">
        <w:t>Assets acquired under a PFI that are recognised on the balance sheet are subject to MRP in the same way as assets acquired using other forms of borrowing. MRP is calculated in accordance with the appropriate regulations and statutory guidance, and is equal to that element of the unitary charge which is applied to repay the outstanding liability.</w:t>
      </w:r>
    </w:p>
    <w:p w:rsidR="00BD49AF" w:rsidRPr="00FF4391" w:rsidRDefault="00BD49AF" w:rsidP="00BD49AF">
      <w:pPr>
        <w:spacing w:before="0" w:after="0"/>
        <w:ind w:firstLine="720"/>
        <w:rPr>
          <w:b/>
          <w:sz w:val="32"/>
        </w:rPr>
      </w:pPr>
    </w:p>
    <w:p w:rsidR="00BD49AF" w:rsidRPr="002F17B5" w:rsidRDefault="00BD49AF" w:rsidP="00BD49AF">
      <w:pPr>
        <w:spacing w:before="0" w:after="0"/>
        <w:ind w:firstLine="720"/>
        <w:rPr>
          <w:b/>
        </w:rPr>
      </w:pPr>
      <w:r w:rsidRPr="002F17B5">
        <w:rPr>
          <w:b/>
        </w:rPr>
        <w:t>Development Costs</w:t>
      </w:r>
    </w:p>
    <w:p w:rsidR="00BD49AF" w:rsidRPr="002F17B5" w:rsidRDefault="00BD49AF" w:rsidP="00BD49AF">
      <w:pPr>
        <w:spacing w:before="0" w:after="0"/>
        <w:rPr>
          <w:b/>
          <w:sz w:val="14"/>
        </w:rPr>
      </w:pPr>
    </w:p>
    <w:p w:rsidR="00BD49AF" w:rsidRPr="002F17B5" w:rsidRDefault="00BD49AF" w:rsidP="00BD49AF">
      <w:pPr>
        <w:spacing w:before="0" w:after="0"/>
        <w:ind w:left="720"/>
      </w:pPr>
      <w:r w:rsidRPr="002F17B5">
        <w:t>The council's internal and external development costs associated with the procurement of PFI projects are charged to revenue as they are incurred.</w:t>
      </w:r>
    </w:p>
    <w:p w:rsidR="00BD49AF" w:rsidRPr="00FF4391" w:rsidRDefault="00BD49AF" w:rsidP="00BD49AF">
      <w:pPr>
        <w:spacing w:before="0" w:after="0"/>
        <w:ind w:firstLine="720"/>
        <w:rPr>
          <w:b/>
          <w:sz w:val="30"/>
        </w:rPr>
      </w:pPr>
    </w:p>
    <w:p w:rsidR="00BD49AF" w:rsidRPr="002F17B5" w:rsidRDefault="00BD49AF" w:rsidP="00BD49AF">
      <w:pPr>
        <w:spacing w:before="0" w:after="0"/>
        <w:ind w:firstLine="720"/>
      </w:pPr>
      <w:r w:rsidRPr="002F17B5">
        <w:rPr>
          <w:b/>
        </w:rPr>
        <w:t>Deductions from the Unitary Payment</w:t>
      </w:r>
    </w:p>
    <w:p w:rsidR="00BD49AF" w:rsidRPr="002F17B5" w:rsidRDefault="00BD49AF" w:rsidP="00BD49AF">
      <w:pPr>
        <w:spacing w:before="0" w:after="0"/>
        <w:rPr>
          <w:b/>
          <w:sz w:val="14"/>
        </w:rPr>
      </w:pPr>
    </w:p>
    <w:p w:rsidR="00BD49AF" w:rsidRPr="002F17B5" w:rsidRDefault="00BD49AF" w:rsidP="00BD49AF">
      <w:pPr>
        <w:spacing w:before="0" w:after="0"/>
        <w:ind w:left="720"/>
      </w:pPr>
      <w:r w:rsidRPr="002F17B5">
        <w:t>The PFI contract provides for deductions from the uni</w:t>
      </w:r>
      <w:r w:rsidR="008E55A4">
        <w:t>tary payment in the case of sub-</w:t>
      </w:r>
      <w:r w:rsidRPr="002F17B5">
        <w:t xml:space="preserve">standard performance or when the facilities are unavailable. </w:t>
      </w:r>
    </w:p>
    <w:p w:rsidR="00BD49AF" w:rsidRPr="002F17B5" w:rsidRDefault="00BD49AF" w:rsidP="00BD49AF">
      <w:pPr>
        <w:spacing w:before="0" w:after="0"/>
      </w:pPr>
    </w:p>
    <w:p w:rsidR="00BD49AF" w:rsidRPr="002F17B5" w:rsidRDefault="008E55A4" w:rsidP="00BD49AF">
      <w:pPr>
        <w:spacing w:before="0"/>
        <w:ind w:left="720"/>
      </w:pPr>
      <w:r>
        <w:lastRenderedPageBreak/>
        <w:t>Deductions for sub-</w:t>
      </w:r>
      <w:r w:rsidR="00BD49AF" w:rsidRPr="002F17B5">
        <w:t>standard performance are accounted for as a reduction in the amount paid for the affected services. Deductions arising from unavailability of the property are apportioned pro rata to the proportions of the service and property elements of the unitary payment:</w:t>
      </w:r>
    </w:p>
    <w:p w:rsidR="00BD49AF" w:rsidRPr="002F17B5" w:rsidRDefault="00BD49AF" w:rsidP="00D93535">
      <w:pPr>
        <w:numPr>
          <w:ilvl w:val="0"/>
          <w:numId w:val="27"/>
        </w:numPr>
        <w:tabs>
          <w:tab w:val="clear" w:pos="7164"/>
          <w:tab w:val="num" w:pos="709"/>
        </w:tabs>
        <w:autoSpaceDE/>
        <w:autoSpaceDN/>
        <w:adjustRightInd/>
        <w:spacing w:before="0" w:after="0"/>
        <w:ind w:left="1134" w:hanging="425"/>
      </w:pPr>
      <w:r w:rsidRPr="002F17B5">
        <w:t>a reduction for part or all of the property being unavailable for use – this will first be accounted for as an abatement of the contingent lease rentals, then finance costs if contingent rents are insufficient; and</w:t>
      </w:r>
    </w:p>
    <w:p w:rsidR="00BD49AF" w:rsidRPr="002F17B5" w:rsidRDefault="00BD49AF" w:rsidP="00D93535">
      <w:pPr>
        <w:tabs>
          <w:tab w:val="num" w:pos="709"/>
        </w:tabs>
        <w:autoSpaceDE/>
        <w:autoSpaceDN/>
        <w:adjustRightInd/>
        <w:spacing w:before="0" w:after="0"/>
        <w:ind w:left="1134" w:hanging="425"/>
        <w:rPr>
          <w:sz w:val="14"/>
        </w:rPr>
      </w:pPr>
    </w:p>
    <w:p w:rsidR="00BD49AF" w:rsidRPr="002F17B5" w:rsidRDefault="00BD49AF" w:rsidP="00D93535">
      <w:pPr>
        <w:numPr>
          <w:ilvl w:val="0"/>
          <w:numId w:val="27"/>
        </w:numPr>
        <w:tabs>
          <w:tab w:val="clear" w:pos="7164"/>
          <w:tab w:val="num" w:pos="709"/>
        </w:tabs>
        <w:autoSpaceDE/>
        <w:autoSpaceDN/>
        <w:adjustRightInd/>
        <w:spacing w:before="0" w:after="0"/>
        <w:ind w:left="1134" w:hanging="425"/>
      </w:pPr>
      <w:r w:rsidRPr="002F17B5">
        <w:t>a reduction in the price paid for services whilst services are not being provided accounted for as a reduction in the amount paid for the affected services.</w:t>
      </w:r>
    </w:p>
    <w:p w:rsidR="00BD49AF" w:rsidRPr="002F17B5" w:rsidRDefault="00BD49AF" w:rsidP="00BD49AF">
      <w:pPr>
        <w:autoSpaceDE/>
        <w:autoSpaceDN/>
        <w:adjustRightInd/>
        <w:spacing w:before="0" w:after="0"/>
        <w:ind w:left="1440"/>
        <w:rPr>
          <w:sz w:val="14"/>
        </w:rPr>
      </w:pPr>
    </w:p>
    <w:p w:rsidR="00BD49AF" w:rsidRPr="002F17B5" w:rsidRDefault="00BD49AF" w:rsidP="00BD49AF">
      <w:pPr>
        <w:spacing w:before="0" w:after="0"/>
        <w:ind w:left="720"/>
      </w:pPr>
      <w:r w:rsidRPr="002F17B5">
        <w:t>Deductions of either type are accounted for when the council's entitlement has been established and it is probable that the council will be able to make the deduction.</w:t>
      </w:r>
    </w:p>
    <w:p w:rsidR="00BD49AF" w:rsidRPr="002F17B5" w:rsidRDefault="00BD49AF" w:rsidP="00BD49AF">
      <w:pPr>
        <w:autoSpaceDE/>
        <w:autoSpaceDN/>
        <w:adjustRightInd/>
        <w:spacing w:before="0" w:line="360" w:lineRule="auto"/>
        <w:ind w:left="709"/>
        <w:jc w:val="left"/>
        <w:rPr>
          <w:b/>
        </w:rPr>
      </w:pPr>
    </w:p>
    <w:p w:rsidR="00BD49AF" w:rsidRPr="002F17B5" w:rsidRDefault="00BD49AF" w:rsidP="000B54CC">
      <w:pPr>
        <w:numPr>
          <w:ilvl w:val="0"/>
          <w:numId w:val="47"/>
        </w:numPr>
        <w:tabs>
          <w:tab w:val="num" w:pos="1260"/>
        </w:tabs>
        <w:autoSpaceDE/>
        <w:autoSpaceDN/>
        <w:adjustRightInd/>
        <w:spacing w:before="0" w:after="80" w:line="360" w:lineRule="auto"/>
        <w:ind w:left="709" w:hanging="567"/>
        <w:jc w:val="left"/>
        <w:rPr>
          <w:b/>
        </w:rPr>
      </w:pPr>
      <w:r w:rsidRPr="002F17B5">
        <w:rPr>
          <w:b/>
        </w:rPr>
        <w:t>Financial Liabilities</w:t>
      </w:r>
    </w:p>
    <w:p w:rsidR="00B70B4B" w:rsidRPr="002F17B5" w:rsidRDefault="00180A89">
      <w:pPr>
        <w:spacing w:after="0"/>
        <w:ind w:left="720"/>
      </w:pPr>
      <w:r w:rsidRPr="002F17B5">
        <w:t>Financial liabilities are recognised on the balance sheet when the council becomes a party to the contractual provisions of a financial instrument and are initially measured at fair value and carried at their amortised cost. Annual charges to the Financing and Investment Income and Expenditure line in the Comprehensive Income and Expenditure Statement for interest payable are based on the carrying amount of the liability, multiplied by the effective rate o</w:t>
      </w:r>
      <w:r w:rsidR="00286D86" w:rsidRPr="002F17B5">
        <w:t>f interest for the instrument. The effective interest rate is the rate that exactly discounts estimated future cash payments over the life of the instrument to the amount at which it was originally recognised.</w:t>
      </w:r>
    </w:p>
    <w:p w:rsidR="00B70B4B" w:rsidRPr="002F17B5" w:rsidRDefault="00286D86">
      <w:pPr>
        <w:spacing w:after="0"/>
        <w:ind w:left="720"/>
      </w:pPr>
      <w:r w:rsidRPr="002F17B5">
        <w:t>For most of the borrowings that the council has, this means that the amount presented in the Balance Sheet is the outstanding principal repayable (plus accrued interest); and interest charged to the Comprehensive Income and Expenditure Statement is the amount payable for the year according to the loan agreement.</w:t>
      </w:r>
    </w:p>
    <w:p w:rsidR="00B70B4B" w:rsidRPr="002F17B5" w:rsidRDefault="00B70B4B">
      <w:pPr>
        <w:spacing w:after="0"/>
        <w:ind w:left="720"/>
      </w:pPr>
    </w:p>
    <w:p w:rsidR="00B70B4B" w:rsidRPr="002F17B5" w:rsidRDefault="00286D86">
      <w:pPr>
        <w:spacing w:after="0"/>
        <w:ind w:left="720"/>
      </w:pPr>
      <w:r w:rsidRPr="002F17B5">
        <w:t xml:space="preserve">Gains and losses on the repurchase or early settlement of borrowing are credited and debited to the Financing and Investment Income and Expenditure line in the Comprehensive Income and Expenditure Statement in the year of repurchase/settlement. </w:t>
      </w:r>
    </w:p>
    <w:p w:rsidR="00B70B4B" w:rsidRPr="002F17B5" w:rsidRDefault="00B70B4B">
      <w:pPr>
        <w:spacing w:after="0"/>
        <w:ind w:left="720"/>
      </w:pPr>
    </w:p>
    <w:p w:rsidR="00B70B4B" w:rsidRPr="002F17B5" w:rsidRDefault="00286D86">
      <w:pPr>
        <w:spacing w:after="0"/>
        <w:ind w:left="720"/>
      </w:pPr>
      <w:r w:rsidRPr="002F17B5">
        <w:t>However, where the repurchase has taken place as part of a restructuring of the loan portfolio that involves the modification or exchange of existing instruments, the premium or discount is respectively deducted from or added to the amortised cost of the new or modified loan and the write-down to the Comprehensive Income and Expenditure Statement is spread over the life of the loan by an adjustment to the effective interest rate.</w:t>
      </w:r>
    </w:p>
    <w:p w:rsidR="00B70B4B" w:rsidRPr="002F17B5" w:rsidRDefault="00B70B4B">
      <w:pPr>
        <w:spacing w:after="0"/>
        <w:ind w:left="720"/>
      </w:pPr>
    </w:p>
    <w:p w:rsidR="00B70B4B" w:rsidRPr="002F17B5" w:rsidRDefault="00286D86">
      <w:pPr>
        <w:spacing w:after="0"/>
        <w:ind w:left="720"/>
      </w:pPr>
      <w:r w:rsidRPr="002F17B5">
        <w:t xml:space="preserve">Where premiums and discounts have been charged to the Comprehensive Income and Expenditure Statement, regulations allow the impact on the County Fund balance to be spread over future years. The council has a policy of spreading the gain or loss over the term that was remaining on the loan against which the premium was payable or discount receivable when it was repaid. </w:t>
      </w:r>
    </w:p>
    <w:p w:rsidR="00B70B4B" w:rsidRPr="002F17B5" w:rsidRDefault="00B70B4B">
      <w:pPr>
        <w:spacing w:after="0"/>
        <w:ind w:left="720"/>
      </w:pPr>
    </w:p>
    <w:p w:rsidR="00180A89" w:rsidRPr="002F17B5" w:rsidRDefault="00180A89" w:rsidP="00592D8F">
      <w:pPr>
        <w:ind w:left="720"/>
      </w:pPr>
    </w:p>
    <w:p w:rsidR="00180A89" w:rsidRPr="002F17B5" w:rsidRDefault="00180A89" w:rsidP="008E55A4">
      <w:pPr>
        <w:numPr>
          <w:ilvl w:val="0"/>
          <w:numId w:val="47"/>
        </w:numPr>
        <w:tabs>
          <w:tab w:val="num" w:pos="1260"/>
        </w:tabs>
        <w:autoSpaceDE/>
        <w:autoSpaceDN/>
        <w:adjustRightInd/>
        <w:spacing w:before="0" w:after="0" w:line="360" w:lineRule="auto"/>
        <w:ind w:left="709" w:hanging="567"/>
        <w:jc w:val="left"/>
        <w:rPr>
          <w:b/>
        </w:rPr>
      </w:pPr>
      <w:r w:rsidRPr="002F17B5">
        <w:rPr>
          <w:b/>
        </w:rPr>
        <w:t xml:space="preserve"> Financial Assets</w:t>
      </w:r>
    </w:p>
    <w:p w:rsidR="00180A89" w:rsidRPr="002F17B5" w:rsidRDefault="00180A89" w:rsidP="00180A89">
      <w:pPr>
        <w:spacing w:after="240"/>
        <w:ind w:firstLine="720"/>
      </w:pPr>
      <w:r w:rsidRPr="002F17B5">
        <w:lastRenderedPageBreak/>
        <w:t>Financial assets are classified into three types:</w:t>
      </w:r>
    </w:p>
    <w:p w:rsidR="00180A89" w:rsidRPr="002F17B5" w:rsidRDefault="00286D86" w:rsidP="00144349">
      <w:pPr>
        <w:numPr>
          <w:ilvl w:val="0"/>
          <w:numId w:val="23"/>
        </w:numPr>
        <w:autoSpaceDE/>
        <w:autoSpaceDN/>
        <w:adjustRightInd/>
        <w:spacing w:before="0" w:after="240"/>
        <w:jc w:val="left"/>
        <w:rPr>
          <w:sz w:val="23"/>
          <w:szCs w:val="23"/>
        </w:rPr>
      </w:pPr>
      <w:r w:rsidRPr="002F17B5">
        <w:rPr>
          <w:sz w:val="23"/>
          <w:szCs w:val="23"/>
        </w:rPr>
        <w:t>loans and receivables – assets that have fixed or determinable payments but are not quoted in an active market for example term deposits made with UK domiciled banks.</w:t>
      </w:r>
    </w:p>
    <w:p w:rsidR="00180A89" w:rsidRPr="002F17B5" w:rsidRDefault="00286D86" w:rsidP="00144349">
      <w:pPr>
        <w:numPr>
          <w:ilvl w:val="0"/>
          <w:numId w:val="23"/>
        </w:numPr>
        <w:autoSpaceDE/>
        <w:autoSpaceDN/>
        <w:adjustRightInd/>
        <w:spacing w:before="0" w:after="240"/>
        <w:jc w:val="left"/>
        <w:rPr>
          <w:sz w:val="23"/>
          <w:szCs w:val="23"/>
        </w:rPr>
      </w:pPr>
      <w:r w:rsidRPr="002F17B5">
        <w:rPr>
          <w:sz w:val="23"/>
          <w:szCs w:val="23"/>
        </w:rPr>
        <w:t>available-for-sale assets – assets that have a quoted market price and/or do not have fixed or determinable payments. This includes, for example, investment bonds such as UK local authority bonds and UK Treasury gilt edged securities.</w:t>
      </w:r>
    </w:p>
    <w:p w:rsidR="00180A89" w:rsidRPr="002F17B5" w:rsidRDefault="00286D86" w:rsidP="00144349">
      <w:pPr>
        <w:numPr>
          <w:ilvl w:val="0"/>
          <w:numId w:val="23"/>
        </w:numPr>
        <w:autoSpaceDE/>
        <w:autoSpaceDN/>
        <w:adjustRightInd/>
        <w:spacing w:before="0" w:after="240"/>
        <w:jc w:val="left"/>
        <w:rPr>
          <w:sz w:val="23"/>
          <w:szCs w:val="23"/>
        </w:rPr>
      </w:pPr>
      <w:r w:rsidRPr="002F17B5">
        <w:rPr>
          <w:sz w:val="23"/>
          <w:szCs w:val="23"/>
        </w:rPr>
        <w:t>fair value through profit and loss – this classification is for assets which are held primarily for trading or have a recent history of being traded</w:t>
      </w:r>
    </w:p>
    <w:p w:rsidR="00DD070A" w:rsidRPr="00FF4391" w:rsidRDefault="00DD070A" w:rsidP="00592D8F">
      <w:pPr>
        <w:autoSpaceDE/>
        <w:autoSpaceDN/>
        <w:adjustRightInd/>
        <w:spacing w:before="0" w:after="240"/>
        <w:ind w:left="1440"/>
        <w:jc w:val="left"/>
        <w:rPr>
          <w:sz w:val="20"/>
        </w:rPr>
      </w:pPr>
    </w:p>
    <w:p w:rsidR="00180A89" w:rsidRPr="002F17B5" w:rsidRDefault="005D3E0E" w:rsidP="00180A89">
      <w:pPr>
        <w:spacing w:after="240"/>
        <w:ind w:firstLine="720"/>
        <w:rPr>
          <w:b/>
        </w:rPr>
      </w:pPr>
      <w:r w:rsidRPr="002F17B5">
        <w:rPr>
          <w:b/>
        </w:rPr>
        <w:t>Loans and Receivables</w:t>
      </w:r>
    </w:p>
    <w:p w:rsidR="00B70B4B" w:rsidRDefault="005D3E0E">
      <w:pPr>
        <w:spacing w:before="0" w:after="240"/>
        <w:ind w:left="720"/>
      </w:pPr>
      <w:r w:rsidRPr="002F17B5">
        <w:t xml:space="preserve">Loans and receivables are recognised on the Balance Sheet when the council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w:t>
      </w:r>
    </w:p>
    <w:p w:rsidR="00B70B4B" w:rsidRPr="002F17B5" w:rsidRDefault="005D3E0E">
      <w:pPr>
        <w:spacing w:before="0" w:after="240"/>
        <w:ind w:left="720"/>
      </w:pPr>
      <w:r w:rsidRPr="002F17B5">
        <w:t>For most of the loans that the council has made, this means that the amount presented in the Balance Sheet is the outstanding principal receivable (plus accrued interest) and interest credited to the Comprehensive income and Expenditure Statement is the amount receivable for the year in the loan agreement</w:t>
      </w:r>
      <w:r w:rsidR="00180A89" w:rsidRPr="002F17B5">
        <w:t>.</w:t>
      </w:r>
    </w:p>
    <w:p w:rsidR="00B70B4B" w:rsidRPr="002F17B5" w:rsidRDefault="005D3E0E" w:rsidP="00B10F55">
      <w:pPr>
        <w:spacing w:before="0" w:after="240"/>
        <w:ind w:left="720"/>
      </w:pPr>
      <w:r w:rsidRPr="002F17B5">
        <w:t>Where assets are identified as impaired because of a likelihood arising from a past event that payments due under the contract will not be made, the asset is written down and a charge made to the relevant service (for receivables specific to that service) or the Financing and Investment Income and Expenditure line in the Comprehensive Income and Expenditure Statement. The impairment loss is measured as the difference between the carrying amount and the present value of the revised future cash flows discounted at the asset's original effective interest rate.</w:t>
      </w:r>
    </w:p>
    <w:p w:rsidR="00B70B4B" w:rsidRPr="002F17B5" w:rsidRDefault="005D3E0E">
      <w:pPr>
        <w:spacing w:before="0" w:after="0"/>
        <w:ind w:left="720"/>
      </w:pPr>
      <w:r w:rsidRPr="002F17B5">
        <w:t>Any gains or losses that arise on de-recognition of an asset are credited or debited to the Financing and Investment Income and Expenditure line in the Comprehensive Income and Expenditure Statement.</w:t>
      </w:r>
    </w:p>
    <w:p w:rsidR="00AF5A89" w:rsidRDefault="00AF5A89" w:rsidP="00AF5A89">
      <w:pPr>
        <w:spacing w:after="0"/>
        <w:ind w:left="720"/>
        <w:rPr>
          <w:sz w:val="44"/>
        </w:rPr>
      </w:pPr>
    </w:p>
    <w:p w:rsidR="00FF4391" w:rsidRPr="00FF4391" w:rsidRDefault="00FF4391" w:rsidP="00AF5A89">
      <w:pPr>
        <w:spacing w:after="0"/>
        <w:ind w:left="720"/>
        <w:rPr>
          <w:sz w:val="22"/>
        </w:rPr>
      </w:pPr>
    </w:p>
    <w:p w:rsidR="00180A89" w:rsidRPr="002F17B5" w:rsidRDefault="005D3E0E" w:rsidP="00AF5A89">
      <w:pPr>
        <w:ind w:left="720"/>
        <w:rPr>
          <w:b/>
        </w:rPr>
      </w:pPr>
      <w:r w:rsidRPr="002F17B5">
        <w:rPr>
          <w:b/>
        </w:rPr>
        <w:t>Available-for-Sale Assets</w:t>
      </w:r>
    </w:p>
    <w:p w:rsidR="00086822" w:rsidRPr="002F17B5" w:rsidRDefault="00086822" w:rsidP="00AF5A89">
      <w:pPr>
        <w:ind w:left="720"/>
        <w:rPr>
          <w:b/>
          <w:sz w:val="2"/>
        </w:rPr>
      </w:pPr>
    </w:p>
    <w:p w:rsidR="00180A89" w:rsidRPr="002F17B5" w:rsidRDefault="005D3E0E" w:rsidP="00180A89">
      <w:pPr>
        <w:spacing w:after="240"/>
        <w:ind w:left="720"/>
      </w:pPr>
      <w:r w:rsidRPr="002F17B5">
        <w:t xml:space="preserve">Available-for-sale assets are recognised on the Balance Sheet when the council becomes a party to the contractual provisions of a financial instrument and are initially measured and carried at fair value. Where the assets have fixed or determinable payments, annual credits to the financing and Investment Income and Expenditure line in the Comprehensive Income and Expenditure Statement for interest receivable are based on the amortised cost of the of the asset multiplied by the effective rate of interest for the instrument. Where there are no </w:t>
      </w:r>
      <w:r w:rsidRPr="002F17B5">
        <w:lastRenderedPageBreak/>
        <w:t>fixed or determinable payments, income (</w:t>
      </w:r>
      <w:r w:rsidR="0079660B" w:rsidRPr="002F17B5">
        <w:t>e.g.</w:t>
      </w:r>
      <w:r w:rsidRPr="002F17B5">
        <w:t xml:space="preserve"> dividends) is credited to the Comprehensive Income and Expenditure Statement when it becomes receivable by the council.</w:t>
      </w:r>
    </w:p>
    <w:p w:rsidR="00DD070A" w:rsidRPr="002F17B5" w:rsidRDefault="00DD070A" w:rsidP="00180A89">
      <w:pPr>
        <w:spacing w:after="240"/>
        <w:ind w:left="720"/>
        <w:rPr>
          <w:sz w:val="2"/>
        </w:rPr>
      </w:pPr>
    </w:p>
    <w:p w:rsidR="00180A89" w:rsidRPr="002F17B5" w:rsidRDefault="005D3E0E" w:rsidP="00180A89">
      <w:pPr>
        <w:spacing w:after="240"/>
        <w:ind w:left="720"/>
      </w:pPr>
      <w:r w:rsidRPr="002F17B5">
        <w:t>Assets are maintained in the balance sheet at fair value. Values are based on the following principles:</w:t>
      </w:r>
    </w:p>
    <w:p w:rsidR="00180A89" w:rsidRPr="002F17B5" w:rsidRDefault="005D3E0E" w:rsidP="00230506">
      <w:pPr>
        <w:numPr>
          <w:ilvl w:val="0"/>
          <w:numId w:val="25"/>
        </w:numPr>
        <w:tabs>
          <w:tab w:val="clear" w:pos="1440"/>
          <w:tab w:val="num" w:pos="1276"/>
        </w:tabs>
        <w:autoSpaceDE/>
        <w:autoSpaceDN/>
        <w:adjustRightInd/>
        <w:spacing w:before="0"/>
        <w:ind w:left="1276" w:hanging="567"/>
      </w:pPr>
      <w:r w:rsidRPr="002F17B5">
        <w:t>instruments with quoted market prices – the sale or bid market price;</w:t>
      </w:r>
    </w:p>
    <w:p w:rsidR="00180A89" w:rsidRPr="002F17B5" w:rsidRDefault="005D3E0E" w:rsidP="00230506">
      <w:pPr>
        <w:numPr>
          <w:ilvl w:val="0"/>
          <w:numId w:val="25"/>
        </w:numPr>
        <w:tabs>
          <w:tab w:val="clear" w:pos="1440"/>
          <w:tab w:val="num" w:pos="1276"/>
        </w:tabs>
        <w:autoSpaceDE/>
        <w:autoSpaceDN/>
        <w:adjustRightInd/>
        <w:spacing w:before="0"/>
        <w:ind w:left="1276" w:hanging="567"/>
      </w:pPr>
      <w:r w:rsidRPr="002F17B5">
        <w:t>other instruments with fixed and determinable payments – discounted cash flow analysis; and</w:t>
      </w:r>
    </w:p>
    <w:p w:rsidR="00180A89" w:rsidRPr="002F17B5" w:rsidRDefault="005D3E0E" w:rsidP="00230506">
      <w:pPr>
        <w:numPr>
          <w:ilvl w:val="0"/>
          <w:numId w:val="25"/>
        </w:numPr>
        <w:tabs>
          <w:tab w:val="clear" w:pos="1440"/>
          <w:tab w:val="num" w:pos="1276"/>
        </w:tabs>
        <w:autoSpaceDE/>
        <w:autoSpaceDN/>
        <w:adjustRightInd/>
        <w:spacing w:before="0"/>
        <w:ind w:left="1276" w:hanging="567"/>
      </w:pPr>
      <w:r w:rsidRPr="002F17B5">
        <w:t>equity shares with no quoted market prices – independent appraisal of company valuations.</w:t>
      </w:r>
    </w:p>
    <w:p w:rsidR="00B70B4B" w:rsidRPr="002F17B5" w:rsidRDefault="00B70B4B">
      <w:pPr>
        <w:autoSpaceDE/>
        <w:autoSpaceDN/>
        <w:adjustRightInd/>
        <w:spacing w:before="0"/>
        <w:ind w:left="1434"/>
      </w:pPr>
    </w:p>
    <w:p w:rsidR="00B70B4B" w:rsidRPr="002F17B5" w:rsidRDefault="005D3E0E">
      <w:pPr>
        <w:spacing w:after="0"/>
        <w:ind w:left="720"/>
      </w:pPr>
      <w:r w:rsidRPr="002F17B5">
        <w:t xml:space="preserve">Changes in fair value (other than </w:t>
      </w:r>
      <w:r w:rsidR="00921DAA" w:rsidRPr="002F17B5">
        <w:t xml:space="preserve">impairment losses) are balanced by an entry in the available-for-sale Reserve and the gain/loss is recognised in the Surplus or Deficit on Revaluation of Available-for-Sale Financial Assets. </w:t>
      </w:r>
      <w:r w:rsidR="00B10F55" w:rsidRPr="002F17B5">
        <w:t>The exception is where impairment losses have been incurred – these are debited to the Financing and Investment Income and Expenditure line in the Comprehensive Income and Expenditure Statement, along with any net gain or loss for the asset accumulated in the Available-for-Sale Reserve.</w:t>
      </w:r>
    </w:p>
    <w:p w:rsidR="00A446D2" w:rsidRPr="002F17B5" w:rsidRDefault="00A446D2">
      <w:pPr>
        <w:spacing w:after="0"/>
        <w:ind w:left="720"/>
        <w:rPr>
          <w:sz w:val="26"/>
        </w:rPr>
      </w:pPr>
    </w:p>
    <w:p w:rsidR="00E83DE8" w:rsidRPr="002F17B5" w:rsidRDefault="00921DAA">
      <w:pPr>
        <w:autoSpaceDE/>
        <w:autoSpaceDN/>
        <w:adjustRightInd/>
        <w:spacing w:after="20"/>
        <w:ind w:left="720"/>
        <w:jc w:val="left"/>
      </w:pPr>
      <w:r w:rsidRPr="002F17B5">
        <w:t>Where assets are identified as impaired because of a likelihood arising from a past event that payments due under the contract will not be made (fixed and determinable payments) or fair value falls below cost (for equity instruments), the asset is written down and a charge made to the Financing and Investment Income and Expenditure line in the Comprehensive Income and Expenditure Statement. If the asset has fixed or determinable payments, the impairment loss is measured as the difference between the carrying amount and the present value of the revised future cash flows discounted at the asset's original effective interest rate. Otherwise, the impairment loss is measured as any shortfall of fair value against the acquisition cost of the instrument (net of any principal repayment and amortisation).</w:t>
      </w:r>
    </w:p>
    <w:p w:rsidR="00B70B4B" w:rsidRPr="002F17B5" w:rsidRDefault="00B70B4B">
      <w:pPr>
        <w:spacing w:after="0"/>
        <w:ind w:left="720"/>
      </w:pPr>
    </w:p>
    <w:p w:rsidR="00B70B4B" w:rsidRPr="002F17B5" w:rsidRDefault="00921DAA">
      <w:pPr>
        <w:spacing w:after="0"/>
        <w:ind w:left="720"/>
      </w:pPr>
      <w:r w:rsidRPr="002F17B5">
        <w:t>Any gains and losses that arise on the de-recognition of the asset are credited/debited to the Financing and Investment Income and Expenditure line in the Comprehensive Income and Expenditure Statement, along with any accumulated gains or losses previously recognised in the Available-for-Sale Reserve.</w:t>
      </w:r>
    </w:p>
    <w:p w:rsidR="00454CEC" w:rsidRPr="002F17B5" w:rsidRDefault="00454CEC">
      <w:pPr>
        <w:spacing w:after="0"/>
        <w:ind w:left="720"/>
      </w:pPr>
    </w:p>
    <w:p w:rsidR="005E09E7" w:rsidRPr="002F17B5" w:rsidRDefault="00921DAA">
      <w:pPr>
        <w:spacing w:after="0"/>
        <w:ind w:left="720"/>
      </w:pPr>
      <w:r w:rsidRPr="002F17B5">
        <w:t>Where fair value cannot be measured reliably, the instrument is carried at cost (less any impairment losses).</w:t>
      </w:r>
    </w:p>
    <w:p w:rsidR="00D45934" w:rsidRPr="00FF4391" w:rsidRDefault="00D45934" w:rsidP="00202570">
      <w:pPr>
        <w:spacing w:after="0"/>
        <w:ind w:left="720"/>
        <w:rPr>
          <w:b/>
          <w:sz w:val="42"/>
        </w:rPr>
      </w:pPr>
    </w:p>
    <w:p w:rsidR="00D45934" w:rsidRPr="002F17B5" w:rsidRDefault="00D45934" w:rsidP="00202570">
      <w:pPr>
        <w:spacing w:after="0"/>
        <w:ind w:left="720"/>
        <w:rPr>
          <w:b/>
          <w:sz w:val="8"/>
        </w:rPr>
      </w:pPr>
    </w:p>
    <w:p w:rsidR="00202570" w:rsidRPr="002F17B5" w:rsidRDefault="00921DAA" w:rsidP="00202570">
      <w:pPr>
        <w:spacing w:after="0"/>
        <w:ind w:left="720"/>
        <w:rPr>
          <w:b/>
        </w:rPr>
      </w:pPr>
      <w:r w:rsidRPr="002F17B5">
        <w:rPr>
          <w:b/>
        </w:rPr>
        <w:t>Fair Value through Profit and Loss</w:t>
      </w:r>
    </w:p>
    <w:p w:rsidR="00D45934" w:rsidRPr="002F17B5" w:rsidRDefault="00D45934" w:rsidP="00202570">
      <w:pPr>
        <w:spacing w:after="0"/>
        <w:ind w:left="720"/>
        <w:rPr>
          <w:b/>
        </w:rPr>
      </w:pPr>
    </w:p>
    <w:p w:rsidR="00202570" w:rsidRPr="002F17B5" w:rsidRDefault="00921DAA" w:rsidP="00202570">
      <w:pPr>
        <w:spacing w:after="240"/>
        <w:ind w:left="720"/>
      </w:pPr>
      <w:r w:rsidRPr="002F17B5">
        <w:t>Fair value through profit and loss assets are recognised on the Balance Sheet when the council becomes a party to the contractual provisions of a financial instrument and are initially and subsequently measured and carried at fair value. Investments are accounted for under this category if they are either:</w:t>
      </w:r>
    </w:p>
    <w:p w:rsidR="00202570" w:rsidRPr="002F17B5" w:rsidRDefault="00921DAA" w:rsidP="00AA0715">
      <w:pPr>
        <w:pStyle w:val="ListParagraph"/>
        <w:numPr>
          <w:ilvl w:val="0"/>
          <w:numId w:val="37"/>
        </w:numPr>
        <w:autoSpaceDE/>
        <w:autoSpaceDN/>
        <w:adjustRightInd/>
        <w:spacing w:before="0" w:after="240"/>
      </w:pPr>
      <w:r w:rsidRPr="002F17B5">
        <w:lastRenderedPageBreak/>
        <w:t>acquired principally for the purpose of selling in the near term, or</w:t>
      </w:r>
    </w:p>
    <w:p w:rsidR="00B70B4B" w:rsidRPr="002F17B5" w:rsidRDefault="00B70B4B">
      <w:pPr>
        <w:pStyle w:val="ListParagraph"/>
        <w:autoSpaceDE/>
        <w:autoSpaceDN/>
        <w:adjustRightInd/>
        <w:spacing w:before="0" w:after="240"/>
        <w:ind w:left="1440"/>
        <w:rPr>
          <w:sz w:val="26"/>
        </w:rPr>
      </w:pPr>
    </w:p>
    <w:p w:rsidR="00202570" w:rsidRPr="002F17B5" w:rsidRDefault="00921DAA" w:rsidP="00AA0715">
      <w:pPr>
        <w:pStyle w:val="ListParagraph"/>
        <w:numPr>
          <w:ilvl w:val="0"/>
          <w:numId w:val="37"/>
        </w:numPr>
        <w:autoSpaceDE/>
        <w:autoSpaceDN/>
        <w:adjustRightInd/>
        <w:spacing w:before="0" w:after="240"/>
      </w:pPr>
      <w:r w:rsidRPr="002F17B5">
        <w:t>part of a portfolio of identified financial instruments that are managed together and for which there is evidence of a recent actual pattern of short term profit taking.</w:t>
      </w:r>
    </w:p>
    <w:p w:rsidR="00202570" w:rsidRPr="002F17B5" w:rsidRDefault="00202570" w:rsidP="00202570">
      <w:pPr>
        <w:pStyle w:val="ListParagraph"/>
        <w:spacing w:after="240"/>
        <w:ind w:left="1440"/>
      </w:pPr>
    </w:p>
    <w:p w:rsidR="00D45934" w:rsidRPr="002F17B5" w:rsidRDefault="00921DAA" w:rsidP="00D45934">
      <w:pPr>
        <w:pStyle w:val="ListParagraph"/>
        <w:spacing w:after="240"/>
        <w:ind w:left="709"/>
      </w:pPr>
      <w:r w:rsidRPr="002F17B5">
        <w:t>Any gains or losses that arise on the de-recognition of the assets are credited/debited to the Financing and Investment Income and Expenditure line in the Comprehensive Income and Expenditure Statement. Any unrealised gains and losses are also credited/debited to the Financing and Investment Income and Expenditure line in the Comprehensive Income and Expenditure Statement. Unrealised gains and losses are the amounts that arise through the change in market value of financial instruments before they mature or are sold</w:t>
      </w:r>
      <w:r w:rsidR="00202570" w:rsidRPr="002F17B5">
        <w:t>.</w:t>
      </w:r>
    </w:p>
    <w:p w:rsidR="00F11A87" w:rsidRPr="002F17B5" w:rsidRDefault="00F11A87" w:rsidP="00D45934">
      <w:pPr>
        <w:pStyle w:val="ListParagraph"/>
        <w:spacing w:after="240"/>
        <w:ind w:left="709"/>
        <w:rPr>
          <w:sz w:val="18"/>
        </w:rPr>
      </w:pPr>
    </w:p>
    <w:p w:rsidR="00180A89"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Events after the Balance Sheet Date</w:t>
      </w:r>
      <w:r w:rsidR="00BD025F" w:rsidRPr="002F17B5">
        <w:rPr>
          <w:b/>
        </w:rPr>
        <w:t xml:space="preserve"> </w:t>
      </w:r>
    </w:p>
    <w:p w:rsidR="00180A89" w:rsidRPr="002F17B5" w:rsidRDefault="00180A89" w:rsidP="00180A89">
      <w:pPr>
        <w:spacing w:after="240"/>
        <w:ind w:left="709"/>
      </w:pPr>
      <w:r w:rsidRPr="002F17B5">
        <w:t>Events after the balance sheet date are those events, both favourable and unfavourable, that occur between the end of the reporting period and the date when the Statement of Accounts is authorised for issue. Two types of events can be identified:</w:t>
      </w:r>
    </w:p>
    <w:p w:rsidR="00B70B4B" w:rsidRPr="002F17B5" w:rsidRDefault="00180A89" w:rsidP="00D55D63">
      <w:pPr>
        <w:numPr>
          <w:ilvl w:val="0"/>
          <w:numId w:val="60"/>
        </w:numPr>
        <w:tabs>
          <w:tab w:val="clear" w:pos="1440"/>
          <w:tab w:val="num" w:pos="349"/>
        </w:tabs>
        <w:autoSpaceDE/>
        <w:autoSpaceDN/>
        <w:adjustRightInd/>
        <w:spacing w:before="0" w:after="240"/>
        <w:ind w:left="1080" w:hanging="371"/>
      </w:pPr>
      <w:r w:rsidRPr="002F17B5">
        <w:t>Those that provide evidence of conditions that existed at the end of the reporting period – the Statement of Accounts is adjusted to reflect such events.</w:t>
      </w:r>
    </w:p>
    <w:p w:rsidR="00B70B4B" w:rsidRPr="002F17B5" w:rsidRDefault="00B70B4B" w:rsidP="00686F84">
      <w:pPr>
        <w:tabs>
          <w:tab w:val="num" w:pos="709"/>
        </w:tabs>
        <w:autoSpaceDE/>
        <w:autoSpaceDN/>
        <w:adjustRightInd/>
        <w:spacing w:before="0" w:after="240"/>
        <w:ind w:left="916" w:hanging="371"/>
        <w:rPr>
          <w:sz w:val="2"/>
        </w:rPr>
      </w:pPr>
    </w:p>
    <w:p w:rsidR="00B70B4B" w:rsidRPr="002F17B5" w:rsidRDefault="00180A89" w:rsidP="00D55D63">
      <w:pPr>
        <w:numPr>
          <w:ilvl w:val="0"/>
          <w:numId w:val="60"/>
        </w:numPr>
        <w:tabs>
          <w:tab w:val="clear" w:pos="1440"/>
          <w:tab w:val="num" w:pos="349"/>
        </w:tabs>
        <w:autoSpaceDE/>
        <w:autoSpaceDN/>
        <w:adjustRightInd/>
        <w:spacing w:before="0" w:after="240"/>
        <w:ind w:left="1080" w:hanging="371"/>
      </w:pPr>
      <w:r w:rsidRPr="002F17B5">
        <w:t>Those that are indicative of conditions that arose after the reporting period – the Statement of Accounts are not adjusted to reflect such events, but where a category of events would have a material effect, disclosure is made in the notes to the nature of the events and their estimated financial effect.</w:t>
      </w:r>
    </w:p>
    <w:p w:rsidR="00B70B4B" w:rsidRPr="002F17B5" w:rsidRDefault="00B70B4B">
      <w:pPr>
        <w:autoSpaceDE/>
        <w:autoSpaceDN/>
        <w:adjustRightInd/>
        <w:spacing w:before="0" w:after="240"/>
        <w:ind w:left="1276"/>
        <w:rPr>
          <w:sz w:val="2"/>
        </w:rPr>
      </w:pPr>
    </w:p>
    <w:p w:rsidR="00B70B4B" w:rsidRDefault="00286D86">
      <w:pPr>
        <w:autoSpaceDE/>
        <w:autoSpaceDN/>
        <w:adjustRightInd/>
        <w:spacing w:before="0" w:after="240"/>
        <w:ind w:left="709"/>
      </w:pPr>
      <w:r w:rsidRPr="002F17B5">
        <w:t>Events taking place after the date of authorisation for issue are not reflected in the Statement of Accounts.</w:t>
      </w:r>
    </w:p>
    <w:p w:rsidR="00FF4391" w:rsidRPr="00FF4391" w:rsidRDefault="00FF4391">
      <w:pPr>
        <w:autoSpaceDE/>
        <w:autoSpaceDN/>
        <w:adjustRightInd/>
        <w:spacing w:before="0" w:after="240"/>
        <w:ind w:left="709"/>
        <w:rPr>
          <w:sz w:val="2"/>
        </w:rPr>
      </w:pPr>
    </w:p>
    <w:p w:rsidR="00180A89" w:rsidRPr="002F17B5" w:rsidRDefault="00EC245D" w:rsidP="00AA0715">
      <w:pPr>
        <w:numPr>
          <w:ilvl w:val="0"/>
          <w:numId w:val="47"/>
        </w:numPr>
        <w:tabs>
          <w:tab w:val="num" w:pos="1260"/>
        </w:tabs>
        <w:autoSpaceDE/>
        <w:autoSpaceDN/>
        <w:adjustRightInd/>
        <w:spacing w:before="0" w:after="100" w:line="360" w:lineRule="auto"/>
        <w:ind w:left="709" w:hanging="567"/>
        <w:jc w:val="left"/>
        <w:rPr>
          <w:b/>
        </w:rPr>
      </w:pPr>
      <w:r w:rsidRPr="002F17B5">
        <w:rPr>
          <w:b/>
        </w:rPr>
        <w:t>Contingent Liabilities</w:t>
      </w:r>
    </w:p>
    <w:p w:rsidR="00B70B4B" w:rsidRPr="002F17B5" w:rsidRDefault="00180A89">
      <w:pPr>
        <w:spacing w:after="0"/>
        <w:ind w:left="709"/>
        <w:rPr>
          <w:b/>
        </w:rPr>
      </w:pPr>
      <w:r w:rsidRPr="002F17B5">
        <w:t>A contingent liability arises where an event has taken place that gives the council</w:t>
      </w:r>
      <w:r w:rsidRPr="002F17B5" w:rsidDel="00CB5417">
        <w:t xml:space="preserve"> </w:t>
      </w:r>
      <w:r w:rsidRPr="002F17B5">
        <w:t>a possible obligation whose existence will only be confirmed by the occurrence or otherwise of uncertain future events not wholly within the control of the council. Contingent liabilities also arise in circumstances where a provision would otherwise be made but either it is not probable that the outflow of resources will be required or the amount of the obligation cannot be measured reliably.</w:t>
      </w:r>
      <w:r w:rsidRPr="002F17B5">
        <w:rPr>
          <w:b/>
        </w:rPr>
        <w:tab/>
      </w:r>
    </w:p>
    <w:p w:rsidR="00B70B4B" w:rsidRPr="002F17B5" w:rsidRDefault="00B70B4B">
      <w:pPr>
        <w:spacing w:after="0"/>
        <w:ind w:left="709"/>
        <w:rPr>
          <w:b/>
        </w:rPr>
      </w:pPr>
    </w:p>
    <w:p w:rsidR="00D70021" w:rsidRDefault="00180A89">
      <w:pPr>
        <w:spacing w:after="0"/>
        <w:ind w:left="709"/>
      </w:pPr>
      <w:r w:rsidRPr="002F17B5">
        <w:t xml:space="preserve">Contingent liabilities are not recognised in the balance sheet but disclosed in a note to the accounts (see note </w:t>
      </w:r>
      <w:r w:rsidR="003B0690">
        <w:t>40</w:t>
      </w:r>
      <w:r w:rsidRPr="002F17B5">
        <w:t>).</w:t>
      </w:r>
    </w:p>
    <w:p w:rsidR="00FF4391" w:rsidRPr="00FF4391" w:rsidRDefault="00FF4391">
      <w:pPr>
        <w:spacing w:after="0"/>
        <w:ind w:left="709"/>
        <w:rPr>
          <w:sz w:val="6"/>
        </w:rPr>
      </w:pPr>
    </w:p>
    <w:p w:rsidR="00DD070A" w:rsidRPr="002F17B5" w:rsidRDefault="00DD070A" w:rsidP="00AF5A89">
      <w:pPr>
        <w:spacing w:after="0"/>
        <w:ind w:left="709"/>
      </w:pPr>
    </w:p>
    <w:p w:rsidR="00DD070A" w:rsidRPr="002F17B5" w:rsidRDefault="00DD070A" w:rsidP="00AF5A89">
      <w:pPr>
        <w:spacing w:after="0"/>
        <w:ind w:left="709"/>
        <w:rPr>
          <w:sz w:val="4"/>
        </w:rPr>
      </w:pPr>
    </w:p>
    <w:p w:rsidR="00180A89" w:rsidRPr="002F17B5" w:rsidRDefault="00180A89" w:rsidP="00AA0715">
      <w:pPr>
        <w:numPr>
          <w:ilvl w:val="0"/>
          <w:numId w:val="47"/>
        </w:numPr>
        <w:tabs>
          <w:tab w:val="num" w:pos="1260"/>
        </w:tabs>
        <w:autoSpaceDE/>
        <w:autoSpaceDN/>
        <w:adjustRightInd/>
        <w:spacing w:before="0" w:line="360" w:lineRule="auto"/>
        <w:ind w:left="709" w:hanging="567"/>
        <w:jc w:val="left"/>
        <w:rPr>
          <w:b/>
        </w:rPr>
      </w:pPr>
      <w:r w:rsidRPr="002F17B5">
        <w:rPr>
          <w:b/>
        </w:rPr>
        <w:t>Value Added Tax (VAT)</w:t>
      </w:r>
    </w:p>
    <w:p w:rsidR="00180A89" w:rsidRPr="002F17B5" w:rsidRDefault="00180A89" w:rsidP="00AF5A89">
      <w:pPr>
        <w:spacing w:after="0"/>
        <w:ind w:left="709"/>
      </w:pPr>
      <w:r w:rsidRPr="002F17B5">
        <w:t>VAT payable is included as an expense only to the extent that it is not recoverable from Her Majesty's Revenue and Customs. VAT receivable is excluded from income.</w:t>
      </w:r>
    </w:p>
    <w:p w:rsidR="00592D8F" w:rsidRPr="00FF4391" w:rsidRDefault="00592D8F" w:rsidP="00592D8F">
      <w:pPr>
        <w:spacing w:after="240"/>
        <w:ind w:left="709"/>
        <w:rPr>
          <w:sz w:val="28"/>
        </w:rPr>
      </w:pPr>
    </w:p>
    <w:p w:rsidR="00F11A87" w:rsidRDefault="00F11A87" w:rsidP="00AA0715">
      <w:pPr>
        <w:numPr>
          <w:ilvl w:val="0"/>
          <w:numId w:val="47"/>
        </w:numPr>
        <w:tabs>
          <w:tab w:val="num" w:pos="1260"/>
        </w:tabs>
        <w:autoSpaceDE/>
        <w:autoSpaceDN/>
        <w:adjustRightInd/>
        <w:spacing w:before="0" w:after="0" w:line="360" w:lineRule="auto"/>
        <w:ind w:left="709" w:hanging="567"/>
        <w:jc w:val="left"/>
        <w:rPr>
          <w:b/>
        </w:rPr>
      </w:pPr>
      <w:r w:rsidRPr="002F17B5">
        <w:rPr>
          <w:b/>
        </w:rPr>
        <w:t>Council Tax Agency Arrangements</w:t>
      </w:r>
    </w:p>
    <w:p w:rsidR="00F11A87" w:rsidRPr="002F17B5" w:rsidRDefault="00F11A87" w:rsidP="00F11A87">
      <w:pPr>
        <w:ind w:left="709"/>
      </w:pPr>
      <w:r w:rsidRPr="002F17B5">
        <w:t>Billing authorities in England are required by statute to maintain a separate fund for the collection and distribution of amounts due in respect of council tax and national non-domestic rates (NNDR). The fund's key features relevant to accounting for council tax</w:t>
      </w:r>
      <w:r w:rsidR="00242688" w:rsidRPr="002F17B5">
        <w:t xml:space="preserve"> and NNDR</w:t>
      </w:r>
      <w:r w:rsidRPr="002F17B5">
        <w:t xml:space="preserve"> in core financial statements are:</w:t>
      </w:r>
    </w:p>
    <w:p w:rsidR="00F11A87" w:rsidRPr="002F17B5" w:rsidRDefault="00F11A87" w:rsidP="00F11A87">
      <w:pPr>
        <w:ind w:left="709"/>
        <w:rPr>
          <w:sz w:val="8"/>
        </w:rPr>
      </w:pPr>
    </w:p>
    <w:p w:rsidR="00F11A87" w:rsidRPr="002F17B5" w:rsidRDefault="00F11A87" w:rsidP="00F11A87">
      <w:pPr>
        <w:numPr>
          <w:ilvl w:val="0"/>
          <w:numId w:val="28"/>
        </w:numPr>
        <w:autoSpaceDE/>
        <w:autoSpaceDN/>
        <w:adjustRightInd/>
        <w:spacing w:before="0"/>
        <w:ind w:left="1077" w:hanging="357"/>
      </w:pPr>
      <w:r w:rsidRPr="002F17B5">
        <w:t>In its capacity as a billing authority a council acts as an agent; it collects and distributes council tax income on behalf of the major preceptors and itself.</w:t>
      </w:r>
    </w:p>
    <w:p w:rsidR="00F11A87" w:rsidRPr="002F17B5" w:rsidRDefault="00F11A87" w:rsidP="00F11A87">
      <w:pPr>
        <w:ind w:left="1077"/>
        <w:rPr>
          <w:sz w:val="10"/>
        </w:rPr>
      </w:pPr>
    </w:p>
    <w:p w:rsidR="00F11A87" w:rsidRPr="002F17B5" w:rsidRDefault="00F11A87" w:rsidP="00F11A87">
      <w:pPr>
        <w:numPr>
          <w:ilvl w:val="0"/>
          <w:numId w:val="28"/>
        </w:numPr>
        <w:autoSpaceDE/>
        <w:autoSpaceDN/>
        <w:adjustRightInd/>
        <w:spacing w:before="0"/>
        <w:ind w:left="1077" w:hanging="357"/>
      </w:pPr>
      <w:r w:rsidRPr="002F17B5">
        <w:t xml:space="preserve">While the council tax income for the year credited to the billing authority's Collection Fund is the accrued income for the year, regulations determine when it should be released from the Collection Fund and transferred to the County Fund of the billing authority or paid out of the Collection Fund to major preceptors (and in turn credited to their County Fund). </w:t>
      </w:r>
    </w:p>
    <w:p w:rsidR="00F11A87" w:rsidRPr="002F17B5" w:rsidRDefault="00F11A87" w:rsidP="00F11A87">
      <w:pPr>
        <w:ind w:left="1077"/>
        <w:rPr>
          <w:sz w:val="18"/>
        </w:rPr>
      </w:pPr>
    </w:p>
    <w:p w:rsidR="00F11A87" w:rsidRPr="002F17B5" w:rsidRDefault="00F11A87" w:rsidP="00F11A87">
      <w:pPr>
        <w:tabs>
          <w:tab w:val="left" w:pos="426"/>
        </w:tabs>
        <w:spacing w:after="0"/>
        <w:ind w:left="709"/>
        <w:rPr>
          <w:sz w:val="30"/>
        </w:rPr>
      </w:pPr>
      <w:r w:rsidRPr="002F17B5">
        <w:tab/>
        <w:t xml:space="preserve">Lancashire County Council is a major preceptor with 12 districts. </w:t>
      </w:r>
    </w:p>
    <w:p w:rsidR="00F11A87" w:rsidRPr="002F17B5" w:rsidRDefault="00F11A87" w:rsidP="00F11A87">
      <w:pPr>
        <w:tabs>
          <w:tab w:val="left" w:pos="426"/>
        </w:tabs>
        <w:spacing w:after="0"/>
        <w:ind w:left="709"/>
      </w:pPr>
    </w:p>
    <w:p w:rsidR="00F11A87" w:rsidRPr="002F17B5" w:rsidRDefault="00F11A87" w:rsidP="00F11A87">
      <w:pPr>
        <w:tabs>
          <w:tab w:val="left" w:pos="426"/>
        </w:tabs>
        <w:spacing w:after="0"/>
        <w:ind w:left="709"/>
      </w:pPr>
      <w:r w:rsidRPr="002F17B5">
        <w:t>From the year commencing 1 April 2009, for both billing authorities and major preceptors the council tax income included in the Comprehensive Income and Expenditure Statement for the year is required to be the accrued income for the year.</w:t>
      </w:r>
    </w:p>
    <w:p w:rsidR="00F11A87" w:rsidRPr="00FF4391" w:rsidRDefault="00F11A87" w:rsidP="00F11A87">
      <w:pPr>
        <w:tabs>
          <w:tab w:val="left" w:pos="426"/>
        </w:tabs>
        <w:spacing w:after="0"/>
        <w:ind w:left="709"/>
        <w:rPr>
          <w:sz w:val="34"/>
        </w:rPr>
      </w:pPr>
    </w:p>
    <w:p w:rsidR="00F11A87" w:rsidRPr="002F17B5" w:rsidRDefault="00F11A87" w:rsidP="00F11A87">
      <w:pPr>
        <w:spacing w:after="0"/>
        <w:ind w:left="709"/>
      </w:pPr>
      <w:r w:rsidRPr="002F17B5">
        <w:t>The difference between the income included in the Comprehensive Income and Expenditure Statement and the amount required by regulation to be credited to the County Fund is taken to the Collection Fund Adjustment Account and included as a reconciling item in the Movement in Reserves Statement on the County Fund Balance to ensure that there is no impact from this change on the taxpayer.</w:t>
      </w:r>
    </w:p>
    <w:p w:rsidR="00F11A87" w:rsidRPr="00FF4391" w:rsidRDefault="00F11A87" w:rsidP="00F11A87">
      <w:pPr>
        <w:spacing w:after="0"/>
        <w:ind w:left="709"/>
        <w:rPr>
          <w:sz w:val="32"/>
        </w:rPr>
      </w:pPr>
    </w:p>
    <w:p w:rsidR="00F11A87" w:rsidRDefault="00F11A87" w:rsidP="00F11A87">
      <w:pPr>
        <w:spacing w:after="240"/>
        <w:ind w:left="709"/>
      </w:pPr>
      <w:r w:rsidRPr="002F17B5">
        <w:t>Since the collection of council tax is, in substance, an agency arrangement, the cash collected by the billing authorities from council taxpayers belongs proportionately to the billing authority and the major preceptors (</w:t>
      </w:r>
      <w:r w:rsidR="0079660B" w:rsidRPr="002F17B5">
        <w:t>e.g.</w:t>
      </w:r>
      <w:r w:rsidRPr="002F17B5">
        <w:t xml:space="preserve"> Lancashire County Council). </w:t>
      </w:r>
    </w:p>
    <w:p w:rsidR="00FF4391" w:rsidRPr="00FF4391" w:rsidRDefault="00FF4391" w:rsidP="00F11A87">
      <w:pPr>
        <w:spacing w:after="240"/>
        <w:ind w:left="709"/>
        <w:rPr>
          <w:sz w:val="2"/>
        </w:rPr>
      </w:pPr>
    </w:p>
    <w:p w:rsidR="00F11A87" w:rsidRPr="002F17B5" w:rsidRDefault="00F11A87" w:rsidP="00F11A87">
      <w:pPr>
        <w:spacing w:after="240"/>
        <w:ind w:left="709"/>
      </w:pPr>
      <w:r w:rsidRPr="002F17B5">
        <w:t>There will therefore be a debtor/creditor position between the billing authorities and each major preceptor to be recognised since the net cash paid to each major preceptor in the year will not be its share of cash collected from council taxpayers.</w:t>
      </w:r>
    </w:p>
    <w:p w:rsidR="00FF4391" w:rsidRPr="00FF4391" w:rsidRDefault="00FF4391" w:rsidP="00F11A87">
      <w:pPr>
        <w:spacing w:after="0"/>
        <w:ind w:left="709"/>
        <w:rPr>
          <w:sz w:val="16"/>
        </w:rPr>
      </w:pPr>
    </w:p>
    <w:p w:rsidR="00F11A87" w:rsidRPr="002F17B5" w:rsidRDefault="00F11A87" w:rsidP="00F11A87">
      <w:pPr>
        <w:spacing w:after="0"/>
        <w:ind w:left="709"/>
      </w:pPr>
      <w:r w:rsidRPr="002F17B5">
        <w:t xml:space="preserve">In addition, the balance sheet of both billing and </w:t>
      </w:r>
      <w:proofErr w:type="spellStart"/>
      <w:r w:rsidRPr="002F17B5">
        <w:t>precepting</w:t>
      </w:r>
      <w:proofErr w:type="spellEnd"/>
      <w:r w:rsidRPr="002F17B5">
        <w:t xml:space="preserve"> authorities will include:</w:t>
      </w:r>
    </w:p>
    <w:p w:rsidR="00F11A87" w:rsidRPr="002F17B5" w:rsidRDefault="00F11A87" w:rsidP="00F11A87">
      <w:pPr>
        <w:spacing w:after="0"/>
        <w:ind w:left="709"/>
        <w:rPr>
          <w:sz w:val="10"/>
        </w:rPr>
      </w:pPr>
    </w:p>
    <w:p w:rsidR="00F11A87" w:rsidRPr="00FF4391" w:rsidRDefault="00F11A87" w:rsidP="00F11A87">
      <w:pPr>
        <w:numPr>
          <w:ilvl w:val="0"/>
          <w:numId w:val="29"/>
        </w:numPr>
        <w:tabs>
          <w:tab w:val="clear" w:pos="753"/>
          <w:tab w:val="num" w:pos="1134"/>
        </w:tabs>
        <w:autoSpaceDE/>
        <w:autoSpaceDN/>
        <w:adjustRightInd/>
        <w:spacing w:before="0"/>
        <w:ind w:left="1134" w:hanging="425"/>
      </w:pPr>
      <w:r w:rsidRPr="00FF4391">
        <w:t>an attributable share of council tax debtors, net of impairment allowances for doubtful debts;</w:t>
      </w:r>
    </w:p>
    <w:p w:rsidR="00FF4391" w:rsidRDefault="00F11A87" w:rsidP="00F11A87">
      <w:pPr>
        <w:numPr>
          <w:ilvl w:val="0"/>
          <w:numId w:val="29"/>
        </w:numPr>
        <w:tabs>
          <w:tab w:val="clear" w:pos="753"/>
          <w:tab w:val="num" w:pos="1134"/>
        </w:tabs>
        <w:autoSpaceDE/>
        <w:autoSpaceDN/>
        <w:adjustRightInd/>
        <w:spacing w:before="0"/>
        <w:ind w:left="1134" w:hanging="425"/>
      </w:pPr>
      <w:r w:rsidRPr="00FF4391">
        <w:t>an attributable share of creditors for overpaid council tax;</w:t>
      </w:r>
    </w:p>
    <w:p w:rsidR="00F11A87" w:rsidRPr="00FF4391" w:rsidRDefault="00F11A87" w:rsidP="00FF4391">
      <w:pPr>
        <w:autoSpaceDE/>
        <w:autoSpaceDN/>
        <w:adjustRightInd/>
        <w:spacing w:before="0"/>
        <w:ind w:left="1134"/>
      </w:pPr>
      <w:r w:rsidRPr="00FF4391">
        <w:t xml:space="preserve"> and</w:t>
      </w:r>
    </w:p>
    <w:p w:rsidR="00422911" w:rsidRPr="00FF4391" w:rsidRDefault="00F11A87" w:rsidP="00422911">
      <w:pPr>
        <w:numPr>
          <w:ilvl w:val="0"/>
          <w:numId w:val="29"/>
        </w:numPr>
        <w:tabs>
          <w:tab w:val="clear" w:pos="753"/>
          <w:tab w:val="num" w:pos="1134"/>
        </w:tabs>
        <w:autoSpaceDE/>
        <w:autoSpaceDN/>
        <w:adjustRightInd/>
        <w:spacing w:before="0"/>
        <w:ind w:left="1134" w:hanging="425"/>
      </w:pPr>
      <w:r w:rsidRPr="00FF4391">
        <w:lastRenderedPageBreak/>
        <w:t>a debtor for the billing authorities for cash collected from council tax payers but not paid across, or a creditor for cash paid in advance from council tax payers.</w:t>
      </w:r>
    </w:p>
    <w:p w:rsidR="00422911" w:rsidRDefault="00422911" w:rsidP="00422911">
      <w:pPr>
        <w:autoSpaceDE/>
        <w:autoSpaceDN/>
        <w:adjustRightInd/>
        <w:spacing w:before="0"/>
        <w:ind w:left="1134"/>
        <w:rPr>
          <w:sz w:val="23"/>
          <w:szCs w:val="23"/>
        </w:rPr>
      </w:pPr>
    </w:p>
    <w:p w:rsidR="00FF4391" w:rsidRDefault="00FF4391" w:rsidP="00422911">
      <w:pPr>
        <w:autoSpaceDE/>
        <w:autoSpaceDN/>
        <w:adjustRightInd/>
        <w:spacing w:before="0"/>
        <w:ind w:left="1134"/>
        <w:rPr>
          <w:sz w:val="23"/>
          <w:szCs w:val="23"/>
        </w:rPr>
      </w:pPr>
    </w:p>
    <w:p w:rsidR="00422911" w:rsidRPr="002F17B5" w:rsidRDefault="00422911" w:rsidP="00422911">
      <w:pPr>
        <w:numPr>
          <w:ilvl w:val="0"/>
          <w:numId w:val="47"/>
        </w:numPr>
        <w:tabs>
          <w:tab w:val="num" w:pos="1260"/>
        </w:tabs>
        <w:autoSpaceDE/>
        <w:autoSpaceDN/>
        <w:adjustRightInd/>
        <w:spacing w:before="0" w:after="0" w:line="360" w:lineRule="auto"/>
        <w:ind w:left="709" w:hanging="567"/>
        <w:jc w:val="left"/>
        <w:rPr>
          <w:b/>
        </w:rPr>
      </w:pPr>
      <w:r>
        <w:rPr>
          <w:b/>
        </w:rPr>
        <w:t>Acquired Operations</w:t>
      </w:r>
    </w:p>
    <w:p w:rsidR="00422911" w:rsidRPr="00422911" w:rsidRDefault="00422911" w:rsidP="00422911">
      <w:pPr>
        <w:spacing w:after="0"/>
        <w:ind w:left="709"/>
      </w:pPr>
      <w:r w:rsidRPr="00422911">
        <w:t>The results of businesses acquired in the year are consolidated from the effective date of acquisition. The net assets of businesses acquired are incorporated in the consolidated accounts at their fair values at the date of acquisition.</w:t>
      </w:r>
    </w:p>
    <w:p w:rsidR="004B0108" w:rsidRPr="00422911" w:rsidRDefault="004B0108" w:rsidP="00422911">
      <w:pPr>
        <w:spacing w:after="0"/>
        <w:ind w:left="709"/>
        <w:rPr>
          <w:sz w:val="23"/>
          <w:szCs w:val="23"/>
        </w:rPr>
      </w:pPr>
      <w:bookmarkStart w:id="1" w:name="_GoBack"/>
      <w:bookmarkEnd w:id="1"/>
    </w:p>
    <w:p w:rsidR="009B0A67" w:rsidRPr="002F17B5" w:rsidRDefault="00AB4059" w:rsidP="00E771C2">
      <w:pPr>
        <w:pStyle w:val="Heading3-numbered"/>
        <w:tabs>
          <w:tab w:val="clear" w:pos="426"/>
          <w:tab w:val="left" w:pos="567"/>
        </w:tabs>
        <w:ind w:left="567" w:hanging="567"/>
        <w:rPr>
          <w:i w:val="0"/>
          <w:sz w:val="26"/>
        </w:rPr>
      </w:pPr>
      <w:r w:rsidRPr="002F17B5">
        <w:rPr>
          <w:i w:val="0"/>
          <w:sz w:val="26"/>
        </w:rPr>
        <w:t xml:space="preserve">Critical judgements in applying accounting policies </w:t>
      </w:r>
    </w:p>
    <w:p w:rsidR="00093721" w:rsidRPr="002F17B5" w:rsidRDefault="00093721" w:rsidP="00093721">
      <w:pPr>
        <w:rPr>
          <w:szCs w:val="18"/>
        </w:rPr>
      </w:pPr>
      <w:r w:rsidRPr="002F17B5">
        <w:rPr>
          <w:szCs w:val="18"/>
        </w:rPr>
        <w:t>The Statement of Accounting Policies is set out in note 1. In applying the accounting policies, the council has to make certain judgements about complex transactions or those involving uncertainty about future events.</w:t>
      </w:r>
    </w:p>
    <w:p w:rsidR="00093721" w:rsidRPr="002F17B5" w:rsidRDefault="00093721" w:rsidP="00093721">
      <w:pPr>
        <w:rPr>
          <w:sz w:val="12"/>
          <w:szCs w:val="18"/>
        </w:rPr>
      </w:pPr>
    </w:p>
    <w:p w:rsidR="00093721" w:rsidRPr="002F17B5" w:rsidRDefault="00093721" w:rsidP="00093721">
      <w:pPr>
        <w:rPr>
          <w:szCs w:val="18"/>
        </w:rPr>
      </w:pPr>
      <w:r w:rsidRPr="002F17B5">
        <w:rPr>
          <w:szCs w:val="18"/>
        </w:rPr>
        <w:t>The critical judgements made in the Statement of Accounts are:</w:t>
      </w:r>
    </w:p>
    <w:p w:rsidR="00093721" w:rsidRPr="002F17B5" w:rsidRDefault="00093721" w:rsidP="00FF4391">
      <w:pPr>
        <w:numPr>
          <w:ilvl w:val="0"/>
          <w:numId w:val="38"/>
        </w:numPr>
        <w:tabs>
          <w:tab w:val="clear" w:pos="1080"/>
          <w:tab w:val="num" w:pos="851"/>
        </w:tabs>
        <w:autoSpaceDE/>
        <w:autoSpaceDN/>
        <w:adjustRightInd/>
        <w:spacing w:before="0" w:after="0"/>
        <w:ind w:left="510" w:hanging="425"/>
        <w:rPr>
          <w:szCs w:val="18"/>
        </w:rPr>
      </w:pPr>
      <w:r w:rsidRPr="002F17B5">
        <w:rPr>
          <w:szCs w:val="18"/>
        </w:rPr>
        <w:t>There is a high degree of uncertainty about future levels of funding for local government. However, the council has determined that this uncertainty is not yet sufficient to provide an indication that the assets of the council might be impaired as a result of a need to close facilities and reduce levels of service provision.</w:t>
      </w:r>
    </w:p>
    <w:p w:rsidR="00093721" w:rsidRPr="00FF4391" w:rsidRDefault="00093721" w:rsidP="00FF4391">
      <w:pPr>
        <w:tabs>
          <w:tab w:val="num" w:pos="851"/>
        </w:tabs>
        <w:ind w:left="510" w:hanging="425"/>
        <w:rPr>
          <w:sz w:val="20"/>
          <w:szCs w:val="18"/>
        </w:rPr>
      </w:pPr>
    </w:p>
    <w:p w:rsidR="00093721" w:rsidRPr="002F17B5" w:rsidRDefault="00093721" w:rsidP="00FF4391">
      <w:pPr>
        <w:numPr>
          <w:ilvl w:val="0"/>
          <w:numId w:val="38"/>
        </w:numPr>
        <w:tabs>
          <w:tab w:val="clear" w:pos="1080"/>
          <w:tab w:val="num" w:pos="851"/>
        </w:tabs>
        <w:autoSpaceDE/>
        <w:autoSpaceDN/>
        <w:adjustRightInd/>
        <w:spacing w:before="0" w:after="0"/>
        <w:ind w:left="510" w:hanging="425"/>
        <w:rPr>
          <w:szCs w:val="18"/>
        </w:rPr>
      </w:pPr>
      <w:r w:rsidRPr="002F17B5">
        <w:rPr>
          <w:szCs w:val="18"/>
        </w:rPr>
        <w:t>The county council is deemed to control the services provided under the Private Finance Initiative (PFI) agreement for 12 schools, one library</w:t>
      </w:r>
      <w:r w:rsidR="00AA6759" w:rsidRPr="002F17B5">
        <w:rPr>
          <w:szCs w:val="18"/>
        </w:rPr>
        <w:t>,</w:t>
      </w:r>
      <w:r w:rsidRPr="002F17B5">
        <w:rPr>
          <w:szCs w:val="18"/>
        </w:rPr>
        <w:t xml:space="preserve"> a faith centre and </w:t>
      </w:r>
      <w:r w:rsidR="00AA6759" w:rsidRPr="002F17B5">
        <w:rPr>
          <w:szCs w:val="18"/>
        </w:rPr>
        <w:t xml:space="preserve">waste treatment facilities and </w:t>
      </w:r>
      <w:r w:rsidRPr="002F17B5">
        <w:rPr>
          <w:szCs w:val="18"/>
        </w:rPr>
        <w:t>also to control the residual value of the properties at the end of the agreement. The accounting policies for PFI schemes and similar contracts have been applied to the arrangement and the buildings</w:t>
      </w:r>
      <w:r w:rsidR="00F458BC">
        <w:rPr>
          <w:szCs w:val="18"/>
        </w:rPr>
        <w:t xml:space="preserve"> have been</w:t>
      </w:r>
      <w:r w:rsidRPr="002F17B5">
        <w:rPr>
          <w:szCs w:val="18"/>
        </w:rPr>
        <w:t xml:space="preserve"> recognised as Property, Plant and Equipment on the council's balance sheet</w:t>
      </w:r>
      <w:r w:rsidR="00F458BC">
        <w:rPr>
          <w:szCs w:val="18"/>
        </w:rPr>
        <w:t>. The buildings have been valued at £467.4million as at 31 March 2014 (£474.9 as at 31 March 2013)</w:t>
      </w:r>
    </w:p>
    <w:p w:rsidR="00FF4391" w:rsidRPr="00FF4391" w:rsidRDefault="00FF4391" w:rsidP="00FF4391">
      <w:pPr>
        <w:tabs>
          <w:tab w:val="num" w:pos="851"/>
        </w:tabs>
        <w:autoSpaceDE/>
        <w:autoSpaceDN/>
        <w:adjustRightInd/>
        <w:spacing w:before="0" w:after="0"/>
        <w:ind w:left="510"/>
        <w:rPr>
          <w:sz w:val="2"/>
          <w:szCs w:val="18"/>
        </w:rPr>
      </w:pPr>
    </w:p>
    <w:p w:rsidR="00090134" w:rsidRPr="002F17B5" w:rsidRDefault="00090134" w:rsidP="00FF4391">
      <w:pPr>
        <w:tabs>
          <w:tab w:val="num" w:pos="851"/>
        </w:tabs>
        <w:autoSpaceDE/>
        <w:autoSpaceDN/>
        <w:adjustRightInd/>
        <w:spacing w:before="0" w:after="0"/>
        <w:ind w:left="510"/>
        <w:rPr>
          <w:szCs w:val="18"/>
        </w:rPr>
      </w:pPr>
    </w:p>
    <w:p w:rsidR="00093721" w:rsidRPr="002F17B5" w:rsidRDefault="00093721" w:rsidP="00FF4391">
      <w:pPr>
        <w:numPr>
          <w:ilvl w:val="0"/>
          <w:numId w:val="38"/>
        </w:numPr>
        <w:tabs>
          <w:tab w:val="clear" w:pos="1080"/>
          <w:tab w:val="num" w:pos="851"/>
        </w:tabs>
        <w:autoSpaceDE/>
        <w:autoSpaceDN/>
        <w:adjustRightInd/>
        <w:spacing w:before="0" w:after="0"/>
        <w:ind w:left="510" w:hanging="425"/>
        <w:rPr>
          <w:szCs w:val="18"/>
        </w:rPr>
      </w:pPr>
      <w:r w:rsidRPr="002F17B5">
        <w:rPr>
          <w:szCs w:val="18"/>
        </w:rPr>
        <w:t>The council has to decide whether land and buildings owned by the council are investment properties, whereby they are held solely for rental income or capital appreciation purposes or both. It has been determined that the county council does hold investment properties which have been valued at £</w:t>
      </w:r>
      <w:r w:rsidR="000720C3" w:rsidRPr="002F17B5">
        <w:rPr>
          <w:szCs w:val="18"/>
        </w:rPr>
        <w:t>2.8</w:t>
      </w:r>
      <w:r w:rsidRPr="002F17B5">
        <w:rPr>
          <w:szCs w:val="18"/>
        </w:rPr>
        <w:t xml:space="preserve"> million as at </w:t>
      </w:r>
      <w:r w:rsidR="006D01F9" w:rsidRPr="002F17B5">
        <w:rPr>
          <w:szCs w:val="18"/>
        </w:rPr>
        <w:t>31 March 2014</w:t>
      </w:r>
      <w:r w:rsidRPr="002F17B5">
        <w:rPr>
          <w:szCs w:val="18"/>
        </w:rPr>
        <w:t>.</w:t>
      </w:r>
      <w:r w:rsidR="00103C5F" w:rsidRPr="002F17B5">
        <w:rPr>
          <w:szCs w:val="18"/>
        </w:rPr>
        <w:t xml:space="preserve"> </w:t>
      </w:r>
    </w:p>
    <w:p w:rsidR="00434482" w:rsidRPr="00FF4391" w:rsidRDefault="00434482" w:rsidP="00FF4391">
      <w:pPr>
        <w:autoSpaceDE/>
        <w:autoSpaceDN/>
        <w:adjustRightInd/>
        <w:spacing w:after="20"/>
        <w:ind w:left="510"/>
        <w:jc w:val="left"/>
        <w:rPr>
          <w:sz w:val="28"/>
          <w:szCs w:val="18"/>
        </w:rPr>
      </w:pPr>
    </w:p>
    <w:p w:rsidR="00093721" w:rsidRPr="002F17B5" w:rsidRDefault="00093721" w:rsidP="00FF4391">
      <w:pPr>
        <w:numPr>
          <w:ilvl w:val="0"/>
          <w:numId w:val="38"/>
        </w:numPr>
        <w:tabs>
          <w:tab w:val="clear" w:pos="1080"/>
          <w:tab w:val="num" w:pos="851"/>
        </w:tabs>
        <w:autoSpaceDE/>
        <w:autoSpaceDN/>
        <w:adjustRightInd/>
        <w:spacing w:before="0" w:after="0"/>
        <w:ind w:left="510" w:hanging="425"/>
        <w:rPr>
          <w:szCs w:val="18"/>
        </w:rPr>
      </w:pPr>
      <w:r w:rsidRPr="002F17B5">
        <w:rPr>
          <w:szCs w:val="18"/>
        </w:rPr>
        <w:t xml:space="preserve">These judgements are made on the professional opinion of the council's accountants, </w:t>
      </w:r>
      <w:proofErr w:type="spellStart"/>
      <w:r w:rsidRPr="002F17B5">
        <w:rPr>
          <w:szCs w:val="18"/>
        </w:rPr>
        <w:t>valuers</w:t>
      </w:r>
      <w:proofErr w:type="spellEnd"/>
      <w:r w:rsidRPr="002F17B5">
        <w:rPr>
          <w:szCs w:val="18"/>
        </w:rPr>
        <w:t xml:space="preserve"> and procurement managers based on contract procedure rules and the strict criteria set out in International Accounting Standard 17 (IAS 17) relating to leases. In addition the International Financial</w:t>
      </w:r>
      <w:r w:rsidR="00AA3DF7" w:rsidRPr="002F17B5">
        <w:rPr>
          <w:szCs w:val="18"/>
        </w:rPr>
        <w:t xml:space="preserve"> Reporting</w:t>
      </w:r>
      <w:r w:rsidRPr="002F17B5">
        <w:rPr>
          <w:szCs w:val="18"/>
        </w:rPr>
        <w:t xml:space="preserve"> Interpretations Committees 4 and 12 (IFRIC 4 and IFRIC 12) contain specific criteria relating to whether contractual arrangements have the substance of a lease. The relevant accounting policy has been applied based on the outcome of the assessment.</w:t>
      </w:r>
    </w:p>
    <w:p w:rsidR="00093721" w:rsidRPr="002F17B5" w:rsidRDefault="00093721" w:rsidP="00FF4391">
      <w:pPr>
        <w:pStyle w:val="ListParagraph"/>
        <w:tabs>
          <w:tab w:val="num" w:pos="851"/>
        </w:tabs>
        <w:ind w:left="510" w:hanging="425"/>
        <w:rPr>
          <w:sz w:val="18"/>
          <w:szCs w:val="18"/>
        </w:rPr>
      </w:pPr>
    </w:p>
    <w:p w:rsidR="00093721" w:rsidRPr="002F17B5" w:rsidRDefault="00093721" w:rsidP="00FF4391">
      <w:pPr>
        <w:numPr>
          <w:ilvl w:val="0"/>
          <w:numId w:val="38"/>
        </w:numPr>
        <w:tabs>
          <w:tab w:val="clear" w:pos="1080"/>
          <w:tab w:val="num" w:pos="851"/>
        </w:tabs>
        <w:autoSpaceDE/>
        <w:autoSpaceDN/>
        <w:adjustRightInd/>
        <w:spacing w:before="0" w:after="0"/>
        <w:ind w:left="510" w:hanging="425"/>
        <w:rPr>
          <w:szCs w:val="18"/>
        </w:rPr>
      </w:pPr>
      <w:r w:rsidRPr="002F17B5">
        <w:rPr>
          <w:szCs w:val="18"/>
        </w:rPr>
        <w:t xml:space="preserve">The council has to determine whether there is a group relationship between the council and other entities. The accountants have assessed each relationship that exists between the council and other entities in accordance with the accounting standards and the finance guidance provided by the Chartered Institute of Public Finance and Accountancy (CIPFA). The county council's relationships with other entities can been found in note </w:t>
      </w:r>
      <w:r w:rsidR="00125764">
        <w:rPr>
          <w:szCs w:val="18"/>
        </w:rPr>
        <w:t>39</w:t>
      </w:r>
      <w:r w:rsidR="00EF7C91" w:rsidRPr="002F17B5">
        <w:rPr>
          <w:szCs w:val="18"/>
        </w:rPr>
        <w:t>.</w:t>
      </w:r>
      <w:r w:rsidRPr="002F17B5">
        <w:rPr>
          <w:szCs w:val="18"/>
        </w:rPr>
        <w:t xml:space="preserve">  We have </w:t>
      </w:r>
      <w:r w:rsidRPr="002F17B5">
        <w:rPr>
          <w:szCs w:val="18"/>
        </w:rPr>
        <w:lastRenderedPageBreak/>
        <w:t xml:space="preserve">reviewed the position for the </w:t>
      </w:r>
      <w:r w:rsidR="00CD4CF3" w:rsidRPr="002F17B5">
        <w:rPr>
          <w:szCs w:val="18"/>
        </w:rPr>
        <w:t>2013/14</w:t>
      </w:r>
      <w:r w:rsidRPr="002F17B5">
        <w:rPr>
          <w:szCs w:val="18"/>
        </w:rPr>
        <w:t xml:space="preserve"> accounts and again, this year's statement of accounts does not include a set of group accounts due to the following factors:</w:t>
      </w:r>
    </w:p>
    <w:p w:rsidR="00093721" w:rsidRPr="00FF4391" w:rsidRDefault="00093721" w:rsidP="00FF4391">
      <w:pPr>
        <w:pStyle w:val="ListParagraph"/>
        <w:tabs>
          <w:tab w:val="num" w:pos="851"/>
        </w:tabs>
        <w:ind w:left="510" w:hanging="425"/>
        <w:rPr>
          <w:sz w:val="10"/>
          <w:szCs w:val="18"/>
        </w:rPr>
      </w:pPr>
    </w:p>
    <w:p w:rsidR="00B70B4B" w:rsidRPr="002F17B5" w:rsidRDefault="00093721" w:rsidP="00FF4391">
      <w:pPr>
        <w:numPr>
          <w:ilvl w:val="0"/>
          <w:numId w:val="61"/>
        </w:numPr>
        <w:autoSpaceDE/>
        <w:autoSpaceDN/>
        <w:adjustRightInd/>
        <w:spacing w:before="0" w:after="0"/>
        <w:ind w:left="1134" w:hanging="567"/>
        <w:rPr>
          <w:szCs w:val="18"/>
        </w:rPr>
      </w:pPr>
      <w:r w:rsidRPr="002F17B5">
        <w:rPr>
          <w:szCs w:val="18"/>
        </w:rPr>
        <w:t>The relative lack of materiality of the financial size of the group members compared with that of the council.</w:t>
      </w:r>
    </w:p>
    <w:p w:rsidR="00093721" w:rsidRPr="002F17B5" w:rsidRDefault="00093721" w:rsidP="00FF4391">
      <w:pPr>
        <w:tabs>
          <w:tab w:val="num" w:pos="851"/>
        </w:tabs>
        <w:ind w:left="1134" w:hanging="567"/>
        <w:rPr>
          <w:sz w:val="6"/>
          <w:szCs w:val="18"/>
        </w:rPr>
      </w:pPr>
    </w:p>
    <w:p w:rsidR="00B70B4B" w:rsidRDefault="00093721" w:rsidP="00FF4391">
      <w:pPr>
        <w:numPr>
          <w:ilvl w:val="0"/>
          <w:numId w:val="61"/>
        </w:numPr>
        <w:autoSpaceDE/>
        <w:autoSpaceDN/>
        <w:adjustRightInd/>
        <w:spacing w:before="0" w:after="0"/>
        <w:ind w:left="1134" w:hanging="567"/>
        <w:rPr>
          <w:szCs w:val="18"/>
        </w:rPr>
      </w:pPr>
      <w:r w:rsidRPr="002F17B5">
        <w:rPr>
          <w:szCs w:val="18"/>
        </w:rPr>
        <w:t xml:space="preserve"> The low level of financial risk to the county council from its involvement with the group members: for example many group members are companies limited by guarantee, the county council's guarantee sum being £1.</w:t>
      </w:r>
    </w:p>
    <w:p w:rsidR="00FF4391" w:rsidRPr="00FF4391" w:rsidRDefault="00FF4391" w:rsidP="00FF4391">
      <w:pPr>
        <w:pStyle w:val="ListParagraph"/>
        <w:rPr>
          <w:sz w:val="2"/>
          <w:szCs w:val="18"/>
        </w:rPr>
      </w:pPr>
    </w:p>
    <w:p w:rsidR="00B70B4B" w:rsidRPr="002F17B5" w:rsidRDefault="00093721" w:rsidP="00FF4391">
      <w:pPr>
        <w:numPr>
          <w:ilvl w:val="0"/>
          <w:numId w:val="61"/>
        </w:numPr>
        <w:autoSpaceDE/>
        <w:autoSpaceDN/>
        <w:adjustRightInd/>
        <w:spacing w:before="0" w:after="0"/>
        <w:ind w:left="1134" w:hanging="567"/>
        <w:rPr>
          <w:szCs w:val="18"/>
        </w:rPr>
      </w:pPr>
      <w:r w:rsidRPr="002F17B5">
        <w:rPr>
          <w:szCs w:val="18"/>
        </w:rPr>
        <w:t>The very low level of involvement of the group members in delivering the council's statutory or significant core services.</w:t>
      </w:r>
    </w:p>
    <w:p w:rsidR="00093721" w:rsidRPr="002F17B5" w:rsidRDefault="00093721" w:rsidP="00FF4391">
      <w:pPr>
        <w:numPr>
          <w:ilvl w:val="0"/>
          <w:numId w:val="39"/>
        </w:numPr>
        <w:tabs>
          <w:tab w:val="num" w:pos="851"/>
        </w:tabs>
        <w:autoSpaceDE/>
        <w:autoSpaceDN/>
        <w:adjustRightInd/>
        <w:spacing w:before="0" w:after="0"/>
        <w:ind w:left="510" w:hanging="425"/>
        <w:rPr>
          <w:szCs w:val="18"/>
        </w:rPr>
      </w:pPr>
      <w:r w:rsidRPr="002F17B5">
        <w:rPr>
          <w:szCs w:val="18"/>
        </w:rPr>
        <w:t xml:space="preserve">The Valuation and Estates department are required to exercise judgement in determining the carrying value of land and, buildings on the council’s Balance Sheet. The valuations are undertaken by in-house qualified staff that follow best practice. In addition to valuations which are undertaken in year, the </w:t>
      </w:r>
      <w:proofErr w:type="spellStart"/>
      <w:r w:rsidRPr="002F17B5">
        <w:rPr>
          <w:szCs w:val="18"/>
        </w:rPr>
        <w:t>valuer</w:t>
      </w:r>
      <w:proofErr w:type="spellEnd"/>
      <w:r w:rsidRPr="002F17B5">
        <w:rPr>
          <w:szCs w:val="18"/>
        </w:rPr>
        <w:t xml:space="preserve"> uses the knowledge of the local market conditions and available national data to assess whether there have been changes which would require a review of all asset values held at </w:t>
      </w:r>
      <w:r w:rsidR="00B72452">
        <w:rPr>
          <w:szCs w:val="18"/>
        </w:rPr>
        <w:t>31 March 2013</w:t>
      </w:r>
      <w:r w:rsidRPr="002F17B5">
        <w:rPr>
          <w:szCs w:val="18"/>
        </w:rPr>
        <w:t xml:space="preserve">. </w:t>
      </w:r>
      <w:r w:rsidR="008A6E20" w:rsidRPr="002F17B5">
        <w:rPr>
          <w:szCs w:val="18"/>
        </w:rPr>
        <w:t xml:space="preserve"> After consideration no requirement had arisen in </w:t>
      </w:r>
      <w:r w:rsidR="00CD4CF3" w:rsidRPr="002F17B5">
        <w:rPr>
          <w:szCs w:val="18"/>
        </w:rPr>
        <w:t>2013/14</w:t>
      </w:r>
    </w:p>
    <w:p w:rsidR="00B70B4B" w:rsidRPr="002F17B5" w:rsidRDefault="00B70B4B">
      <w:pPr>
        <w:autoSpaceDE/>
        <w:autoSpaceDN/>
        <w:adjustRightInd/>
        <w:spacing w:before="0" w:after="0"/>
        <w:ind w:left="851"/>
        <w:rPr>
          <w:sz w:val="30"/>
          <w:szCs w:val="18"/>
        </w:rPr>
      </w:pPr>
    </w:p>
    <w:p w:rsidR="009D483F" w:rsidRPr="002F17B5" w:rsidRDefault="009D483F" w:rsidP="00FF4391">
      <w:pPr>
        <w:pStyle w:val="ListParagraph"/>
        <w:numPr>
          <w:ilvl w:val="0"/>
          <w:numId w:val="39"/>
        </w:numPr>
        <w:autoSpaceDE/>
        <w:autoSpaceDN/>
        <w:adjustRightInd/>
        <w:spacing w:before="0" w:after="0"/>
        <w:ind w:left="473"/>
        <w:rPr>
          <w:szCs w:val="18"/>
        </w:rPr>
      </w:pPr>
      <w:r w:rsidRPr="002F17B5">
        <w:t>The fixed assets figure inclu</w:t>
      </w:r>
      <w:r w:rsidR="00D0122A" w:rsidRPr="002F17B5">
        <w:t>des properties valued at some £589</w:t>
      </w:r>
      <w:r w:rsidRPr="002F17B5">
        <w:t>million which are not owned by the county council.  These are principally voluntary aided schools which form approximately 50% of schools in Lancashire.  These schools and the use of the buildings are essential for the county council to fulfil its statutory duties for the provision of education.  The decision to include these assets within the county council’s Balance Sheet is a critical judgment which enables the county council’s Balance Sheet to fairly reflect the value of the assets used in providing the service.</w:t>
      </w:r>
    </w:p>
    <w:p w:rsidR="007516C5" w:rsidRPr="002F17B5" w:rsidRDefault="007516C5" w:rsidP="007516C5">
      <w:pPr>
        <w:autoSpaceDE/>
        <w:autoSpaceDN/>
        <w:adjustRightInd/>
        <w:spacing w:before="0" w:after="0"/>
        <w:ind w:left="851"/>
        <w:rPr>
          <w:szCs w:val="18"/>
        </w:rPr>
      </w:pPr>
    </w:p>
    <w:p w:rsidR="00AF3DAE" w:rsidRPr="002F17B5" w:rsidRDefault="00AF3DAE" w:rsidP="007516C5">
      <w:pPr>
        <w:autoSpaceDE/>
        <w:autoSpaceDN/>
        <w:adjustRightInd/>
        <w:spacing w:before="0" w:after="0"/>
        <w:ind w:left="851"/>
        <w:rPr>
          <w:szCs w:val="18"/>
        </w:rPr>
      </w:pPr>
    </w:p>
    <w:p w:rsidR="00AF3DAE" w:rsidRPr="002F17B5" w:rsidRDefault="00AF3DAE" w:rsidP="007516C5">
      <w:pPr>
        <w:autoSpaceDE/>
        <w:autoSpaceDN/>
        <w:adjustRightInd/>
        <w:spacing w:before="0" w:after="0"/>
        <w:ind w:left="851"/>
        <w:rPr>
          <w:szCs w:val="18"/>
        </w:rPr>
      </w:pPr>
    </w:p>
    <w:p w:rsidR="00753FFD" w:rsidRPr="002F17B5" w:rsidRDefault="009B0A67" w:rsidP="007516C5">
      <w:pPr>
        <w:pStyle w:val="Heading3-numbered"/>
        <w:ind w:left="425" w:hanging="425"/>
        <w:rPr>
          <w:i w:val="0"/>
          <w:sz w:val="26"/>
        </w:rPr>
      </w:pPr>
      <w:r w:rsidRPr="002F17B5">
        <w:rPr>
          <w:i w:val="0"/>
          <w:sz w:val="26"/>
        </w:rPr>
        <w:t xml:space="preserve"> </w:t>
      </w:r>
      <w:r w:rsidR="00AB4059" w:rsidRPr="002F17B5">
        <w:rPr>
          <w:i w:val="0"/>
          <w:sz w:val="26"/>
        </w:rPr>
        <w:t>Accounting Standards that have been issued but have not yet been adopted</w:t>
      </w:r>
      <w:r w:rsidR="00BD3100" w:rsidRPr="002F17B5">
        <w:rPr>
          <w:i w:val="0"/>
          <w:sz w:val="26"/>
        </w:rPr>
        <w:t xml:space="preserve"> </w:t>
      </w:r>
    </w:p>
    <w:p w:rsidR="00093721" w:rsidRPr="002F17B5" w:rsidRDefault="00093721" w:rsidP="005306DF">
      <w:pPr>
        <w:rPr>
          <w:sz w:val="2"/>
          <w:szCs w:val="18"/>
        </w:rPr>
      </w:pPr>
    </w:p>
    <w:p w:rsidR="00093721" w:rsidRPr="002F17B5" w:rsidRDefault="00E86A63" w:rsidP="00093721">
      <w:r w:rsidRPr="002F17B5">
        <w:t>The</w:t>
      </w:r>
      <w:r w:rsidR="00093721" w:rsidRPr="002F17B5">
        <w:t xml:space="preserve"> amendment</w:t>
      </w:r>
      <w:r w:rsidRPr="002F17B5">
        <w:t>s</w:t>
      </w:r>
      <w:r w:rsidR="00AE687B" w:rsidRPr="002F17B5">
        <w:t xml:space="preserve"> to accounting standards</w:t>
      </w:r>
      <w:r w:rsidR="00093721" w:rsidRPr="002F17B5">
        <w:t xml:space="preserve"> </w:t>
      </w:r>
      <w:r w:rsidRPr="002F17B5">
        <w:t>that have</w:t>
      </w:r>
      <w:r w:rsidR="00093721" w:rsidRPr="002F17B5">
        <w:t xml:space="preserve"> been issued on or before 1 January 2013 but not yet adopted by the Code</w:t>
      </w:r>
      <w:r w:rsidR="00E323FC" w:rsidRPr="002F17B5">
        <w:t xml:space="preserve"> have been considered and </w:t>
      </w:r>
      <w:r w:rsidRPr="002F17B5">
        <w:t>won't have a material impact on the accounts.</w:t>
      </w:r>
    </w:p>
    <w:p w:rsidR="00D45934" w:rsidRPr="00FF4391" w:rsidRDefault="00D45934" w:rsidP="005306DF">
      <w:pPr>
        <w:rPr>
          <w:sz w:val="18"/>
          <w:szCs w:val="18"/>
        </w:rPr>
      </w:pPr>
    </w:p>
    <w:p w:rsidR="00B34E61" w:rsidRPr="002F17B5" w:rsidRDefault="00B34E61" w:rsidP="005306DF">
      <w:pPr>
        <w:rPr>
          <w:sz w:val="22"/>
          <w:szCs w:val="18"/>
        </w:rPr>
      </w:pPr>
    </w:p>
    <w:p w:rsidR="00753FFD" w:rsidRPr="002F17B5" w:rsidRDefault="00AB4059" w:rsidP="00DC64EB">
      <w:pPr>
        <w:pStyle w:val="Heading3-numbered"/>
        <w:ind w:left="426" w:hanging="426"/>
        <w:rPr>
          <w:i w:val="0"/>
          <w:color w:val="FF0000"/>
          <w:sz w:val="26"/>
        </w:rPr>
      </w:pPr>
      <w:r w:rsidRPr="002F17B5">
        <w:rPr>
          <w:i w:val="0"/>
          <w:sz w:val="26"/>
        </w:rPr>
        <w:t xml:space="preserve">Assumptions made about the future and other major sources of estimation uncertainty </w:t>
      </w:r>
    </w:p>
    <w:p w:rsidR="00B70B4B" w:rsidRPr="00FF4391" w:rsidRDefault="00B70B4B">
      <w:pPr>
        <w:pStyle w:val="Heading3-numbered"/>
        <w:numPr>
          <w:ilvl w:val="0"/>
          <w:numId w:val="0"/>
        </w:numPr>
        <w:ind w:left="426"/>
        <w:rPr>
          <w:i w:val="0"/>
          <w:sz w:val="10"/>
        </w:rPr>
      </w:pPr>
    </w:p>
    <w:p w:rsidR="00093721" w:rsidRPr="002F17B5" w:rsidRDefault="00093721" w:rsidP="00093721">
      <w:pPr>
        <w:pStyle w:val="ListParagraph"/>
        <w:ind w:left="0"/>
        <w:rPr>
          <w:szCs w:val="18"/>
        </w:rPr>
      </w:pPr>
      <w:r w:rsidRPr="002F17B5">
        <w:rPr>
          <w:szCs w:val="18"/>
        </w:rPr>
        <w:t>The Statement of Accounts contains estimated figures that are based on assumptions made by the county council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rsidR="00093721" w:rsidRPr="002F17B5" w:rsidRDefault="00093721" w:rsidP="00093721">
      <w:pPr>
        <w:pStyle w:val="ListParagraph"/>
        <w:rPr>
          <w:sz w:val="30"/>
          <w:szCs w:val="18"/>
        </w:rPr>
      </w:pPr>
    </w:p>
    <w:p w:rsidR="00AE687B" w:rsidRPr="002F17B5" w:rsidRDefault="00093721" w:rsidP="00AE687B">
      <w:pPr>
        <w:pStyle w:val="ListParagraph"/>
        <w:ind w:left="0"/>
        <w:rPr>
          <w:szCs w:val="18"/>
        </w:rPr>
      </w:pPr>
      <w:r w:rsidRPr="002F17B5">
        <w:rPr>
          <w:szCs w:val="18"/>
        </w:rPr>
        <w:t>The items in the council's balance sheet at 31</w:t>
      </w:r>
      <w:r w:rsidR="00AE687B" w:rsidRPr="002F17B5">
        <w:rPr>
          <w:szCs w:val="18"/>
          <w:vertAlign w:val="superscript"/>
        </w:rPr>
        <w:t>st</w:t>
      </w:r>
      <w:r w:rsidR="00AE687B" w:rsidRPr="002F17B5">
        <w:rPr>
          <w:szCs w:val="18"/>
        </w:rPr>
        <w:t xml:space="preserve"> M</w:t>
      </w:r>
      <w:r w:rsidRPr="002F17B5">
        <w:rPr>
          <w:szCs w:val="18"/>
        </w:rPr>
        <w:t>arch 201</w:t>
      </w:r>
      <w:r w:rsidR="008768A5">
        <w:rPr>
          <w:szCs w:val="18"/>
        </w:rPr>
        <w:t>4</w:t>
      </w:r>
      <w:r w:rsidRPr="002F17B5">
        <w:rPr>
          <w:szCs w:val="18"/>
        </w:rPr>
        <w:t xml:space="preserve"> for which there is a significant risk of material adjustment in the forthcoming financial year are as follows</w:t>
      </w:r>
      <w:r w:rsidR="00AE687B" w:rsidRPr="002F17B5">
        <w:rPr>
          <w:szCs w:val="18"/>
        </w:rPr>
        <w:t>:</w:t>
      </w:r>
    </w:p>
    <w:p w:rsidR="00F45047" w:rsidRPr="002F17B5" w:rsidRDefault="00F45047" w:rsidP="00AE687B">
      <w:pPr>
        <w:pStyle w:val="ListParagraph"/>
        <w:ind w:left="0"/>
        <w:rPr>
          <w:szCs w:val="18"/>
        </w:rPr>
      </w:pPr>
    </w:p>
    <w:p w:rsidR="00F45047" w:rsidRPr="002F17B5" w:rsidRDefault="00F45047" w:rsidP="00D14D28">
      <w:pPr>
        <w:ind w:firstLine="284"/>
        <w:rPr>
          <w:b/>
          <w:color w:val="FF0000"/>
          <w:szCs w:val="18"/>
        </w:rPr>
      </w:pPr>
      <w:r w:rsidRPr="002F17B5">
        <w:rPr>
          <w:b/>
          <w:szCs w:val="18"/>
        </w:rPr>
        <w:t>Arrears</w:t>
      </w:r>
      <w:r w:rsidR="005D6253" w:rsidRPr="002F17B5">
        <w:rPr>
          <w:b/>
          <w:szCs w:val="18"/>
        </w:rPr>
        <w:t xml:space="preserve"> </w:t>
      </w:r>
    </w:p>
    <w:p w:rsidR="006920A2" w:rsidRDefault="005D3E0E" w:rsidP="009A4C35">
      <w:pPr>
        <w:pStyle w:val="ListParagraph"/>
        <w:numPr>
          <w:ilvl w:val="0"/>
          <w:numId w:val="71"/>
        </w:numPr>
      </w:pPr>
      <w:r w:rsidRPr="002F17B5">
        <w:t>Uncertainties</w:t>
      </w:r>
    </w:p>
    <w:p w:rsidR="00FF4391" w:rsidRPr="00FF4391" w:rsidRDefault="00FF4391" w:rsidP="00FF4391">
      <w:pPr>
        <w:pStyle w:val="ListParagraph"/>
        <w:ind w:left="644"/>
        <w:rPr>
          <w:sz w:val="16"/>
        </w:rPr>
      </w:pPr>
    </w:p>
    <w:p w:rsidR="006920A2" w:rsidRPr="002F17B5" w:rsidRDefault="005D3E0E" w:rsidP="006920A2">
      <w:pPr>
        <w:pStyle w:val="ListParagraph"/>
        <w:ind w:left="644"/>
      </w:pPr>
      <w:r w:rsidRPr="002F17B5">
        <w:t>The average balance of sundry debtors during the year was £44.3million. A review of significant balances suggested an appropriate impairment of doubtful debt as at 31</w:t>
      </w:r>
      <w:r w:rsidRPr="002F17B5">
        <w:rPr>
          <w:vertAlign w:val="superscript"/>
        </w:rPr>
        <w:t>st</w:t>
      </w:r>
      <w:r w:rsidRPr="002F17B5">
        <w:t xml:space="preserve"> March 2014 was £11.2m. </w:t>
      </w:r>
    </w:p>
    <w:p w:rsidR="0092111A" w:rsidRPr="00FF4391" w:rsidRDefault="0092111A" w:rsidP="006920A2">
      <w:pPr>
        <w:pStyle w:val="ListParagraph"/>
        <w:ind w:left="644"/>
        <w:rPr>
          <w:sz w:val="22"/>
        </w:rPr>
      </w:pPr>
    </w:p>
    <w:p w:rsidR="0092111A" w:rsidRPr="002F17B5" w:rsidRDefault="005D3E0E" w:rsidP="006920A2">
      <w:pPr>
        <w:pStyle w:val="ListParagraph"/>
        <w:ind w:left="644"/>
      </w:pPr>
      <w:r w:rsidRPr="002F17B5">
        <w:t>The balance of council tax arrears as at 31</w:t>
      </w:r>
      <w:r w:rsidRPr="002F17B5">
        <w:rPr>
          <w:vertAlign w:val="superscript"/>
        </w:rPr>
        <w:t>st</w:t>
      </w:r>
      <w:r w:rsidRPr="002F17B5">
        <w:t xml:space="preserve"> March 2014 was £33.4m. An appropriate impairment as at 31</w:t>
      </w:r>
      <w:r w:rsidRPr="002F17B5">
        <w:rPr>
          <w:vertAlign w:val="superscript"/>
        </w:rPr>
        <w:t>st</w:t>
      </w:r>
      <w:r w:rsidRPr="002F17B5">
        <w:t xml:space="preserve"> March 2014 was £18.7m.</w:t>
      </w:r>
    </w:p>
    <w:p w:rsidR="0092111A" w:rsidRPr="002F17B5" w:rsidRDefault="005D3E0E" w:rsidP="006920A2">
      <w:pPr>
        <w:pStyle w:val="ListParagraph"/>
        <w:ind w:left="644"/>
      </w:pPr>
      <w:r w:rsidRPr="002F17B5">
        <w:t>The balance of non domestic business rate arrears as at 31</w:t>
      </w:r>
      <w:r w:rsidRPr="002F17B5">
        <w:rPr>
          <w:vertAlign w:val="superscript"/>
        </w:rPr>
        <w:t>st</w:t>
      </w:r>
      <w:r w:rsidRPr="002F17B5">
        <w:t xml:space="preserve"> March 2014 was £1.6m. An appropriate impairment as at 31</w:t>
      </w:r>
      <w:r w:rsidRPr="002F17B5">
        <w:rPr>
          <w:vertAlign w:val="superscript"/>
        </w:rPr>
        <w:t>st</w:t>
      </w:r>
      <w:r w:rsidRPr="002F17B5">
        <w:t xml:space="preserve"> March was £0.9m.</w:t>
      </w:r>
    </w:p>
    <w:p w:rsidR="0092111A" w:rsidRPr="002F17B5" w:rsidRDefault="0092111A" w:rsidP="006920A2">
      <w:pPr>
        <w:pStyle w:val="ListParagraph"/>
        <w:ind w:left="644"/>
      </w:pPr>
    </w:p>
    <w:p w:rsidR="0092111A" w:rsidRPr="002F17B5" w:rsidRDefault="005D3E0E" w:rsidP="006920A2">
      <w:pPr>
        <w:pStyle w:val="ListParagraph"/>
        <w:ind w:left="644"/>
      </w:pPr>
      <w:r w:rsidRPr="002F17B5">
        <w:t>However in the current economic climate it is not certain that such an allowance would be sufficient.</w:t>
      </w:r>
    </w:p>
    <w:p w:rsidR="0092111A" w:rsidRPr="002F17B5" w:rsidRDefault="0092111A" w:rsidP="006920A2">
      <w:pPr>
        <w:pStyle w:val="ListParagraph"/>
        <w:ind w:left="644"/>
        <w:rPr>
          <w:sz w:val="14"/>
        </w:rPr>
      </w:pPr>
    </w:p>
    <w:p w:rsidR="0092111A" w:rsidRPr="002F17B5" w:rsidRDefault="0092111A" w:rsidP="006920A2">
      <w:pPr>
        <w:pStyle w:val="ListParagraph"/>
        <w:ind w:left="644"/>
        <w:rPr>
          <w:sz w:val="14"/>
        </w:rPr>
      </w:pPr>
    </w:p>
    <w:p w:rsidR="0092111A" w:rsidRDefault="005D3E0E" w:rsidP="009A4C35">
      <w:pPr>
        <w:pStyle w:val="ListParagraph"/>
        <w:numPr>
          <w:ilvl w:val="0"/>
          <w:numId w:val="71"/>
        </w:numPr>
      </w:pPr>
      <w:r w:rsidRPr="002F17B5">
        <w:t>Effect if results differ from assumptions</w:t>
      </w:r>
    </w:p>
    <w:p w:rsidR="00FF4391" w:rsidRPr="00FF4391" w:rsidRDefault="00FF4391" w:rsidP="00FF4391">
      <w:pPr>
        <w:pStyle w:val="ListParagraph"/>
        <w:ind w:left="644"/>
        <w:rPr>
          <w:sz w:val="16"/>
        </w:rPr>
      </w:pPr>
    </w:p>
    <w:p w:rsidR="0092111A" w:rsidRPr="002F17B5" w:rsidRDefault="005D3E0E" w:rsidP="0092111A">
      <w:pPr>
        <w:pStyle w:val="ListParagraph"/>
        <w:ind w:left="644"/>
      </w:pPr>
      <w:r w:rsidRPr="002F17B5">
        <w:t>If collection rates were to deteriorate, a doubling of the amount of impairment of doubtful debts would require an additional £30.8million to be set aside as an allowance.</w:t>
      </w:r>
    </w:p>
    <w:p w:rsidR="006920A2" w:rsidRPr="002F17B5" w:rsidRDefault="006920A2" w:rsidP="00F45047"/>
    <w:p w:rsidR="00F45047" w:rsidRPr="002F17B5" w:rsidRDefault="00F45047" w:rsidP="00D14D28">
      <w:pPr>
        <w:ind w:firstLine="567"/>
      </w:pPr>
      <w:r w:rsidRPr="002F17B5">
        <w:rPr>
          <w:b/>
        </w:rPr>
        <w:t>Pensions Liability</w:t>
      </w:r>
      <w:r w:rsidR="005D6253" w:rsidRPr="002F17B5">
        <w:rPr>
          <w:b/>
        </w:rPr>
        <w:t xml:space="preserve"> </w:t>
      </w:r>
    </w:p>
    <w:p w:rsidR="007F16B4" w:rsidRPr="002F17B5" w:rsidRDefault="007F16B4" w:rsidP="007F16B4">
      <w:pPr>
        <w:pStyle w:val="ListParagraph"/>
        <w:rPr>
          <w:sz w:val="12"/>
        </w:rPr>
      </w:pPr>
    </w:p>
    <w:p w:rsidR="00F45047" w:rsidRPr="002F17B5" w:rsidRDefault="00F45047" w:rsidP="00D55D63">
      <w:pPr>
        <w:pStyle w:val="ListParagraph"/>
        <w:numPr>
          <w:ilvl w:val="1"/>
          <w:numId w:val="66"/>
        </w:numPr>
        <w:ind w:left="709" w:hanging="425"/>
        <w:rPr>
          <w:szCs w:val="18"/>
        </w:rPr>
      </w:pPr>
      <w:r w:rsidRPr="002F17B5">
        <w:rPr>
          <w:szCs w:val="18"/>
        </w:rPr>
        <w:t>Uncertainties:</w:t>
      </w:r>
    </w:p>
    <w:p w:rsidR="00F45047" w:rsidRPr="002F17B5" w:rsidRDefault="00F45047" w:rsidP="00686F84">
      <w:pPr>
        <w:ind w:left="709"/>
      </w:pPr>
      <w:r w:rsidRPr="002F17B5">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(Mercers) is engaged to provide the council with expert advice about the assumptions to be applied.</w:t>
      </w:r>
    </w:p>
    <w:p w:rsidR="00F45047" w:rsidRPr="002F17B5" w:rsidRDefault="00F45047" w:rsidP="00686F84">
      <w:pPr>
        <w:ind w:left="709"/>
      </w:pPr>
      <w:r w:rsidRPr="002F17B5">
        <w:t xml:space="preserve">(see </w:t>
      </w:r>
      <w:r w:rsidR="00EF7C91" w:rsidRPr="002F17B5">
        <w:t>note 4</w:t>
      </w:r>
      <w:r w:rsidR="00125764">
        <w:t>1</w:t>
      </w:r>
      <w:r w:rsidRPr="002F17B5">
        <w:t>)</w:t>
      </w:r>
    </w:p>
    <w:p w:rsidR="007F16B4" w:rsidRPr="002F17B5" w:rsidRDefault="007F16B4" w:rsidP="00686F84">
      <w:pPr>
        <w:ind w:left="709" w:firstLine="720"/>
        <w:rPr>
          <w:sz w:val="12"/>
          <w:szCs w:val="18"/>
        </w:rPr>
      </w:pPr>
    </w:p>
    <w:p w:rsidR="00F45047" w:rsidRPr="002F17B5" w:rsidRDefault="00F45047" w:rsidP="00D55D63">
      <w:pPr>
        <w:pStyle w:val="ListParagraph"/>
        <w:numPr>
          <w:ilvl w:val="1"/>
          <w:numId w:val="66"/>
        </w:numPr>
        <w:ind w:left="709" w:hanging="425"/>
      </w:pPr>
      <w:r w:rsidRPr="002F17B5">
        <w:t>Effect if actual results differ from assumptions:</w:t>
      </w:r>
    </w:p>
    <w:p w:rsidR="00C647F8" w:rsidRPr="002F17B5" w:rsidRDefault="00C647F8" w:rsidP="00CA2D33">
      <w:pPr>
        <w:ind w:left="709"/>
      </w:pPr>
      <w:r w:rsidRPr="002F17B5">
        <w:t>The effects on the net pension liability of changes in individual assumptions can be measured. For instance, a 0.5% increase in the discount rate assumption would reduce the value of the liabilities by approximately £254 million.  A 0.25% increase in assumed earnings inflation would increase the value of the liabilities by approximately £130m and a 1 year increase in assumed life expectancy would increase the liabilities by approximately £56m.</w:t>
      </w:r>
    </w:p>
    <w:p w:rsidR="00F45047" w:rsidRPr="002F17B5" w:rsidRDefault="00F45047" w:rsidP="00686F84">
      <w:pPr>
        <w:ind w:left="709"/>
      </w:pPr>
    </w:p>
    <w:p w:rsidR="00F45047" w:rsidRPr="002F17B5" w:rsidRDefault="00F45047" w:rsidP="00686F84">
      <w:pPr>
        <w:ind w:left="709"/>
        <w:rPr>
          <w:b/>
          <w:color w:val="FF0000"/>
        </w:rPr>
      </w:pPr>
      <w:r w:rsidRPr="002F17B5">
        <w:rPr>
          <w:b/>
        </w:rPr>
        <w:t>Pro</w:t>
      </w:r>
      <w:r w:rsidR="007F16B4" w:rsidRPr="002F17B5">
        <w:rPr>
          <w:b/>
        </w:rPr>
        <w:t>perty, Plant and Equipment (PPE)</w:t>
      </w:r>
      <w:r w:rsidR="0069131A" w:rsidRPr="002F17B5">
        <w:rPr>
          <w:b/>
        </w:rPr>
        <w:t xml:space="preserve"> </w:t>
      </w:r>
    </w:p>
    <w:p w:rsidR="007F16B4" w:rsidRPr="002F17B5" w:rsidRDefault="007F16B4" w:rsidP="00686F84">
      <w:pPr>
        <w:pStyle w:val="ListParagraph"/>
        <w:ind w:left="709"/>
        <w:rPr>
          <w:b/>
          <w:sz w:val="12"/>
        </w:rPr>
      </w:pPr>
    </w:p>
    <w:p w:rsidR="00F45047" w:rsidRPr="002F17B5" w:rsidRDefault="00F45047" w:rsidP="00D55D63">
      <w:pPr>
        <w:pStyle w:val="ListParagraph"/>
        <w:numPr>
          <w:ilvl w:val="1"/>
          <w:numId w:val="66"/>
        </w:numPr>
        <w:ind w:left="709" w:hanging="425"/>
        <w:rPr>
          <w:szCs w:val="18"/>
        </w:rPr>
      </w:pPr>
      <w:r w:rsidRPr="002F17B5">
        <w:rPr>
          <w:szCs w:val="18"/>
        </w:rPr>
        <w:t>Uncertainties:</w:t>
      </w:r>
    </w:p>
    <w:p w:rsidR="00F45047" w:rsidRPr="002F17B5" w:rsidRDefault="00F45047" w:rsidP="00686F84">
      <w:pPr>
        <w:ind w:left="709"/>
      </w:pPr>
      <w:r w:rsidRPr="002F17B5">
        <w:t>The value of the PPE is dependent upon professional judgement based on information available at the time of valuation. Due to changes in Economic conditions, a valuation taken on a different date could potentially result in a different valuation</w:t>
      </w:r>
    </w:p>
    <w:p w:rsidR="00F45047" w:rsidRPr="002F17B5" w:rsidRDefault="00F45047" w:rsidP="00686F84">
      <w:pPr>
        <w:ind w:left="709"/>
      </w:pPr>
      <w:r w:rsidRPr="002F17B5">
        <w:lastRenderedPageBreak/>
        <w:t>(see note 2</w:t>
      </w:r>
      <w:r w:rsidR="00125764">
        <w:t>2</w:t>
      </w:r>
      <w:r w:rsidRPr="002F17B5">
        <w:t>)</w:t>
      </w:r>
    </w:p>
    <w:p w:rsidR="007F16B4" w:rsidRPr="002F17B5" w:rsidRDefault="007F16B4" w:rsidP="00686F84">
      <w:pPr>
        <w:ind w:left="709"/>
        <w:rPr>
          <w:sz w:val="12"/>
        </w:rPr>
      </w:pPr>
    </w:p>
    <w:p w:rsidR="00F45047" w:rsidRPr="002F17B5" w:rsidRDefault="00F45047" w:rsidP="00D55D63">
      <w:pPr>
        <w:pStyle w:val="ListParagraph"/>
        <w:numPr>
          <w:ilvl w:val="1"/>
          <w:numId w:val="66"/>
        </w:numPr>
        <w:ind w:left="709" w:hanging="425"/>
        <w:contextualSpacing w:val="0"/>
      </w:pPr>
      <w:r w:rsidRPr="002F17B5">
        <w:t>Effect if actual results differ from assumptions:</w:t>
      </w:r>
    </w:p>
    <w:p w:rsidR="00F45047" w:rsidRPr="002F17B5" w:rsidRDefault="007F16B4" w:rsidP="00686F84">
      <w:pPr>
        <w:pStyle w:val="ListParagraph"/>
        <w:ind w:left="709"/>
      </w:pPr>
      <w:r w:rsidRPr="002F17B5">
        <w:t>Impossible to quantify as economic changes could lead to an increase or decrease in the value of PPE</w:t>
      </w:r>
      <w:r w:rsidR="00982A2E" w:rsidRPr="002F17B5">
        <w:t>. However the overall valuation is considered to ensure that PPE is not materially misstated at 31 March</w:t>
      </w:r>
      <w:r w:rsidR="00B72452">
        <w:t xml:space="preserve"> 2014</w:t>
      </w:r>
    </w:p>
    <w:p w:rsidR="00D77D0D" w:rsidRPr="002F17B5" w:rsidRDefault="00D77D0D" w:rsidP="00D77D0D">
      <w:pPr>
        <w:spacing w:after="240"/>
        <w:rPr>
          <w:sz w:val="4"/>
        </w:rPr>
      </w:pPr>
    </w:p>
    <w:p w:rsidR="00EA3438" w:rsidRPr="002F17B5" w:rsidRDefault="00EA3438" w:rsidP="00FF4391">
      <w:pPr>
        <w:pStyle w:val="Heading3-numbered"/>
        <w:ind w:left="644" w:hanging="644"/>
        <w:rPr>
          <w:i w:val="0"/>
          <w:sz w:val="20"/>
          <w:szCs w:val="22"/>
        </w:rPr>
      </w:pPr>
      <w:r w:rsidRPr="002F17B5">
        <w:rPr>
          <w:i w:val="0"/>
          <w:sz w:val="26"/>
        </w:rPr>
        <w:t>Statutory charge for the repayment of debt</w:t>
      </w:r>
    </w:p>
    <w:p w:rsidR="00C9635B" w:rsidRPr="002F17B5" w:rsidRDefault="00C9635B" w:rsidP="00C9635B">
      <w:pPr>
        <w:pStyle w:val="Heading3-numbered"/>
        <w:numPr>
          <w:ilvl w:val="0"/>
          <w:numId w:val="0"/>
        </w:numPr>
        <w:ind w:left="360"/>
        <w:rPr>
          <w:i w:val="0"/>
          <w:sz w:val="12"/>
          <w:szCs w:val="22"/>
        </w:rPr>
      </w:pPr>
    </w:p>
    <w:p w:rsidR="00D77D0D" w:rsidRPr="002F17B5" w:rsidRDefault="00D77D0D" w:rsidP="00FF4391">
      <w:pPr>
        <w:spacing w:after="240"/>
        <w:ind w:left="397" w:right="170"/>
      </w:pPr>
      <w:r w:rsidRPr="002F17B5">
        <w:t xml:space="preserve">Our accounts must include a charge for the repayment of debt. This charge must be at least 4% of our adjusted capital financing requirements at the start of the year. For </w:t>
      </w:r>
      <w:r w:rsidR="00CD4CF3" w:rsidRPr="002F17B5">
        <w:t>2013/14</w:t>
      </w:r>
      <w:r w:rsidR="0089493D" w:rsidRPr="002F17B5">
        <w:t xml:space="preserve"> this charge is £27.6</w:t>
      </w:r>
      <w:r w:rsidR="007A09F7" w:rsidRPr="002F17B5">
        <w:t>m</w:t>
      </w:r>
      <w:r w:rsidRPr="002F17B5">
        <w:t xml:space="preserve"> (£</w:t>
      </w:r>
      <w:r w:rsidR="0089493D" w:rsidRPr="002F17B5">
        <w:t>28.9m</w:t>
      </w:r>
      <w:r w:rsidRPr="002F17B5">
        <w:t xml:space="preserve"> in </w:t>
      </w:r>
      <w:r w:rsidR="00CD4CF3" w:rsidRPr="002F17B5">
        <w:t>2012/13</w:t>
      </w:r>
      <w:r w:rsidRPr="002F17B5">
        <w:t>).</w:t>
      </w:r>
    </w:p>
    <w:p w:rsidR="00C9635B" w:rsidRPr="002F17B5" w:rsidRDefault="00C9635B" w:rsidP="00FF4391">
      <w:pPr>
        <w:spacing w:after="240"/>
        <w:ind w:left="397" w:right="170"/>
        <w:rPr>
          <w:sz w:val="2"/>
        </w:rPr>
      </w:pPr>
    </w:p>
    <w:p w:rsidR="00D77D0D" w:rsidRPr="002F17B5" w:rsidRDefault="00233E4B" w:rsidP="00FF4391">
      <w:pPr>
        <w:spacing w:after="240"/>
        <w:ind w:left="397" w:right="170"/>
      </w:pPr>
      <w:r w:rsidRPr="002F17B5">
        <w:t>£27.</w:t>
      </w:r>
      <w:r w:rsidR="00746A1C" w:rsidRPr="002F17B5">
        <w:t>5</w:t>
      </w:r>
      <w:r w:rsidR="002766E8" w:rsidRPr="002F17B5">
        <w:t>m</w:t>
      </w:r>
      <w:r w:rsidR="00D77D0D" w:rsidRPr="002F17B5">
        <w:t xml:space="preserve"> of this is shown within the Comprehensive Income and Expenditure </w:t>
      </w:r>
      <w:r w:rsidR="00801B20" w:rsidRPr="002F17B5">
        <w:t>Statement</w:t>
      </w:r>
      <w:r w:rsidR="00D77D0D" w:rsidRPr="002F17B5">
        <w:t xml:space="preserve">.  Blackpool Council pay a contribution towards the capital financing charges related to the Waste PFI site, which in </w:t>
      </w:r>
      <w:r w:rsidR="00CD4CF3" w:rsidRPr="002F17B5">
        <w:t>2013/14</w:t>
      </w:r>
      <w:r w:rsidR="00D77D0D" w:rsidRPr="002F17B5">
        <w:t xml:space="preserve"> was £0.1</w:t>
      </w:r>
      <w:r w:rsidR="002766E8" w:rsidRPr="002F17B5">
        <w:t>m</w:t>
      </w:r>
      <w:r w:rsidR="00D77D0D" w:rsidRPr="002F17B5">
        <w:t xml:space="preserve"> (also £0.1</w:t>
      </w:r>
      <w:r w:rsidR="002766E8" w:rsidRPr="002F17B5">
        <w:t>m</w:t>
      </w:r>
      <w:r w:rsidR="00D77D0D" w:rsidRPr="002F17B5">
        <w:t xml:space="preserve"> in </w:t>
      </w:r>
      <w:r w:rsidR="00CD4CF3" w:rsidRPr="002F17B5">
        <w:t>2012/13</w:t>
      </w:r>
      <w:r w:rsidR="00D77D0D" w:rsidRPr="002F17B5">
        <w:t>). This is deducted from the Minimum Revenue Provision figure in the Compre</w:t>
      </w:r>
      <w:r w:rsidR="00801B20" w:rsidRPr="002F17B5">
        <w:t>hensive Income and Expenditure Statement</w:t>
      </w:r>
      <w:r w:rsidR="00D77D0D" w:rsidRPr="002F17B5">
        <w:t xml:space="preserve">. </w:t>
      </w:r>
    </w:p>
    <w:p w:rsidR="00C9635B" w:rsidRPr="002F17B5" w:rsidRDefault="00C9635B" w:rsidP="00FF4391">
      <w:pPr>
        <w:spacing w:after="240"/>
        <w:ind w:left="397" w:right="170"/>
        <w:rPr>
          <w:sz w:val="2"/>
        </w:rPr>
      </w:pPr>
    </w:p>
    <w:p w:rsidR="00D77D0D" w:rsidRPr="002F17B5" w:rsidRDefault="00EF7C91" w:rsidP="00FF4391">
      <w:pPr>
        <w:spacing w:after="240"/>
        <w:ind w:left="397" w:right="170"/>
      </w:pPr>
      <w:r w:rsidRPr="002F17B5">
        <w:t xml:space="preserve">As shown in note </w:t>
      </w:r>
      <w:r w:rsidR="003B0690">
        <w:t>6</w:t>
      </w:r>
      <w:r w:rsidR="00D77D0D" w:rsidRPr="002F17B5">
        <w:t xml:space="preserve"> below, capital charges in the</w:t>
      </w:r>
      <w:r w:rsidR="00801B20" w:rsidRPr="002F17B5">
        <w:t xml:space="preserve"> Comprehensive</w:t>
      </w:r>
      <w:r w:rsidR="00D77D0D" w:rsidRPr="002F17B5">
        <w:t xml:space="preserve"> </w:t>
      </w:r>
      <w:r w:rsidR="00801B20" w:rsidRPr="002F17B5">
        <w:t>Income and E</w:t>
      </w:r>
      <w:r w:rsidR="00D77D0D" w:rsidRPr="002F17B5">
        <w:t xml:space="preserve">xpenditure </w:t>
      </w:r>
      <w:r w:rsidR="00801B20" w:rsidRPr="002F17B5">
        <w:t>Statement</w:t>
      </w:r>
      <w:r w:rsidR="00D77D0D" w:rsidRPr="002F17B5">
        <w:t xml:space="preserve"> (depreciation, impairment, amortisation and revenue expenditure funded from capital under statute) are reversed or cancelled out and replaced by this statutory charge. </w:t>
      </w:r>
    </w:p>
    <w:p w:rsidR="00C9635B" w:rsidRPr="002F17B5" w:rsidRDefault="00C9635B" w:rsidP="00FF4391">
      <w:pPr>
        <w:spacing w:after="240"/>
        <w:ind w:left="397" w:right="170"/>
        <w:rPr>
          <w:sz w:val="2"/>
        </w:rPr>
      </w:pPr>
    </w:p>
    <w:p w:rsidR="007A09F7" w:rsidRPr="002F17B5" w:rsidRDefault="007A09F7" w:rsidP="00FF4391">
      <w:pPr>
        <w:spacing w:after="240"/>
        <w:ind w:left="397" w:right="170"/>
      </w:pPr>
      <w:r w:rsidRPr="002F17B5">
        <w:t>In addition the PFI liabili</w:t>
      </w:r>
      <w:r w:rsidR="0089493D" w:rsidRPr="002F17B5">
        <w:t>ty has been written down by £7.6</w:t>
      </w:r>
      <w:r w:rsidR="002766E8" w:rsidRPr="002F17B5">
        <w:t>m</w:t>
      </w:r>
      <w:r w:rsidRPr="002F17B5">
        <w:t xml:space="preserve"> in </w:t>
      </w:r>
      <w:r w:rsidR="00CD4CF3" w:rsidRPr="002F17B5">
        <w:t>2013/14</w:t>
      </w:r>
      <w:r w:rsidRPr="002F17B5">
        <w:t xml:space="preserve"> (</w:t>
      </w:r>
      <w:r w:rsidR="00CD4CF3" w:rsidRPr="002F17B5">
        <w:t>2012/13</w:t>
      </w:r>
      <w:r w:rsidR="0089493D" w:rsidRPr="002F17B5">
        <w:t xml:space="preserve"> £</w:t>
      </w:r>
      <w:r w:rsidRPr="002F17B5">
        <w:t>7.9m).</w:t>
      </w:r>
    </w:p>
    <w:p w:rsidR="0065646C" w:rsidRPr="002F17B5" w:rsidRDefault="0065646C" w:rsidP="0065646C">
      <w:pPr>
        <w:pStyle w:val="BodyText10"/>
      </w:pPr>
    </w:p>
    <w:p w:rsidR="00AB4059" w:rsidRPr="002F17B5" w:rsidRDefault="00AB4059" w:rsidP="003B77BD">
      <w:pPr>
        <w:pStyle w:val="BodyText10"/>
      </w:pPr>
    </w:p>
    <w:p w:rsidR="00AB4059" w:rsidRPr="002F17B5" w:rsidRDefault="00AB4059" w:rsidP="00AB4059">
      <w:pPr>
        <w:rPr>
          <w:sz w:val="18"/>
          <w:szCs w:val="18"/>
        </w:rPr>
        <w:sectPr w:rsidR="00AB4059" w:rsidRPr="002F17B5" w:rsidSect="005957C9">
          <w:headerReference w:type="even" r:id="rId27"/>
          <w:headerReference w:type="default" r:id="rId28"/>
          <w:footerReference w:type="default" r:id="rId29"/>
          <w:headerReference w:type="first" r:id="rId30"/>
          <w:pgSz w:w="11906" w:h="16838" w:code="9"/>
          <w:pgMar w:top="720" w:right="720" w:bottom="720" w:left="720" w:header="709" w:footer="709" w:gutter="0"/>
          <w:pgNumType w:start="25"/>
          <w:cols w:space="708"/>
          <w:docGrid w:linePitch="360"/>
        </w:sectPr>
      </w:pPr>
    </w:p>
    <w:p w:rsidR="00753FFD" w:rsidRPr="002F17B5" w:rsidRDefault="00AB4059" w:rsidP="008C3748">
      <w:pPr>
        <w:pStyle w:val="Heading3"/>
        <w:rPr>
          <w:i w:val="0"/>
        </w:rPr>
      </w:pPr>
      <w:r w:rsidRPr="002F17B5">
        <w:rPr>
          <w:i w:val="0"/>
        </w:rPr>
        <w:lastRenderedPageBreak/>
        <w:t>Notes to the Movement in Reserves Statement</w:t>
      </w:r>
    </w:p>
    <w:p w:rsidR="003E1624" w:rsidRPr="00FF4391" w:rsidRDefault="003E1624" w:rsidP="00DC64EB">
      <w:pPr>
        <w:autoSpaceDE/>
        <w:autoSpaceDN/>
        <w:adjustRightInd/>
        <w:spacing w:after="20"/>
        <w:jc w:val="left"/>
        <w:rPr>
          <w:sz w:val="4"/>
        </w:rPr>
      </w:pPr>
    </w:p>
    <w:p w:rsidR="003E1624" w:rsidRPr="002F17B5" w:rsidRDefault="00286D86" w:rsidP="00686F84">
      <w:pPr>
        <w:pStyle w:val="Heading3-numbered"/>
        <w:ind w:hanging="644"/>
        <w:rPr>
          <w:i w:val="0"/>
          <w:sz w:val="26"/>
          <w:szCs w:val="26"/>
        </w:rPr>
      </w:pPr>
      <w:r w:rsidRPr="002F17B5">
        <w:rPr>
          <w:i w:val="0"/>
          <w:sz w:val="26"/>
          <w:szCs w:val="26"/>
        </w:rPr>
        <w:t xml:space="preserve">Adjustments between </w:t>
      </w:r>
      <w:r w:rsidR="00B72452">
        <w:rPr>
          <w:i w:val="0"/>
          <w:sz w:val="26"/>
          <w:szCs w:val="26"/>
        </w:rPr>
        <w:t>Accounting Basis &amp; Funding Basis Under</w:t>
      </w:r>
      <w:r w:rsidRPr="002F17B5">
        <w:rPr>
          <w:i w:val="0"/>
          <w:sz w:val="26"/>
          <w:szCs w:val="26"/>
        </w:rPr>
        <w:t xml:space="preserve"> Regulation</w:t>
      </w:r>
      <w:r w:rsidR="00B72452">
        <w:rPr>
          <w:i w:val="0"/>
          <w:sz w:val="26"/>
          <w:szCs w:val="26"/>
        </w:rPr>
        <w:t>s</w:t>
      </w:r>
    </w:p>
    <w:p w:rsidR="003E1624" w:rsidRPr="002F17B5" w:rsidRDefault="003E1624" w:rsidP="003E1624">
      <w:pPr>
        <w:spacing w:after="240"/>
      </w:pPr>
      <w:r w:rsidRPr="002F17B5">
        <w:t>This note details the adjustments that are made to the total comprehensive income and expenditure recognised by the council in the year in accordance with proper accounting practice to the resources that are specified by statutory provisions as being available to the council to meet future capital and revenue expenditure.</w:t>
      </w:r>
    </w:p>
    <w:p w:rsidR="003E1624" w:rsidRPr="002F17B5" w:rsidRDefault="00CD4CF3" w:rsidP="003E1624">
      <w:pPr>
        <w:spacing w:after="240"/>
        <w:rPr>
          <w:b/>
          <w:u w:val="single"/>
        </w:rPr>
      </w:pPr>
      <w:r w:rsidRPr="002F17B5">
        <w:rPr>
          <w:b/>
          <w:u w:val="single"/>
        </w:rPr>
        <w:t>2013/14</w:t>
      </w:r>
      <w:r w:rsidR="003E1624" w:rsidRPr="002F17B5">
        <w:rPr>
          <w:b/>
          <w:u w:val="single"/>
        </w:rPr>
        <w:t xml:space="preserve"> Adjustments</w:t>
      </w:r>
    </w:p>
    <w:tbl>
      <w:tblPr>
        <w:tblW w:w="15218" w:type="dxa"/>
        <w:jc w:val="center"/>
        <w:tblLayout w:type="fixed"/>
        <w:tblLook w:val="04A0" w:firstRow="1" w:lastRow="0" w:firstColumn="1" w:lastColumn="0" w:noHBand="0" w:noVBand="1"/>
      </w:tblPr>
      <w:tblGrid>
        <w:gridCol w:w="7807"/>
        <w:gridCol w:w="1559"/>
        <w:gridCol w:w="1601"/>
        <w:gridCol w:w="1701"/>
        <w:gridCol w:w="2550"/>
      </w:tblGrid>
      <w:tr w:rsidR="003E1624" w:rsidRPr="002F17B5" w:rsidTr="00142442">
        <w:trPr>
          <w:trHeight w:val="250"/>
          <w:jc w:val="center"/>
        </w:trPr>
        <w:tc>
          <w:tcPr>
            <w:tcW w:w="7807" w:type="dxa"/>
            <w:tcBorders>
              <w:top w:val="single" w:sz="8" w:space="0" w:color="auto"/>
              <w:left w:val="single" w:sz="8" w:space="0" w:color="auto"/>
              <w:bottom w:val="nil"/>
              <w:right w:val="nil"/>
            </w:tcBorders>
            <w:shd w:val="clear" w:color="auto" w:fill="FFFFFF" w:themeFill="background1"/>
            <w:vAlign w:val="bottom"/>
            <w:hideMark/>
          </w:tcPr>
          <w:p w:rsidR="003E1624" w:rsidRPr="002F17B5" w:rsidRDefault="003E1624" w:rsidP="003E1624">
            <w:pPr>
              <w:rPr>
                <w:sz w:val="20"/>
                <w:szCs w:val="20"/>
              </w:rPr>
            </w:pPr>
            <w:r w:rsidRPr="002F17B5">
              <w:rPr>
                <w:sz w:val="20"/>
                <w:szCs w:val="20"/>
              </w:rPr>
              <w:t> </w:t>
            </w:r>
          </w:p>
        </w:tc>
        <w:tc>
          <w:tcPr>
            <w:tcW w:w="4861" w:type="dxa"/>
            <w:gridSpan w:val="3"/>
            <w:tcBorders>
              <w:top w:val="single" w:sz="8" w:space="0" w:color="auto"/>
              <w:left w:val="single" w:sz="4" w:space="0" w:color="auto"/>
              <w:bottom w:val="single" w:sz="4" w:space="0" w:color="auto"/>
              <w:right w:val="single" w:sz="4" w:space="0" w:color="000000"/>
            </w:tcBorders>
            <w:shd w:val="clear" w:color="auto" w:fill="FFFFFF" w:themeFill="background1"/>
            <w:noWrap/>
            <w:vAlign w:val="bottom"/>
            <w:hideMark/>
          </w:tcPr>
          <w:p w:rsidR="003E1624" w:rsidRPr="002F17B5" w:rsidRDefault="003E1624" w:rsidP="003E1624">
            <w:pPr>
              <w:jc w:val="center"/>
              <w:rPr>
                <w:b/>
                <w:bCs/>
                <w:sz w:val="20"/>
                <w:szCs w:val="20"/>
              </w:rPr>
            </w:pPr>
            <w:r w:rsidRPr="002F17B5">
              <w:rPr>
                <w:b/>
                <w:bCs/>
                <w:sz w:val="20"/>
                <w:szCs w:val="20"/>
              </w:rPr>
              <w:t xml:space="preserve">Usable Reserves £m </w:t>
            </w:r>
          </w:p>
        </w:tc>
        <w:tc>
          <w:tcPr>
            <w:tcW w:w="2550" w:type="dxa"/>
            <w:tcBorders>
              <w:top w:val="single" w:sz="8" w:space="0" w:color="auto"/>
              <w:left w:val="nil"/>
              <w:bottom w:val="single" w:sz="4" w:space="0" w:color="auto"/>
              <w:right w:val="single" w:sz="8" w:space="0" w:color="000000"/>
            </w:tcBorders>
            <w:shd w:val="clear" w:color="auto" w:fill="FFFFFF" w:themeFill="background1"/>
            <w:noWrap/>
            <w:vAlign w:val="bottom"/>
            <w:hideMark/>
          </w:tcPr>
          <w:p w:rsidR="003E1624" w:rsidRPr="002F17B5" w:rsidRDefault="003E1624" w:rsidP="003E1624">
            <w:pPr>
              <w:jc w:val="center"/>
              <w:rPr>
                <w:b/>
                <w:bCs/>
                <w:sz w:val="20"/>
                <w:szCs w:val="20"/>
              </w:rPr>
            </w:pPr>
            <w:r w:rsidRPr="002F17B5">
              <w:rPr>
                <w:b/>
                <w:bCs/>
                <w:sz w:val="20"/>
                <w:szCs w:val="20"/>
              </w:rPr>
              <w:t>Unusable Reserves £m</w:t>
            </w:r>
          </w:p>
        </w:tc>
      </w:tr>
      <w:tr w:rsidR="005855CE" w:rsidRPr="002F17B5" w:rsidTr="00142442">
        <w:trPr>
          <w:trHeight w:val="873"/>
          <w:jc w:val="center"/>
        </w:trPr>
        <w:tc>
          <w:tcPr>
            <w:tcW w:w="7807" w:type="dxa"/>
            <w:tcBorders>
              <w:top w:val="nil"/>
              <w:left w:val="single" w:sz="8" w:space="0" w:color="auto"/>
              <w:bottom w:val="single" w:sz="4" w:space="0" w:color="auto"/>
              <w:right w:val="nil"/>
            </w:tcBorders>
            <w:shd w:val="clear" w:color="auto" w:fill="FFFFFF" w:themeFill="background1"/>
            <w:vAlign w:val="bottom"/>
            <w:hideMark/>
          </w:tcPr>
          <w:p w:rsidR="005855CE" w:rsidRPr="002F17B5" w:rsidRDefault="005855CE" w:rsidP="003E1624">
            <w:pPr>
              <w:rPr>
                <w:sz w:val="20"/>
                <w:szCs w:val="20"/>
              </w:rPr>
            </w:pPr>
            <w:r w:rsidRPr="002F17B5">
              <w:rPr>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vAlign w:val="center"/>
            <w:hideMark/>
          </w:tcPr>
          <w:p w:rsidR="005855CE" w:rsidRPr="002F17B5" w:rsidRDefault="005855CE" w:rsidP="003E1624">
            <w:pPr>
              <w:jc w:val="center"/>
              <w:rPr>
                <w:b/>
                <w:bCs/>
                <w:sz w:val="20"/>
                <w:szCs w:val="20"/>
              </w:rPr>
            </w:pPr>
            <w:r w:rsidRPr="002F17B5">
              <w:rPr>
                <w:b/>
                <w:bCs/>
                <w:sz w:val="20"/>
                <w:szCs w:val="20"/>
              </w:rPr>
              <w:t>County Fund</w:t>
            </w:r>
          </w:p>
        </w:tc>
        <w:tc>
          <w:tcPr>
            <w:tcW w:w="1601" w:type="dxa"/>
            <w:tcBorders>
              <w:top w:val="nil"/>
              <w:left w:val="nil"/>
              <w:bottom w:val="single" w:sz="4" w:space="0" w:color="auto"/>
              <w:right w:val="single" w:sz="4" w:space="0" w:color="auto"/>
            </w:tcBorders>
            <w:shd w:val="clear" w:color="auto" w:fill="FFFFFF" w:themeFill="background1"/>
            <w:vAlign w:val="center"/>
            <w:hideMark/>
          </w:tcPr>
          <w:p w:rsidR="005855CE" w:rsidRPr="002F17B5" w:rsidRDefault="00EF6A02" w:rsidP="003E1624">
            <w:pPr>
              <w:jc w:val="center"/>
              <w:rPr>
                <w:b/>
                <w:bCs/>
                <w:sz w:val="20"/>
                <w:szCs w:val="20"/>
              </w:rPr>
            </w:pPr>
            <w:r w:rsidRPr="002F17B5">
              <w:rPr>
                <w:b/>
                <w:bCs/>
                <w:sz w:val="20"/>
                <w:szCs w:val="20"/>
              </w:rPr>
              <w:t>Capital Receipts Reserve</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5855CE" w:rsidRPr="002F17B5" w:rsidRDefault="005855CE" w:rsidP="003E1624">
            <w:pPr>
              <w:jc w:val="center"/>
              <w:rPr>
                <w:b/>
                <w:bCs/>
                <w:sz w:val="20"/>
                <w:szCs w:val="20"/>
              </w:rPr>
            </w:pPr>
            <w:r w:rsidRPr="002F17B5">
              <w:rPr>
                <w:b/>
                <w:bCs/>
                <w:sz w:val="20"/>
                <w:szCs w:val="20"/>
              </w:rPr>
              <w:t>Capital Grants Unapplied</w:t>
            </w:r>
          </w:p>
        </w:tc>
        <w:tc>
          <w:tcPr>
            <w:tcW w:w="2550" w:type="dxa"/>
            <w:tcBorders>
              <w:top w:val="nil"/>
              <w:left w:val="nil"/>
              <w:bottom w:val="single" w:sz="4" w:space="0" w:color="auto"/>
              <w:right w:val="single" w:sz="4" w:space="0" w:color="auto"/>
            </w:tcBorders>
            <w:shd w:val="clear" w:color="auto" w:fill="FFFFFF" w:themeFill="background1"/>
            <w:vAlign w:val="center"/>
            <w:hideMark/>
          </w:tcPr>
          <w:p w:rsidR="005855CE" w:rsidRPr="002F17B5" w:rsidRDefault="00B877B8" w:rsidP="003E1624">
            <w:pPr>
              <w:jc w:val="center"/>
              <w:rPr>
                <w:b/>
                <w:bCs/>
                <w:sz w:val="20"/>
                <w:szCs w:val="20"/>
              </w:rPr>
            </w:pPr>
            <w:r w:rsidRPr="002F17B5">
              <w:rPr>
                <w:b/>
                <w:bCs/>
                <w:sz w:val="20"/>
                <w:szCs w:val="20"/>
              </w:rPr>
              <w:t>Total Unusable Reserves</w:t>
            </w:r>
          </w:p>
        </w:tc>
      </w:tr>
      <w:tr w:rsidR="005855CE" w:rsidRPr="002F17B5" w:rsidTr="00142442">
        <w:trPr>
          <w:trHeight w:val="241"/>
          <w:jc w:val="center"/>
        </w:trPr>
        <w:tc>
          <w:tcPr>
            <w:tcW w:w="7807" w:type="dxa"/>
            <w:tcBorders>
              <w:top w:val="single" w:sz="4" w:space="0" w:color="auto"/>
              <w:left w:val="single" w:sz="8" w:space="0" w:color="auto"/>
              <w:right w:val="nil"/>
            </w:tcBorders>
            <w:shd w:val="clear" w:color="auto" w:fill="D9D9D9" w:themeFill="background1" w:themeFillShade="D9"/>
            <w:noWrap/>
            <w:vAlign w:val="bottom"/>
            <w:hideMark/>
          </w:tcPr>
          <w:p w:rsidR="005855CE" w:rsidRPr="00FF4391" w:rsidRDefault="005855CE" w:rsidP="003E1624">
            <w:pPr>
              <w:rPr>
                <w:b/>
                <w:bCs/>
                <w:color w:val="auto"/>
                <w:sz w:val="22"/>
                <w:szCs w:val="22"/>
              </w:rPr>
            </w:pPr>
            <w:r w:rsidRPr="00FF4391">
              <w:rPr>
                <w:b/>
                <w:bCs/>
                <w:color w:val="auto"/>
                <w:sz w:val="22"/>
                <w:szCs w:val="22"/>
              </w:rPr>
              <w:t>Adjustments involving the Capital Adjustment Account</w:t>
            </w:r>
          </w:p>
        </w:tc>
        <w:tc>
          <w:tcPr>
            <w:tcW w:w="1559" w:type="dxa"/>
            <w:tcBorders>
              <w:top w:val="single" w:sz="4" w:space="0" w:color="auto"/>
              <w:left w:val="single" w:sz="4" w:space="0" w:color="auto"/>
              <w:right w:val="single" w:sz="4" w:space="0" w:color="auto"/>
            </w:tcBorders>
            <w:shd w:val="clear" w:color="auto" w:fill="D9D9D9" w:themeFill="background1" w:themeFillShade="D9"/>
            <w:vAlign w:val="center"/>
            <w:hideMark/>
          </w:tcPr>
          <w:p w:rsidR="005855CE" w:rsidRPr="00FF4391" w:rsidRDefault="005855CE" w:rsidP="003E1624">
            <w:pPr>
              <w:jc w:val="center"/>
              <w:rPr>
                <w:b/>
                <w:bCs/>
                <w:sz w:val="22"/>
                <w:szCs w:val="22"/>
              </w:rPr>
            </w:pPr>
            <w:r w:rsidRPr="00FF4391">
              <w:rPr>
                <w:b/>
                <w:bCs/>
                <w:sz w:val="22"/>
                <w:szCs w:val="22"/>
              </w:rPr>
              <w:t> </w:t>
            </w:r>
          </w:p>
        </w:tc>
        <w:tc>
          <w:tcPr>
            <w:tcW w:w="1601" w:type="dxa"/>
            <w:tcBorders>
              <w:top w:val="single" w:sz="4" w:space="0" w:color="auto"/>
              <w:left w:val="nil"/>
              <w:right w:val="single" w:sz="4" w:space="0" w:color="auto"/>
            </w:tcBorders>
            <w:shd w:val="clear" w:color="auto" w:fill="D9D9D9" w:themeFill="background1" w:themeFillShade="D9"/>
            <w:vAlign w:val="center"/>
            <w:hideMark/>
          </w:tcPr>
          <w:p w:rsidR="005855CE" w:rsidRPr="00FF4391" w:rsidRDefault="005855CE" w:rsidP="003E1624">
            <w:pPr>
              <w:jc w:val="center"/>
              <w:rPr>
                <w:b/>
                <w:bCs/>
                <w:sz w:val="22"/>
                <w:szCs w:val="22"/>
              </w:rPr>
            </w:pPr>
            <w:r w:rsidRPr="00FF4391">
              <w:rPr>
                <w:b/>
                <w:bCs/>
                <w:sz w:val="22"/>
                <w:szCs w:val="22"/>
              </w:rPr>
              <w:t> </w:t>
            </w:r>
          </w:p>
        </w:tc>
        <w:tc>
          <w:tcPr>
            <w:tcW w:w="1701" w:type="dxa"/>
            <w:tcBorders>
              <w:top w:val="single" w:sz="4" w:space="0" w:color="auto"/>
              <w:left w:val="nil"/>
              <w:right w:val="single" w:sz="4" w:space="0" w:color="auto"/>
            </w:tcBorders>
            <w:shd w:val="clear" w:color="auto" w:fill="D9D9D9" w:themeFill="background1" w:themeFillShade="D9"/>
            <w:vAlign w:val="center"/>
            <w:hideMark/>
          </w:tcPr>
          <w:p w:rsidR="005855CE" w:rsidRPr="00FF4391" w:rsidRDefault="005855CE" w:rsidP="003E1624">
            <w:pPr>
              <w:jc w:val="center"/>
              <w:rPr>
                <w:b/>
                <w:bCs/>
                <w:sz w:val="22"/>
                <w:szCs w:val="22"/>
              </w:rPr>
            </w:pPr>
            <w:r w:rsidRPr="00FF4391">
              <w:rPr>
                <w:b/>
                <w:bCs/>
                <w:sz w:val="22"/>
                <w:szCs w:val="22"/>
              </w:rPr>
              <w:t> </w:t>
            </w:r>
          </w:p>
        </w:tc>
        <w:tc>
          <w:tcPr>
            <w:tcW w:w="2550" w:type="dxa"/>
            <w:tcBorders>
              <w:top w:val="single" w:sz="4" w:space="0" w:color="auto"/>
              <w:left w:val="nil"/>
              <w:right w:val="single" w:sz="4" w:space="0" w:color="auto"/>
            </w:tcBorders>
            <w:shd w:val="clear" w:color="auto" w:fill="D9D9D9" w:themeFill="background1" w:themeFillShade="D9"/>
            <w:vAlign w:val="center"/>
            <w:hideMark/>
          </w:tcPr>
          <w:p w:rsidR="005855CE" w:rsidRPr="00FF4391" w:rsidRDefault="005855CE" w:rsidP="003E1624">
            <w:pPr>
              <w:jc w:val="center"/>
              <w:rPr>
                <w:b/>
                <w:bCs/>
                <w:sz w:val="22"/>
                <w:szCs w:val="22"/>
              </w:rPr>
            </w:pPr>
            <w:r w:rsidRPr="00FF4391">
              <w:rPr>
                <w:b/>
                <w:bCs/>
                <w:sz w:val="22"/>
                <w:szCs w:val="22"/>
              </w:rPr>
              <w:t> </w:t>
            </w:r>
          </w:p>
        </w:tc>
      </w:tr>
      <w:tr w:rsidR="005855CE" w:rsidRPr="002F17B5" w:rsidTr="00142442">
        <w:trPr>
          <w:trHeight w:val="416"/>
          <w:jc w:val="center"/>
        </w:trPr>
        <w:tc>
          <w:tcPr>
            <w:tcW w:w="7807" w:type="dxa"/>
            <w:tcBorders>
              <w:left w:val="single" w:sz="8" w:space="0" w:color="auto"/>
              <w:bottom w:val="nil"/>
              <w:right w:val="nil"/>
            </w:tcBorders>
            <w:shd w:val="clear" w:color="auto" w:fill="F2F2F2" w:themeFill="background1" w:themeFillShade="F2"/>
            <w:hideMark/>
          </w:tcPr>
          <w:p w:rsidR="005855CE" w:rsidRPr="00FF4391" w:rsidRDefault="005855CE" w:rsidP="003E1624">
            <w:pPr>
              <w:rPr>
                <w:b/>
                <w:bCs/>
                <w:iCs/>
                <w:sz w:val="22"/>
                <w:szCs w:val="22"/>
              </w:rPr>
            </w:pPr>
            <w:r w:rsidRPr="00FF4391">
              <w:rPr>
                <w:b/>
                <w:bCs/>
                <w:iCs/>
                <w:sz w:val="22"/>
                <w:szCs w:val="22"/>
              </w:rPr>
              <w:t>Reversal of items debited or credited to the Comprehensive Income and Expenditure Statement:</w:t>
            </w:r>
          </w:p>
        </w:tc>
        <w:tc>
          <w:tcPr>
            <w:tcW w:w="1559" w:type="dxa"/>
            <w:tcBorders>
              <w:left w:val="single" w:sz="4" w:space="0" w:color="auto"/>
              <w:bottom w:val="nil"/>
              <w:right w:val="single" w:sz="4" w:space="0" w:color="auto"/>
            </w:tcBorders>
            <w:shd w:val="clear" w:color="auto" w:fill="F2F2F2" w:themeFill="background1" w:themeFillShade="F2"/>
            <w:vAlign w:val="center"/>
            <w:hideMark/>
          </w:tcPr>
          <w:p w:rsidR="005855CE" w:rsidRPr="00FF4391" w:rsidRDefault="005855CE" w:rsidP="003E1624">
            <w:pPr>
              <w:jc w:val="center"/>
              <w:rPr>
                <w:b/>
                <w:bCs/>
                <w:sz w:val="22"/>
                <w:szCs w:val="22"/>
              </w:rPr>
            </w:pPr>
            <w:r w:rsidRPr="00FF4391">
              <w:rPr>
                <w:b/>
                <w:bCs/>
                <w:sz w:val="22"/>
                <w:szCs w:val="22"/>
              </w:rPr>
              <w:t> </w:t>
            </w:r>
          </w:p>
        </w:tc>
        <w:tc>
          <w:tcPr>
            <w:tcW w:w="1601" w:type="dxa"/>
            <w:tcBorders>
              <w:left w:val="nil"/>
              <w:bottom w:val="nil"/>
              <w:right w:val="single" w:sz="4" w:space="0" w:color="auto"/>
            </w:tcBorders>
            <w:shd w:val="clear" w:color="auto" w:fill="F2F2F2" w:themeFill="background1" w:themeFillShade="F2"/>
            <w:vAlign w:val="center"/>
            <w:hideMark/>
          </w:tcPr>
          <w:p w:rsidR="005855CE" w:rsidRPr="00FF4391" w:rsidRDefault="005855CE" w:rsidP="003E1624">
            <w:pPr>
              <w:jc w:val="center"/>
              <w:rPr>
                <w:b/>
                <w:bCs/>
                <w:sz w:val="22"/>
                <w:szCs w:val="22"/>
              </w:rPr>
            </w:pPr>
            <w:r w:rsidRPr="00FF4391">
              <w:rPr>
                <w:b/>
                <w:bCs/>
                <w:sz w:val="22"/>
                <w:szCs w:val="22"/>
              </w:rPr>
              <w:t> </w:t>
            </w:r>
          </w:p>
        </w:tc>
        <w:tc>
          <w:tcPr>
            <w:tcW w:w="1701" w:type="dxa"/>
            <w:tcBorders>
              <w:left w:val="nil"/>
              <w:bottom w:val="nil"/>
              <w:right w:val="single" w:sz="4" w:space="0" w:color="auto"/>
            </w:tcBorders>
            <w:shd w:val="clear" w:color="auto" w:fill="F2F2F2" w:themeFill="background1" w:themeFillShade="F2"/>
            <w:vAlign w:val="center"/>
            <w:hideMark/>
          </w:tcPr>
          <w:p w:rsidR="005855CE" w:rsidRPr="00FF4391" w:rsidRDefault="005855CE" w:rsidP="003E1624">
            <w:pPr>
              <w:jc w:val="center"/>
              <w:rPr>
                <w:b/>
                <w:bCs/>
                <w:sz w:val="22"/>
                <w:szCs w:val="22"/>
              </w:rPr>
            </w:pPr>
            <w:r w:rsidRPr="00FF4391">
              <w:rPr>
                <w:b/>
                <w:bCs/>
                <w:sz w:val="22"/>
                <w:szCs w:val="22"/>
              </w:rPr>
              <w:t> </w:t>
            </w:r>
          </w:p>
        </w:tc>
        <w:tc>
          <w:tcPr>
            <w:tcW w:w="2550" w:type="dxa"/>
            <w:tcBorders>
              <w:left w:val="nil"/>
              <w:bottom w:val="nil"/>
              <w:right w:val="single" w:sz="4" w:space="0" w:color="auto"/>
            </w:tcBorders>
            <w:shd w:val="clear" w:color="auto" w:fill="F2F2F2" w:themeFill="background1" w:themeFillShade="F2"/>
            <w:vAlign w:val="center"/>
            <w:hideMark/>
          </w:tcPr>
          <w:p w:rsidR="005855CE" w:rsidRPr="00FF4391" w:rsidRDefault="005855CE" w:rsidP="003E1624">
            <w:pPr>
              <w:jc w:val="center"/>
              <w:rPr>
                <w:sz w:val="22"/>
                <w:szCs w:val="22"/>
              </w:rPr>
            </w:pPr>
            <w:r w:rsidRPr="00FF4391">
              <w:rPr>
                <w:sz w:val="22"/>
                <w:szCs w:val="22"/>
              </w:rPr>
              <w:t> </w:t>
            </w:r>
          </w:p>
        </w:tc>
      </w:tr>
      <w:tr w:rsidR="005855CE" w:rsidRPr="002F17B5" w:rsidTr="00142442">
        <w:trPr>
          <w:trHeight w:val="262"/>
          <w:jc w:val="center"/>
        </w:trPr>
        <w:tc>
          <w:tcPr>
            <w:tcW w:w="7807" w:type="dxa"/>
            <w:tcBorders>
              <w:top w:val="nil"/>
              <w:left w:val="single" w:sz="8" w:space="0" w:color="auto"/>
              <w:bottom w:val="nil"/>
              <w:right w:val="nil"/>
            </w:tcBorders>
            <w:shd w:val="clear" w:color="auto" w:fill="FFFFFF" w:themeFill="background1"/>
            <w:noWrap/>
            <w:hideMark/>
          </w:tcPr>
          <w:p w:rsidR="005855CE" w:rsidRPr="00FF4391" w:rsidRDefault="005855CE" w:rsidP="003E1624">
            <w:pPr>
              <w:rPr>
                <w:sz w:val="22"/>
                <w:szCs w:val="22"/>
              </w:rPr>
            </w:pPr>
            <w:r w:rsidRPr="00FF4391">
              <w:rPr>
                <w:sz w:val="22"/>
                <w:szCs w:val="22"/>
              </w:rPr>
              <w:t>-Charges for depreciation of non current assets</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FF4391" w:rsidRDefault="00162755" w:rsidP="003E1624">
            <w:pPr>
              <w:jc w:val="right"/>
              <w:rPr>
                <w:sz w:val="22"/>
                <w:szCs w:val="22"/>
              </w:rPr>
            </w:pPr>
            <w:r w:rsidRPr="00FF4391">
              <w:rPr>
                <w:sz w:val="22"/>
                <w:szCs w:val="22"/>
              </w:rPr>
              <w:t>(47.2</w:t>
            </w:r>
            <w:r w:rsidR="000D2424" w:rsidRPr="00FF4391">
              <w:rPr>
                <w:sz w:val="22"/>
                <w:szCs w:val="22"/>
              </w:rPr>
              <w:t>)</w:t>
            </w:r>
          </w:p>
        </w:tc>
        <w:tc>
          <w:tcPr>
            <w:tcW w:w="16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top w:val="nil"/>
              <w:left w:val="nil"/>
              <w:bottom w:val="nil"/>
              <w:right w:val="single" w:sz="4" w:space="0" w:color="auto"/>
            </w:tcBorders>
            <w:shd w:val="clear" w:color="auto" w:fill="FFFFFF" w:themeFill="background1"/>
            <w:vAlign w:val="bottom"/>
            <w:hideMark/>
          </w:tcPr>
          <w:p w:rsidR="005855CE" w:rsidRPr="00FF4391" w:rsidRDefault="00162755" w:rsidP="001A3F8A">
            <w:pPr>
              <w:jc w:val="right"/>
              <w:rPr>
                <w:sz w:val="22"/>
                <w:szCs w:val="22"/>
              </w:rPr>
            </w:pPr>
            <w:r w:rsidRPr="00FF4391">
              <w:rPr>
                <w:sz w:val="22"/>
                <w:szCs w:val="22"/>
              </w:rPr>
              <w:t>47.2</w:t>
            </w:r>
          </w:p>
        </w:tc>
      </w:tr>
      <w:tr w:rsidR="005855CE" w:rsidRPr="002F17B5" w:rsidTr="00142442">
        <w:trPr>
          <w:trHeight w:val="262"/>
          <w:jc w:val="center"/>
        </w:trPr>
        <w:tc>
          <w:tcPr>
            <w:tcW w:w="7807" w:type="dxa"/>
            <w:tcBorders>
              <w:top w:val="nil"/>
              <w:left w:val="single" w:sz="8" w:space="0" w:color="auto"/>
              <w:bottom w:val="nil"/>
              <w:right w:val="nil"/>
            </w:tcBorders>
            <w:shd w:val="clear" w:color="auto" w:fill="FFFFFF" w:themeFill="background1"/>
            <w:noWrap/>
            <w:hideMark/>
          </w:tcPr>
          <w:p w:rsidR="005855CE" w:rsidRPr="00FF4391" w:rsidRDefault="005855CE" w:rsidP="003E1624">
            <w:pPr>
              <w:rPr>
                <w:sz w:val="22"/>
                <w:szCs w:val="22"/>
              </w:rPr>
            </w:pPr>
            <w:r w:rsidRPr="00FF4391">
              <w:rPr>
                <w:sz w:val="22"/>
                <w:szCs w:val="22"/>
              </w:rPr>
              <w:t>-Revaluation losses on Property Plant and Equipment</w:t>
            </w:r>
            <w:r w:rsidR="003121E2" w:rsidRPr="00FF4391">
              <w:rPr>
                <w:sz w:val="22"/>
                <w:szCs w:val="22"/>
              </w:rPr>
              <w:t xml:space="preserve"> </w:t>
            </w:r>
            <w:r w:rsidRPr="00FF4391">
              <w:rPr>
                <w:sz w:val="22"/>
                <w:szCs w:val="22"/>
              </w:rPr>
              <w:t>(</w:t>
            </w:r>
            <w:r w:rsidR="003121E2" w:rsidRPr="00FF4391">
              <w:rPr>
                <w:iCs/>
                <w:sz w:val="22"/>
                <w:szCs w:val="22"/>
              </w:rPr>
              <w:t>charged to surplus or deficit on the provision of services</w:t>
            </w:r>
            <w:r w:rsidRPr="00FF4391">
              <w:rPr>
                <w:sz w:val="22"/>
                <w:szCs w:val="22"/>
              </w:rPr>
              <w:t>)</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FF4391" w:rsidRDefault="00162755" w:rsidP="00AC2082">
            <w:pPr>
              <w:jc w:val="right"/>
              <w:rPr>
                <w:sz w:val="22"/>
                <w:szCs w:val="22"/>
              </w:rPr>
            </w:pPr>
            <w:r w:rsidRPr="00FF4391">
              <w:rPr>
                <w:sz w:val="22"/>
                <w:szCs w:val="22"/>
              </w:rPr>
              <w:t>(3</w:t>
            </w:r>
            <w:r w:rsidR="00AC2082" w:rsidRPr="00FF4391">
              <w:rPr>
                <w:sz w:val="22"/>
                <w:szCs w:val="22"/>
              </w:rPr>
              <w:t>7</w:t>
            </w:r>
            <w:r w:rsidRPr="00FF4391">
              <w:rPr>
                <w:sz w:val="22"/>
                <w:szCs w:val="22"/>
              </w:rPr>
              <w:t>.</w:t>
            </w:r>
            <w:r w:rsidR="00AC2082" w:rsidRPr="00FF4391">
              <w:rPr>
                <w:sz w:val="22"/>
                <w:szCs w:val="22"/>
              </w:rPr>
              <w:t>6</w:t>
            </w:r>
            <w:r w:rsidR="000D2424" w:rsidRPr="00FF4391">
              <w:rPr>
                <w:sz w:val="22"/>
                <w:szCs w:val="22"/>
              </w:rPr>
              <w:t>)</w:t>
            </w:r>
          </w:p>
        </w:tc>
        <w:tc>
          <w:tcPr>
            <w:tcW w:w="16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top w:val="nil"/>
              <w:left w:val="nil"/>
              <w:bottom w:val="nil"/>
              <w:right w:val="single" w:sz="4" w:space="0" w:color="auto"/>
            </w:tcBorders>
            <w:shd w:val="clear" w:color="auto" w:fill="FFFFFF" w:themeFill="background1"/>
            <w:vAlign w:val="bottom"/>
            <w:hideMark/>
          </w:tcPr>
          <w:p w:rsidR="005855CE" w:rsidRPr="00FF4391" w:rsidRDefault="00CF2307" w:rsidP="00AC2082">
            <w:pPr>
              <w:jc w:val="right"/>
              <w:rPr>
                <w:sz w:val="22"/>
                <w:szCs w:val="22"/>
              </w:rPr>
            </w:pPr>
            <w:r w:rsidRPr="00FF4391">
              <w:rPr>
                <w:sz w:val="22"/>
                <w:szCs w:val="22"/>
              </w:rPr>
              <w:t>3</w:t>
            </w:r>
            <w:r w:rsidR="00AC2082" w:rsidRPr="00FF4391">
              <w:rPr>
                <w:sz w:val="22"/>
                <w:szCs w:val="22"/>
              </w:rPr>
              <w:t>7</w:t>
            </w:r>
            <w:r w:rsidR="00162755" w:rsidRPr="00FF4391">
              <w:rPr>
                <w:sz w:val="22"/>
                <w:szCs w:val="22"/>
              </w:rPr>
              <w:t>.</w:t>
            </w:r>
            <w:r w:rsidR="00AC2082" w:rsidRPr="00FF4391">
              <w:rPr>
                <w:sz w:val="22"/>
                <w:szCs w:val="22"/>
              </w:rPr>
              <w:t>6</w:t>
            </w:r>
          </w:p>
        </w:tc>
      </w:tr>
      <w:tr w:rsidR="00AC2082" w:rsidRPr="002F17B5" w:rsidTr="00142442">
        <w:trPr>
          <w:trHeight w:val="262"/>
          <w:jc w:val="center"/>
        </w:trPr>
        <w:tc>
          <w:tcPr>
            <w:tcW w:w="7807" w:type="dxa"/>
            <w:tcBorders>
              <w:top w:val="nil"/>
              <w:left w:val="single" w:sz="8" w:space="0" w:color="auto"/>
              <w:bottom w:val="nil"/>
              <w:right w:val="nil"/>
            </w:tcBorders>
            <w:shd w:val="clear" w:color="auto" w:fill="FFFFFF" w:themeFill="background1"/>
            <w:noWrap/>
          </w:tcPr>
          <w:p w:rsidR="00AC2082" w:rsidRPr="00FF4391" w:rsidRDefault="00AC2082" w:rsidP="00AC2082">
            <w:pPr>
              <w:rPr>
                <w:sz w:val="22"/>
                <w:szCs w:val="22"/>
              </w:rPr>
            </w:pPr>
            <w:r w:rsidRPr="00FF4391">
              <w:rPr>
                <w:sz w:val="22"/>
                <w:szCs w:val="22"/>
              </w:rPr>
              <w:t>-Revaluation losses on Assets held for sale</w:t>
            </w:r>
          </w:p>
        </w:tc>
        <w:tc>
          <w:tcPr>
            <w:tcW w:w="1559" w:type="dxa"/>
            <w:tcBorders>
              <w:top w:val="nil"/>
              <w:left w:val="single" w:sz="4" w:space="0" w:color="auto"/>
              <w:bottom w:val="nil"/>
              <w:right w:val="single" w:sz="4" w:space="0" w:color="auto"/>
            </w:tcBorders>
            <w:shd w:val="clear" w:color="auto" w:fill="FFFFFF" w:themeFill="background1"/>
            <w:vAlign w:val="bottom"/>
          </w:tcPr>
          <w:p w:rsidR="00AC2082" w:rsidRPr="00FF4391" w:rsidRDefault="00AC2082" w:rsidP="003E1624">
            <w:pPr>
              <w:jc w:val="right"/>
              <w:rPr>
                <w:sz w:val="22"/>
                <w:szCs w:val="22"/>
              </w:rPr>
            </w:pPr>
            <w:r w:rsidRPr="00FF4391">
              <w:rPr>
                <w:sz w:val="22"/>
                <w:szCs w:val="22"/>
              </w:rPr>
              <w:t>(0.8</w:t>
            </w:r>
            <w:r w:rsidR="004977C5" w:rsidRPr="00FF4391">
              <w:rPr>
                <w:sz w:val="22"/>
                <w:szCs w:val="22"/>
              </w:rPr>
              <w:t>)</w:t>
            </w:r>
          </w:p>
        </w:tc>
        <w:tc>
          <w:tcPr>
            <w:tcW w:w="1601" w:type="dxa"/>
            <w:tcBorders>
              <w:top w:val="nil"/>
              <w:left w:val="nil"/>
              <w:bottom w:val="nil"/>
              <w:right w:val="single" w:sz="4" w:space="0" w:color="auto"/>
            </w:tcBorders>
            <w:shd w:val="clear" w:color="auto" w:fill="FFFFFF" w:themeFill="background1"/>
            <w:vAlign w:val="bottom"/>
          </w:tcPr>
          <w:p w:rsidR="00AC2082" w:rsidRPr="00FF4391" w:rsidRDefault="00AC2082" w:rsidP="003E1624">
            <w:pPr>
              <w:jc w:val="right"/>
              <w:rPr>
                <w:sz w:val="22"/>
                <w:szCs w:val="22"/>
              </w:rPr>
            </w:pPr>
          </w:p>
        </w:tc>
        <w:tc>
          <w:tcPr>
            <w:tcW w:w="1701" w:type="dxa"/>
            <w:tcBorders>
              <w:top w:val="nil"/>
              <w:left w:val="nil"/>
              <w:bottom w:val="nil"/>
              <w:right w:val="single" w:sz="4" w:space="0" w:color="auto"/>
            </w:tcBorders>
            <w:shd w:val="clear" w:color="auto" w:fill="FFFFFF" w:themeFill="background1"/>
            <w:vAlign w:val="bottom"/>
          </w:tcPr>
          <w:p w:rsidR="00AC2082" w:rsidRPr="00FF4391" w:rsidRDefault="00AC2082" w:rsidP="003E1624">
            <w:pPr>
              <w:jc w:val="right"/>
              <w:rPr>
                <w:sz w:val="22"/>
                <w:szCs w:val="22"/>
              </w:rPr>
            </w:pPr>
          </w:p>
        </w:tc>
        <w:tc>
          <w:tcPr>
            <w:tcW w:w="2550" w:type="dxa"/>
            <w:tcBorders>
              <w:top w:val="nil"/>
              <w:left w:val="nil"/>
              <w:bottom w:val="nil"/>
              <w:right w:val="single" w:sz="4" w:space="0" w:color="auto"/>
            </w:tcBorders>
            <w:shd w:val="clear" w:color="auto" w:fill="FFFFFF" w:themeFill="background1"/>
            <w:vAlign w:val="bottom"/>
          </w:tcPr>
          <w:p w:rsidR="00AC2082" w:rsidRPr="00FF4391" w:rsidRDefault="00AC2082" w:rsidP="003E1624">
            <w:pPr>
              <w:jc w:val="right"/>
              <w:rPr>
                <w:sz w:val="22"/>
                <w:szCs w:val="22"/>
              </w:rPr>
            </w:pPr>
            <w:r w:rsidRPr="00FF4391">
              <w:rPr>
                <w:sz w:val="22"/>
                <w:szCs w:val="22"/>
              </w:rPr>
              <w:t>0.8</w:t>
            </w:r>
          </w:p>
        </w:tc>
      </w:tr>
      <w:tr w:rsidR="001A3F8A" w:rsidRPr="002F17B5" w:rsidTr="00142442">
        <w:trPr>
          <w:trHeight w:val="262"/>
          <w:jc w:val="center"/>
        </w:trPr>
        <w:tc>
          <w:tcPr>
            <w:tcW w:w="7807" w:type="dxa"/>
            <w:tcBorders>
              <w:top w:val="nil"/>
              <w:left w:val="single" w:sz="8" w:space="0" w:color="auto"/>
              <w:bottom w:val="nil"/>
              <w:right w:val="nil"/>
            </w:tcBorders>
            <w:shd w:val="clear" w:color="auto" w:fill="FFFFFF" w:themeFill="background1"/>
            <w:noWrap/>
            <w:hideMark/>
          </w:tcPr>
          <w:p w:rsidR="001A3F8A" w:rsidRPr="00FF4391" w:rsidRDefault="001A3F8A" w:rsidP="003E1624">
            <w:pPr>
              <w:rPr>
                <w:sz w:val="22"/>
                <w:szCs w:val="22"/>
              </w:rPr>
            </w:pPr>
            <w:r w:rsidRPr="00FF4391">
              <w:rPr>
                <w:sz w:val="22"/>
                <w:szCs w:val="22"/>
              </w:rPr>
              <w:t>- Amortisation of intangible assets</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1A3F8A" w:rsidRPr="00FF4391" w:rsidRDefault="00162755" w:rsidP="003E1624">
            <w:pPr>
              <w:jc w:val="right"/>
              <w:rPr>
                <w:sz w:val="22"/>
                <w:szCs w:val="22"/>
              </w:rPr>
            </w:pPr>
            <w:r w:rsidRPr="00FF4391">
              <w:rPr>
                <w:sz w:val="22"/>
                <w:szCs w:val="22"/>
              </w:rPr>
              <w:t>(2.8)</w:t>
            </w:r>
          </w:p>
        </w:tc>
        <w:tc>
          <w:tcPr>
            <w:tcW w:w="1601" w:type="dxa"/>
            <w:tcBorders>
              <w:top w:val="nil"/>
              <w:left w:val="nil"/>
              <w:bottom w:val="nil"/>
              <w:right w:val="single" w:sz="4" w:space="0" w:color="auto"/>
            </w:tcBorders>
            <w:shd w:val="clear" w:color="auto" w:fill="FFFFFF" w:themeFill="background1"/>
            <w:vAlign w:val="bottom"/>
            <w:hideMark/>
          </w:tcPr>
          <w:p w:rsidR="001A3F8A" w:rsidRPr="00FF4391" w:rsidRDefault="00162755" w:rsidP="003E1624">
            <w:pPr>
              <w:jc w:val="right"/>
              <w:rPr>
                <w:sz w:val="22"/>
                <w:szCs w:val="22"/>
              </w:rPr>
            </w:pPr>
            <w:r w:rsidRPr="00FF4391">
              <w:rPr>
                <w:sz w:val="22"/>
                <w:szCs w:val="22"/>
              </w:rPr>
              <w:t>-</w:t>
            </w:r>
          </w:p>
        </w:tc>
        <w:tc>
          <w:tcPr>
            <w:tcW w:w="1701" w:type="dxa"/>
            <w:tcBorders>
              <w:top w:val="nil"/>
              <w:left w:val="nil"/>
              <w:bottom w:val="nil"/>
              <w:right w:val="single" w:sz="4" w:space="0" w:color="auto"/>
            </w:tcBorders>
            <w:shd w:val="clear" w:color="auto" w:fill="FFFFFF" w:themeFill="background1"/>
            <w:vAlign w:val="bottom"/>
            <w:hideMark/>
          </w:tcPr>
          <w:p w:rsidR="001A3F8A" w:rsidRPr="00FF4391" w:rsidRDefault="00162755" w:rsidP="003E1624">
            <w:pPr>
              <w:jc w:val="right"/>
              <w:rPr>
                <w:sz w:val="22"/>
                <w:szCs w:val="22"/>
              </w:rPr>
            </w:pPr>
            <w:r w:rsidRPr="00FF4391">
              <w:rPr>
                <w:sz w:val="22"/>
                <w:szCs w:val="22"/>
              </w:rPr>
              <w:t>-</w:t>
            </w:r>
          </w:p>
        </w:tc>
        <w:tc>
          <w:tcPr>
            <w:tcW w:w="2550" w:type="dxa"/>
            <w:tcBorders>
              <w:top w:val="nil"/>
              <w:left w:val="nil"/>
              <w:bottom w:val="nil"/>
              <w:right w:val="single" w:sz="4" w:space="0" w:color="auto"/>
            </w:tcBorders>
            <w:shd w:val="clear" w:color="auto" w:fill="FFFFFF" w:themeFill="background1"/>
            <w:vAlign w:val="bottom"/>
            <w:hideMark/>
          </w:tcPr>
          <w:p w:rsidR="001A3F8A" w:rsidRPr="00FF4391" w:rsidRDefault="00162755" w:rsidP="003E1624">
            <w:pPr>
              <w:jc w:val="right"/>
              <w:rPr>
                <w:sz w:val="22"/>
                <w:szCs w:val="22"/>
              </w:rPr>
            </w:pPr>
            <w:r w:rsidRPr="00FF4391">
              <w:rPr>
                <w:sz w:val="22"/>
                <w:szCs w:val="22"/>
              </w:rPr>
              <w:t>2.8</w:t>
            </w:r>
          </w:p>
        </w:tc>
      </w:tr>
      <w:tr w:rsidR="005855CE" w:rsidRPr="002F17B5" w:rsidTr="00142442">
        <w:trPr>
          <w:trHeight w:val="262"/>
          <w:jc w:val="center"/>
        </w:trPr>
        <w:tc>
          <w:tcPr>
            <w:tcW w:w="7807" w:type="dxa"/>
            <w:tcBorders>
              <w:top w:val="nil"/>
              <w:left w:val="single" w:sz="8" w:space="0" w:color="auto"/>
              <w:bottom w:val="nil"/>
              <w:right w:val="nil"/>
            </w:tcBorders>
            <w:shd w:val="clear" w:color="auto" w:fill="FFFFFF" w:themeFill="background1"/>
            <w:noWrap/>
            <w:hideMark/>
          </w:tcPr>
          <w:p w:rsidR="005855CE" w:rsidRPr="00FF4391" w:rsidRDefault="005855CE" w:rsidP="003E1624">
            <w:pPr>
              <w:rPr>
                <w:sz w:val="22"/>
                <w:szCs w:val="22"/>
              </w:rPr>
            </w:pPr>
            <w:r w:rsidRPr="00FF4391">
              <w:rPr>
                <w:sz w:val="22"/>
                <w:szCs w:val="22"/>
              </w:rPr>
              <w:t>-Movements in the fair value of Investment Properties</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FF4391" w:rsidRDefault="000D2424" w:rsidP="003E1624">
            <w:pPr>
              <w:jc w:val="right"/>
              <w:rPr>
                <w:sz w:val="22"/>
                <w:szCs w:val="22"/>
              </w:rPr>
            </w:pPr>
            <w:r w:rsidRPr="00FF4391">
              <w:rPr>
                <w:sz w:val="22"/>
                <w:szCs w:val="22"/>
              </w:rPr>
              <w:t>(1.5)</w:t>
            </w:r>
          </w:p>
        </w:tc>
        <w:tc>
          <w:tcPr>
            <w:tcW w:w="16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top w:val="nil"/>
              <w:left w:val="nil"/>
              <w:bottom w:val="nil"/>
              <w:right w:val="single" w:sz="4" w:space="0" w:color="auto"/>
            </w:tcBorders>
            <w:shd w:val="clear" w:color="auto" w:fill="FFFFFF" w:themeFill="background1"/>
            <w:vAlign w:val="bottom"/>
            <w:hideMark/>
          </w:tcPr>
          <w:p w:rsidR="005855CE" w:rsidRPr="00FF4391" w:rsidRDefault="00500B26" w:rsidP="005670F2">
            <w:pPr>
              <w:jc w:val="right"/>
              <w:rPr>
                <w:sz w:val="22"/>
                <w:szCs w:val="22"/>
              </w:rPr>
            </w:pPr>
            <w:r w:rsidRPr="00FF4391">
              <w:rPr>
                <w:sz w:val="22"/>
                <w:szCs w:val="22"/>
              </w:rPr>
              <w:t>1.5</w:t>
            </w:r>
          </w:p>
        </w:tc>
      </w:tr>
      <w:tr w:rsidR="005855CE" w:rsidRPr="002F17B5" w:rsidTr="00142442">
        <w:trPr>
          <w:trHeight w:val="262"/>
          <w:jc w:val="center"/>
        </w:trPr>
        <w:tc>
          <w:tcPr>
            <w:tcW w:w="7807" w:type="dxa"/>
            <w:tcBorders>
              <w:top w:val="nil"/>
              <w:left w:val="single" w:sz="8" w:space="0" w:color="auto"/>
              <w:bottom w:val="nil"/>
              <w:right w:val="nil"/>
            </w:tcBorders>
            <w:shd w:val="clear" w:color="auto" w:fill="FFFFFF" w:themeFill="background1"/>
            <w:noWrap/>
            <w:hideMark/>
          </w:tcPr>
          <w:p w:rsidR="005855CE" w:rsidRPr="00FF4391" w:rsidRDefault="005855CE" w:rsidP="003E1624">
            <w:pPr>
              <w:rPr>
                <w:sz w:val="22"/>
                <w:szCs w:val="22"/>
              </w:rPr>
            </w:pPr>
            <w:r w:rsidRPr="00FF4391">
              <w:rPr>
                <w:sz w:val="22"/>
                <w:szCs w:val="22"/>
              </w:rPr>
              <w:t>-Revenue expenditure funded from capital under statute</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FF4391" w:rsidRDefault="000D2424" w:rsidP="003E1624">
            <w:pPr>
              <w:jc w:val="right"/>
              <w:rPr>
                <w:sz w:val="22"/>
                <w:szCs w:val="22"/>
              </w:rPr>
            </w:pPr>
            <w:r w:rsidRPr="00FF4391">
              <w:rPr>
                <w:sz w:val="22"/>
                <w:szCs w:val="22"/>
              </w:rPr>
              <w:t>(8.7)</w:t>
            </w:r>
          </w:p>
        </w:tc>
        <w:tc>
          <w:tcPr>
            <w:tcW w:w="16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top w:val="nil"/>
              <w:left w:val="nil"/>
              <w:bottom w:val="nil"/>
              <w:right w:val="single" w:sz="4" w:space="0" w:color="auto"/>
            </w:tcBorders>
            <w:shd w:val="clear" w:color="auto" w:fill="FFFFFF" w:themeFill="background1"/>
            <w:vAlign w:val="bottom"/>
            <w:hideMark/>
          </w:tcPr>
          <w:p w:rsidR="005855CE" w:rsidRPr="00FF4391" w:rsidRDefault="000D2424" w:rsidP="003E1624">
            <w:pPr>
              <w:jc w:val="right"/>
              <w:rPr>
                <w:sz w:val="22"/>
                <w:szCs w:val="22"/>
              </w:rPr>
            </w:pPr>
            <w:r w:rsidRPr="00FF4391">
              <w:rPr>
                <w:sz w:val="22"/>
                <w:szCs w:val="22"/>
              </w:rPr>
              <w:t>8.7</w:t>
            </w:r>
          </w:p>
        </w:tc>
      </w:tr>
      <w:tr w:rsidR="005855CE" w:rsidRPr="002F17B5" w:rsidTr="00142442">
        <w:trPr>
          <w:trHeight w:val="416"/>
          <w:jc w:val="center"/>
        </w:trPr>
        <w:tc>
          <w:tcPr>
            <w:tcW w:w="7807" w:type="dxa"/>
            <w:tcBorders>
              <w:top w:val="nil"/>
              <w:left w:val="single" w:sz="8" w:space="0" w:color="auto"/>
              <w:bottom w:val="nil"/>
              <w:right w:val="nil"/>
            </w:tcBorders>
            <w:shd w:val="clear" w:color="auto" w:fill="FFFFFF" w:themeFill="background1"/>
            <w:hideMark/>
          </w:tcPr>
          <w:p w:rsidR="005855CE" w:rsidRPr="00FF4391" w:rsidRDefault="005855CE" w:rsidP="003E1624">
            <w:pPr>
              <w:rPr>
                <w:sz w:val="22"/>
                <w:szCs w:val="22"/>
              </w:rPr>
            </w:pPr>
            <w:r w:rsidRPr="00FF4391">
              <w:rPr>
                <w:sz w:val="22"/>
                <w:szCs w:val="22"/>
              </w:rPr>
              <w:t>-Amounts of non current assets written off on disposal or sale as part of the gain/loss on disposal to the CIES</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FF4391" w:rsidRDefault="000D2424" w:rsidP="003E1624">
            <w:pPr>
              <w:jc w:val="right"/>
              <w:rPr>
                <w:sz w:val="22"/>
                <w:szCs w:val="22"/>
              </w:rPr>
            </w:pPr>
            <w:r w:rsidRPr="00FF4391">
              <w:rPr>
                <w:sz w:val="22"/>
                <w:szCs w:val="22"/>
              </w:rPr>
              <w:t>(36.0)</w:t>
            </w:r>
          </w:p>
        </w:tc>
        <w:tc>
          <w:tcPr>
            <w:tcW w:w="16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top w:val="nil"/>
              <w:left w:val="nil"/>
              <w:bottom w:val="nil"/>
              <w:right w:val="single" w:sz="4" w:space="0" w:color="auto"/>
            </w:tcBorders>
            <w:shd w:val="clear" w:color="auto" w:fill="FFFFFF" w:themeFill="background1"/>
            <w:vAlign w:val="bottom"/>
            <w:hideMark/>
          </w:tcPr>
          <w:p w:rsidR="005855CE" w:rsidRPr="00FF4391" w:rsidRDefault="000D2424" w:rsidP="003E1624">
            <w:pPr>
              <w:jc w:val="right"/>
              <w:rPr>
                <w:sz w:val="22"/>
                <w:szCs w:val="22"/>
              </w:rPr>
            </w:pPr>
            <w:r w:rsidRPr="00FF4391">
              <w:rPr>
                <w:sz w:val="22"/>
                <w:szCs w:val="22"/>
              </w:rPr>
              <w:t>36.0</w:t>
            </w:r>
          </w:p>
        </w:tc>
      </w:tr>
      <w:tr w:rsidR="005855CE" w:rsidRPr="002F17B5" w:rsidTr="00142442">
        <w:trPr>
          <w:trHeight w:val="262"/>
          <w:jc w:val="center"/>
        </w:trPr>
        <w:tc>
          <w:tcPr>
            <w:tcW w:w="7807" w:type="dxa"/>
            <w:tcBorders>
              <w:top w:val="nil"/>
              <w:left w:val="single" w:sz="8" w:space="0" w:color="auto"/>
              <w:bottom w:val="nil"/>
              <w:right w:val="nil"/>
            </w:tcBorders>
            <w:shd w:val="clear" w:color="auto" w:fill="FFFFFF" w:themeFill="background1"/>
            <w:hideMark/>
          </w:tcPr>
          <w:p w:rsidR="005855CE" w:rsidRPr="00FF4391" w:rsidRDefault="005855CE" w:rsidP="003E1624">
            <w:pPr>
              <w:rPr>
                <w:sz w:val="22"/>
                <w:szCs w:val="22"/>
              </w:rPr>
            </w:pPr>
            <w:r w:rsidRPr="00FF4391">
              <w:rPr>
                <w:sz w:val="22"/>
                <w:szCs w:val="22"/>
              </w:rPr>
              <w:t>-Revenue Contribution to Finance Capital Expenditure</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1</w:t>
            </w:r>
            <w:r w:rsidR="00162755" w:rsidRPr="00FF4391">
              <w:rPr>
                <w:sz w:val="22"/>
                <w:szCs w:val="22"/>
              </w:rPr>
              <w:t>6.4</w:t>
            </w:r>
          </w:p>
        </w:tc>
        <w:tc>
          <w:tcPr>
            <w:tcW w:w="16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top w:val="nil"/>
              <w:left w:val="nil"/>
              <w:bottom w:val="nil"/>
              <w:right w:val="single" w:sz="4" w:space="0" w:color="auto"/>
            </w:tcBorders>
            <w:shd w:val="clear" w:color="auto" w:fill="FFFFFF" w:themeFill="background1"/>
            <w:vAlign w:val="bottom"/>
            <w:hideMark/>
          </w:tcPr>
          <w:p w:rsidR="005855CE" w:rsidRPr="00FF4391" w:rsidRDefault="00162755" w:rsidP="003E1624">
            <w:pPr>
              <w:jc w:val="right"/>
              <w:rPr>
                <w:sz w:val="22"/>
                <w:szCs w:val="22"/>
              </w:rPr>
            </w:pPr>
            <w:r w:rsidRPr="00FF4391">
              <w:rPr>
                <w:sz w:val="22"/>
                <w:szCs w:val="22"/>
              </w:rPr>
              <w:t>(16.4</w:t>
            </w:r>
            <w:r w:rsidR="00CF2307" w:rsidRPr="00FF4391">
              <w:rPr>
                <w:sz w:val="22"/>
                <w:szCs w:val="22"/>
              </w:rPr>
              <w:t>)</w:t>
            </w:r>
          </w:p>
        </w:tc>
      </w:tr>
      <w:tr w:rsidR="005855CE" w:rsidRPr="002F17B5" w:rsidTr="00142442">
        <w:trPr>
          <w:trHeight w:val="416"/>
          <w:jc w:val="center"/>
        </w:trPr>
        <w:tc>
          <w:tcPr>
            <w:tcW w:w="7807" w:type="dxa"/>
            <w:tcBorders>
              <w:top w:val="nil"/>
              <w:left w:val="single" w:sz="8" w:space="0" w:color="auto"/>
              <w:bottom w:val="nil"/>
              <w:right w:val="nil"/>
            </w:tcBorders>
            <w:shd w:val="clear" w:color="auto" w:fill="F2F2F2" w:themeFill="background1" w:themeFillShade="F2"/>
            <w:hideMark/>
          </w:tcPr>
          <w:p w:rsidR="005855CE" w:rsidRPr="00FF4391" w:rsidRDefault="005855CE" w:rsidP="003E1624">
            <w:pPr>
              <w:rPr>
                <w:b/>
                <w:bCs/>
                <w:iCs/>
                <w:sz w:val="22"/>
                <w:szCs w:val="22"/>
              </w:rPr>
            </w:pPr>
            <w:r w:rsidRPr="00FF4391">
              <w:rPr>
                <w:b/>
                <w:bCs/>
                <w:iCs/>
                <w:sz w:val="22"/>
                <w:szCs w:val="22"/>
              </w:rPr>
              <w:t>Inclusion of items not debited or credited to the Comprehensive Income and Expenditure Statement:</w:t>
            </w:r>
          </w:p>
        </w:tc>
        <w:tc>
          <w:tcPr>
            <w:tcW w:w="1559" w:type="dxa"/>
            <w:tcBorders>
              <w:top w:val="nil"/>
              <w:left w:val="single" w:sz="4" w:space="0" w:color="auto"/>
              <w:bottom w:val="nil"/>
              <w:right w:val="single" w:sz="4" w:space="0" w:color="auto"/>
            </w:tcBorders>
            <w:shd w:val="clear" w:color="auto" w:fill="F2F2F2" w:themeFill="background1" w:themeFillShade="F2"/>
            <w:vAlign w:val="bottom"/>
            <w:hideMark/>
          </w:tcPr>
          <w:p w:rsidR="005855CE" w:rsidRPr="00FF4391" w:rsidRDefault="005855CE" w:rsidP="003E1624">
            <w:pPr>
              <w:jc w:val="right"/>
              <w:rPr>
                <w:sz w:val="22"/>
                <w:szCs w:val="22"/>
              </w:rPr>
            </w:pPr>
          </w:p>
        </w:tc>
        <w:tc>
          <w:tcPr>
            <w:tcW w:w="1601" w:type="dxa"/>
            <w:tcBorders>
              <w:top w:val="nil"/>
              <w:left w:val="nil"/>
              <w:bottom w:val="nil"/>
              <w:right w:val="single" w:sz="4" w:space="0" w:color="auto"/>
            </w:tcBorders>
            <w:shd w:val="clear" w:color="auto" w:fill="F2F2F2" w:themeFill="background1" w:themeFillShade="F2"/>
            <w:vAlign w:val="bottom"/>
            <w:hideMark/>
          </w:tcPr>
          <w:p w:rsidR="005855CE" w:rsidRPr="00FF4391" w:rsidRDefault="005855CE" w:rsidP="003E1624">
            <w:pPr>
              <w:jc w:val="right"/>
              <w:rPr>
                <w:sz w:val="22"/>
                <w:szCs w:val="22"/>
              </w:rPr>
            </w:pPr>
          </w:p>
        </w:tc>
        <w:tc>
          <w:tcPr>
            <w:tcW w:w="1701" w:type="dxa"/>
            <w:tcBorders>
              <w:top w:val="nil"/>
              <w:left w:val="nil"/>
              <w:bottom w:val="nil"/>
              <w:right w:val="single" w:sz="4" w:space="0" w:color="auto"/>
            </w:tcBorders>
            <w:shd w:val="clear" w:color="auto" w:fill="F2F2F2" w:themeFill="background1" w:themeFillShade="F2"/>
            <w:vAlign w:val="bottom"/>
            <w:hideMark/>
          </w:tcPr>
          <w:p w:rsidR="005855CE" w:rsidRPr="00FF4391" w:rsidRDefault="005855CE" w:rsidP="003E1624">
            <w:pPr>
              <w:jc w:val="right"/>
              <w:rPr>
                <w:sz w:val="22"/>
                <w:szCs w:val="22"/>
              </w:rPr>
            </w:pPr>
          </w:p>
        </w:tc>
        <w:tc>
          <w:tcPr>
            <w:tcW w:w="2550" w:type="dxa"/>
            <w:tcBorders>
              <w:top w:val="nil"/>
              <w:left w:val="nil"/>
              <w:bottom w:val="nil"/>
              <w:right w:val="single" w:sz="4" w:space="0" w:color="auto"/>
            </w:tcBorders>
            <w:shd w:val="clear" w:color="auto" w:fill="F2F2F2" w:themeFill="background1" w:themeFillShade="F2"/>
            <w:vAlign w:val="bottom"/>
            <w:hideMark/>
          </w:tcPr>
          <w:p w:rsidR="005855CE" w:rsidRPr="00FF4391" w:rsidRDefault="005855CE" w:rsidP="003E1624">
            <w:pPr>
              <w:jc w:val="right"/>
              <w:rPr>
                <w:sz w:val="22"/>
                <w:szCs w:val="22"/>
              </w:rPr>
            </w:pPr>
          </w:p>
        </w:tc>
      </w:tr>
      <w:tr w:rsidR="005855CE" w:rsidRPr="002F17B5" w:rsidTr="00142442">
        <w:trPr>
          <w:trHeight w:val="262"/>
          <w:jc w:val="center"/>
        </w:trPr>
        <w:tc>
          <w:tcPr>
            <w:tcW w:w="7807" w:type="dxa"/>
            <w:tcBorders>
              <w:top w:val="nil"/>
              <w:left w:val="single" w:sz="8" w:space="0" w:color="auto"/>
              <w:bottom w:val="nil"/>
              <w:right w:val="nil"/>
            </w:tcBorders>
            <w:shd w:val="clear" w:color="auto" w:fill="FFFFFF" w:themeFill="background1"/>
            <w:noWrap/>
            <w:hideMark/>
          </w:tcPr>
          <w:p w:rsidR="005855CE" w:rsidRPr="00FF4391" w:rsidRDefault="005855CE" w:rsidP="003E1624">
            <w:pPr>
              <w:rPr>
                <w:sz w:val="22"/>
                <w:szCs w:val="22"/>
              </w:rPr>
            </w:pPr>
            <w:r w:rsidRPr="00FF4391">
              <w:rPr>
                <w:sz w:val="22"/>
                <w:szCs w:val="22"/>
              </w:rPr>
              <w:lastRenderedPageBreak/>
              <w:t>-Statutory provision for the financing of capital investment (MRP)</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FF4391" w:rsidRDefault="000D2424" w:rsidP="003E1624">
            <w:pPr>
              <w:jc w:val="right"/>
              <w:rPr>
                <w:sz w:val="22"/>
                <w:szCs w:val="22"/>
              </w:rPr>
            </w:pPr>
            <w:r w:rsidRPr="00FF4391">
              <w:rPr>
                <w:sz w:val="22"/>
                <w:szCs w:val="22"/>
              </w:rPr>
              <w:t>27.6</w:t>
            </w:r>
          </w:p>
        </w:tc>
        <w:tc>
          <w:tcPr>
            <w:tcW w:w="16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top w:val="nil"/>
              <w:left w:val="nil"/>
              <w:bottom w:val="nil"/>
              <w:right w:val="single" w:sz="4" w:space="0" w:color="auto"/>
            </w:tcBorders>
            <w:shd w:val="clear" w:color="auto" w:fill="FFFFFF" w:themeFill="background1"/>
            <w:vAlign w:val="bottom"/>
            <w:hideMark/>
          </w:tcPr>
          <w:p w:rsidR="005855CE" w:rsidRPr="00FF4391" w:rsidRDefault="00CF2307" w:rsidP="003E1624">
            <w:pPr>
              <w:jc w:val="right"/>
              <w:rPr>
                <w:sz w:val="22"/>
                <w:szCs w:val="22"/>
              </w:rPr>
            </w:pPr>
            <w:r w:rsidRPr="00FF4391">
              <w:rPr>
                <w:sz w:val="22"/>
                <w:szCs w:val="22"/>
              </w:rPr>
              <w:t>(</w:t>
            </w:r>
            <w:r w:rsidR="000D2424" w:rsidRPr="00FF4391">
              <w:rPr>
                <w:sz w:val="22"/>
                <w:szCs w:val="22"/>
              </w:rPr>
              <w:t>27.6</w:t>
            </w:r>
            <w:r w:rsidRPr="00FF4391">
              <w:rPr>
                <w:sz w:val="22"/>
                <w:szCs w:val="22"/>
              </w:rPr>
              <w:t>)</w:t>
            </w:r>
          </w:p>
        </w:tc>
      </w:tr>
      <w:tr w:rsidR="005855CE" w:rsidRPr="002F17B5" w:rsidTr="0005110C">
        <w:trPr>
          <w:trHeight w:val="262"/>
          <w:jc w:val="center"/>
        </w:trPr>
        <w:tc>
          <w:tcPr>
            <w:tcW w:w="7807" w:type="dxa"/>
            <w:tcBorders>
              <w:top w:val="nil"/>
              <w:left w:val="single" w:sz="8" w:space="0" w:color="auto"/>
              <w:bottom w:val="single" w:sz="4" w:space="0" w:color="auto"/>
              <w:right w:val="nil"/>
            </w:tcBorders>
            <w:shd w:val="clear" w:color="auto" w:fill="FFFFFF" w:themeFill="background1"/>
            <w:noWrap/>
            <w:hideMark/>
          </w:tcPr>
          <w:p w:rsidR="005855CE" w:rsidRPr="00FF4391" w:rsidRDefault="005855CE" w:rsidP="003E1624">
            <w:pPr>
              <w:rPr>
                <w:sz w:val="22"/>
                <w:szCs w:val="22"/>
              </w:rPr>
            </w:pPr>
            <w:r w:rsidRPr="00FF4391">
              <w:rPr>
                <w:sz w:val="22"/>
                <w:szCs w:val="22"/>
              </w:rPr>
              <w:t>-Statutory provision for the financing of capital investment (MRP PFI)</w:t>
            </w:r>
          </w:p>
        </w:tc>
        <w:tc>
          <w:tcPr>
            <w:tcW w:w="1559" w:type="dxa"/>
            <w:tcBorders>
              <w:top w:val="nil"/>
              <w:left w:val="single" w:sz="4" w:space="0" w:color="auto"/>
              <w:bottom w:val="single" w:sz="4" w:space="0" w:color="auto"/>
              <w:right w:val="single" w:sz="4" w:space="0" w:color="auto"/>
            </w:tcBorders>
            <w:shd w:val="clear" w:color="auto" w:fill="FFFFFF" w:themeFill="background1"/>
            <w:vAlign w:val="bottom"/>
            <w:hideMark/>
          </w:tcPr>
          <w:p w:rsidR="005855CE" w:rsidRPr="00FF4391" w:rsidRDefault="00162755" w:rsidP="003E1624">
            <w:pPr>
              <w:jc w:val="right"/>
              <w:rPr>
                <w:sz w:val="22"/>
                <w:szCs w:val="22"/>
              </w:rPr>
            </w:pPr>
            <w:r w:rsidRPr="00FF4391">
              <w:rPr>
                <w:sz w:val="22"/>
                <w:szCs w:val="22"/>
              </w:rPr>
              <w:t>7.6</w:t>
            </w:r>
          </w:p>
        </w:tc>
        <w:tc>
          <w:tcPr>
            <w:tcW w:w="1601" w:type="dxa"/>
            <w:tcBorders>
              <w:top w:val="nil"/>
              <w:left w:val="nil"/>
              <w:bottom w:val="single" w:sz="4" w:space="0" w:color="auto"/>
              <w:right w:val="single" w:sz="4" w:space="0" w:color="auto"/>
            </w:tcBorders>
            <w:shd w:val="clear" w:color="auto" w:fill="FFFFFF" w:themeFill="background1"/>
            <w:vAlign w:val="bottom"/>
            <w:hideMark/>
          </w:tcPr>
          <w:p w:rsidR="005855CE" w:rsidRPr="00FF4391" w:rsidRDefault="00CF2307" w:rsidP="003E1624">
            <w:pPr>
              <w:jc w:val="right"/>
              <w:rPr>
                <w:sz w:val="22"/>
                <w:szCs w:val="22"/>
              </w:rPr>
            </w:pPr>
            <w:r w:rsidRPr="00FF4391">
              <w:rPr>
                <w:sz w:val="22"/>
                <w:szCs w:val="22"/>
              </w:rPr>
              <w:t>-</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5855CE" w:rsidRPr="00FF4391" w:rsidRDefault="00CF2307" w:rsidP="003E1624">
            <w:pPr>
              <w:jc w:val="right"/>
              <w:rPr>
                <w:sz w:val="22"/>
                <w:szCs w:val="22"/>
              </w:rPr>
            </w:pPr>
            <w:r w:rsidRPr="00FF4391">
              <w:rPr>
                <w:sz w:val="22"/>
                <w:szCs w:val="22"/>
              </w:rPr>
              <w:t>-</w:t>
            </w:r>
          </w:p>
        </w:tc>
        <w:tc>
          <w:tcPr>
            <w:tcW w:w="2550" w:type="dxa"/>
            <w:tcBorders>
              <w:top w:val="nil"/>
              <w:left w:val="nil"/>
              <w:bottom w:val="single" w:sz="4" w:space="0" w:color="auto"/>
              <w:right w:val="single" w:sz="4" w:space="0" w:color="auto"/>
            </w:tcBorders>
            <w:shd w:val="clear" w:color="auto" w:fill="FFFFFF" w:themeFill="background1"/>
            <w:vAlign w:val="bottom"/>
            <w:hideMark/>
          </w:tcPr>
          <w:p w:rsidR="005855CE" w:rsidRPr="00FF4391" w:rsidRDefault="00CF2307" w:rsidP="003E1624">
            <w:pPr>
              <w:jc w:val="right"/>
              <w:rPr>
                <w:sz w:val="22"/>
                <w:szCs w:val="22"/>
              </w:rPr>
            </w:pPr>
            <w:r w:rsidRPr="00FF4391">
              <w:rPr>
                <w:sz w:val="22"/>
                <w:szCs w:val="22"/>
              </w:rPr>
              <w:t>(7.6)</w:t>
            </w:r>
          </w:p>
        </w:tc>
      </w:tr>
      <w:tr w:rsidR="005855CE" w:rsidRPr="002F17B5" w:rsidTr="0005110C">
        <w:trPr>
          <w:trHeight w:val="262"/>
          <w:jc w:val="center"/>
        </w:trPr>
        <w:tc>
          <w:tcPr>
            <w:tcW w:w="7807" w:type="dxa"/>
            <w:tcBorders>
              <w:left w:val="single" w:sz="8" w:space="0" w:color="auto"/>
              <w:right w:val="nil"/>
            </w:tcBorders>
            <w:shd w:val="clear" w:color="auto" w:fill="D9D9D9" w:themeFill="background1" w:themeFillShade="D9"/>
            <w:noWrap/>
            <w:vAlign w:val="bottom"/>
            <w:hideMark/>
          </w:tcPr>
          <w:p w:rsidR="005855CE" w:rsidRPr="00FF4391" w:rsidRDefault="005855CE" w:rsidP="003E1624">
            <w:pPr>
              <w:rPr>
                <w:b/>
                <w:bCs/>
                <w:color w:val="auto"/>
                <w:sz w:val="22"/>
                <w:szCs w:val="22"/>
              </w:rPr>
            </w:pPr>
            <w:r w:rsidRPr="00FF4391">
              <w:rPr>
                <w:b/>
                <w:bCs/>
                <w:color w:val="auto"/>
                <w:sz w:val="22"/>
                <w:szCs w:val="22"/>
              </w:rPr>
              <w:t>Adjustments involving the Capital Grants Unapplied Account</w:t>
            </w:r>
          </w:p>
        </w:tc>
        <w:tc>
          <w:tcPr>
            <w:tcW w:w="1559" w:type="dxa"/>
            <w:tcBorders>
              <w:left w:val="single" w:sz="4" w:space="0" w:color="auto"/>
              <w:right w:val="single" w:sz="4" w:space="0" w:color="auto"/>
            </w:tcBorders>
            <w:shd w:val="clear" w:color="auto" w:fill="D9D9D9" w:themeFill="background1" w:themeFillShade="D9"/>
            <w:vAlign w:val="bottom"/>
            <w:hideMark/>
          </w:tcPr>
          <w:p w:rsidR="005855CE" w:rsidRPr="00FF4391" w:rsidRDefault="005855CE" w:rsidP="003E1624">
            <w:pPr>
              <w:jc w:val="right"/>
              <w:rPr>
                <w:sz w:val="22"/>
                <w:szCs w:val="22"/>
              </w:rPr>
            </w:pPr>
          </w:p>
        </w:tc>
        <w:tc>
          <w:tcPr>
            <w:tcW w:w="16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sz w:val="22"/>
                <w:szCs w:val="22"/>
              </w:rPr>
            </w:pPr>
          </w:p>
        </w:tc>
        <w:tc>
          <w:tcPr>
            <w:tcW w:w="17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sz w:val="22"/>
                <w:szCs w:val="22"/>
              </w:rPr>
            </w:pPr>
          </w:p>
        </w:tc>
        <w:tc>
          <w:tcPr>
            <w:tcW w:w="2550"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sz w:val="22"/>
                <w:szCs w:val="22"/>
              </w:rPr>
            </w:pPr>
          </w:p>
        </w:tc>
      </w:tr>
      <w:tr w:rsidR="005855CE" w:rsidRPr="002F17B5" w:rsidTr="00142442">
        <w:trPr>
          <w:trHeight w:val="262"/>
          <w:jc w:val="center"/>
        </w:trPr>
        <w:tc>
          <w:tcPr>
            <w:tcW w:w="7807" w:type="dxa"/>
            <w:tcBorders>
              <w:left w:val="single" w:sz="8" w:space="0" w:color="auto"/>
              <w:bottom w:val="nil"/>
              <w:right w:val="nil"/>
            </w:tcBorders>
            <w:shd w:val="clear" w:color="auto" w:fill="FFFFFF" w:themeFill="background1"/>
            <w:noWrap/>
            <w:hideMark/>
          </w:tcPr>
          <w:p w:rsidR="005855CE" w:rsidRPr="00FF4391" w:rsidRDefault="0005110C" w:rsidP="003E1624">
            <w:pPr>
              <w:rPr>
                <w:sz w:val="22"/>
                <w:szCs w:val="22"/>
              </w:rPr>
            </w:pPr>
            <w:r w:rsidRPr="00FF4391">
              <w:rPr>
                <w:sz w:val="22"/>
                <w:szCs w:val="22"/>
              </w:rPr>
              <w:t>-</w:t>
            </w:r>
            <w:r w:rsidR="005855CE" w:rsidRPr="00FF4391">
              <w:rPr>
                <w:sz w:val="22"/>
                <w:szCs w:val="22"/>
              </w:rPr>
              <w:t>Capital grants and contributions unapplied credited to CIES</w:t>
            </w:r>
          </w:p>
        </w:tc>
        <w:tc>
          <w:tcPr>
            <w:tcW w:w="1559" w:type="dxa"/>
            <w:tcBorders>
              <w:left w:val="single" w:sz="4" w:space="0" w:color="auto"/>
              <w:bottom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19.6</w:t>
            </w:r>
          </w:p>
        </w:tc>
        <w:tc>
          <w:tcPr>
            <w:tcW w:w="1601" w:type="dxa"/>
            <w:tcBorders>
              <w:left w:val="nil"/>
              <w:bottom w:val="nil"/>
              <w:right w:val="single" w:sz="4" w:space="0" w:color="auto"/>
            </w:tcBorders>
            <w:shd w:val="clear" w:color="auto" w:fill="FFFFFF" w:themeFill="background1"/>
            <w:vAlign w:val="bottom"/>
            <w:hideMark/>
          </w:tcPr>
          <w:p w:rsidR="005855CE" w:rsidRPr="00FF4391" w:rsidRDefault="00CF2307" w:rsidP="003E1624">
            <w:pPr>
              <w:jc w:val="right"/>
              <w:rPr>
                <w:sz w:val="22"/>
                <w:szCs w:val="22"/>
              </w:rPr>
            </w:pPr>
            <w:r w:rsidRPr="00FF4391">
              <w:rPr>
                <w:sz w:val="22"/>
                <w:szCs w:val="22"/>
              </w:rPr>
              <w:t>-</w:t>
            </w:r>
          </w:p>
        </w:tc>
        <w:tc>
          <w:tcPr>
            <w:tcW w:w="1701" w:type="dxa"/>
            <w:tcBorders>
              <w:left w:val="nil"/>
              <w:bottom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(19.6)</w:t>
            </w:r>
          </w:p>
        </w:tc>
        <w:tc>
          <w:tcPr>
            <w:tcW w:w="2550" w:type="dxa"/>
            <w:tcBorders>
              <w:left w:val="nil"/>
              <w:bottom w:val="nil"/>
              <w:right w:val="single" w:sz="4" w:space="0" w:color="auto"/>
            </w:tcBorders>
            <w:shd w:val="clear" w:color="auto" w:fill="FFFFFF" w:themeFill="background1"/>
            <w:vAlign w:val="bottom"/>
            <w:hideMark/>
          </w:tcPr>
          <w:p w:rsidR="005855CE" w:rsidRPr="00FF4391" w:rsidRDefault="00CF2307" w:rsidP="003E1624">
            <w:pPr>
              <w:jc w:val="right"/>
              <w:rPr>
                <w:sz w:val="22"/>
                <w:szCs w:val="22"/>
              </w:rPr>
            </w:pPr>
            <w:r w:rsidRPr="00FF4391">
              <w:rPr>
                <w:sz w:val="22"/>
                <w:szCs w:val="22"/>
              </w:rPr>
              <w:t>-</w:t>
            </w:r>
          </w:p>
        </w:tc>
      </w:tr>
      <w:tr w:rsidR="005855CE" w:rsidRPr="002F17B5" w:rsidTr="00142442">
        <w:trPr>
          <w:trHeight w:val="416"/>
          <w:jc w:val="center"/>
        </w:trPr>
        <w:tc>
          <w:tcPr>
            <w:tcW w:w="7807" w:type="dxa"/>
            <w:tcBorders>
              <w:top w:val="nil"/>
              <w:left w:val="single" w:sz="8" w:space="0" w:color="auto"/>
              <w:right w:val="nil"/>
            </w:tcBorders>
            <w:shd w:val="clear" w:color="auto" w:fill="FFFFFF" w:themeFill="background1"/>
            <w:hideMark/>
          </w:tcPr>
          <w:p w:rsidR="005855CE" w:rsidRPr="00FF4391" w:rsidRDefault="0005110C" w:rsidP="003E1624">
            <w:pPr>
              <w:rPr>
                <w:sz w:val="22"/>
                <w:szCs w:val="22"/>
              </w:rPr>
            </w:pPr>
            <w:r w:rsidRPr="00FF4391">
              <w:rPr>
                <w:sz w:val="22"/>
                <w:szCs w:val="22"/>
              </w:rPr>
              <w:t>-</w:t>
            </w:r>
            <w:r w:rsidR="005855CE" w:rsidRPr="00FF4391">
              <w:rPr>
                <w:sz w:val="22"/>
                <w:szCs w:val="22"/>
              </w:rPr>
              <w:t>Application of grants to capital financing transferred to the Capital Adjustment Account</w:t>
            </w:r>
          </w:p>
        </w:tc>
        <w:tc>
          <w:tcPr>
            <w:tcW w:w="1559" w:type="dxa"/>
            <w:tcBorders>
              <w:top w:val="nil"/>
              <w:left w:val="single" w:sz="4" w:space="0" w:color="auto"/>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78.6</w:t>
            </w:r>
          </w:p>
        </w:tc>
        <w:tc>
          <w:tcPr>
            <w:tcW w:w="1601" w:type="dxa"/>
            <w:tcBorders>
              <w:top w:val="nil"/>
              <w:left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59.5</w:t>
            </w:r>
          </w:p>
        </w:tc>
        <w:tc>
          <w:tcPr>
            <w:tcW w:w="2550" w:type="dxa"/>
            <w:tcBorders>
              <w:top w:val="nil"/>
              <w:left w:val="nil"/>
              <w:right w:val="single" w:sz="4" w:space="0" w:color="auto"/>
            </w:tcBorders>
            <w:shd w:val="clear" w:color="auto" w:fill="FFFFFF" w:themeFill="background1"/>
            <w:vAlign w:val="bottom"/>
            <w:hideMark/>
          </w:tcPr>
          <w:p w:rsidR="005855CE" w:rsidRPr="00FF4391" w:rsidRDefault="00CF2307" w:rsidP="003E1624">
            <w:pPr>
              <w:jc w:val="right"/>
              <w:rPr>
                <w:sz w:val="22"/>
                <w:szCs w:val="22"/>
              </w:rPr>
            </w:pPr>
            <w:r w:rsidRPr="00FF4391">
              <w:rPr>
                <w:sz w:val="22"/>
                <w:szCs w:val="22"/>
              </w:rPr>
              <w:t>(138.1)</w:t>
            </w:r>
          </w:p>
        </w:tc>
      </w:tr>
      <w:tr w:rsidR="005855CE" w:rsidRPr="002F17B5" w:rsidTr="00142442">
        <w:trPr>
          <w:trHeight w:val="262"/>
          <w:jc w:val="center"/>
        </w:trPr>
        <w:tc>
          <w:tcPr>
            <w:tcW w:w="7807" w:type="dxa"/>
            <w:tcBorders>
              <w:left w:val="single" w:sz="8" w:space="0" w:color="auto"/>
              <w:right w:val="nil"/>
            </w:tcBorders>
            <w:shd w:val="clear" w:color="auto" w:fill="D9D9D9" w:themeFill="background1" w:themeFillShade="D9"/>
            <w:noWrap/>
            <w:hideMark/>
          </w:tcPr>
          <w:p w:rsidR="005855CE" w:rsidRPr="00FF4391" w:rsidRDefault="005855CE" w:rsidP="003E1624">
            <w:pPr>
              <w:rPr>
                <w:b/>
                <w:bCs/>
                <w:color w:val="auto"/>
                <w:sz w:val="22"/>
                <w:szCs w:val="22"/>
              </w:rPr>
            </w:pPr>
            <w:r w:rsidRPr="00FF4391">
              <w:rPr>
                <w:b/>
                <w:bCs/>
                <w:color w:val="auto"/>
                <w:sz w:val="22"/>
                <w:szCs w:val="22"/>
              </w:rPr>
              <w:t>Adjustments involving the Capital Receipts Reserve:</w:t>
            </w:r>
          </w:p>
        </w:tc>
        <w:tc>
          <w:tcPr>
            <w:tcW w:w="1559" w:type="dxa"/>
            <w:tcBorders>
              <w:left w:val="single" w:sz="4" w:space="0" w:color="auto"/>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6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7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2550"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r>
      <w:tr w:rsidR="005855CE" w:rsidRPr="002F17B5" w:rsidTr="00142442">
        <w:trPr>
          <w:trHeight w:val="262"/>
          <w:jc w:val="center"/>
        </w:trPr>
        <w:tc>
          <w:tcPr>
            <w:tcW w:w="7807" w:type="dxa"/>
            <w:tcBorders>
              <w:left w:val="single" w:sz="8" w:space="0" w:color="auto"/>
              <w:right w:val="nil"/>
            </w:tcBorders>
            <w:shd w:val="clear" w:color="auto" w:fill="FFFFFF" w:themeFill="background1"/>
            <w:hideMark/>
          </w:tcPr>
          <w:p w:rsidR="005855CE" w:rsidRPr="00FF4391" w:rsidRDefault="0005110C" w:rsidP="003E1624">
            <w:pPr>
              <w:rPr>
                <w:sz w:val="22"/>
                <w:szCs w:val="22"/>
              </w:rPr>
            </w:pPr>
            <w:r w:rsidRPr="00FF4391">
              <w:rPr>
                <w:sz w:val="22"/>
                <w:szCs w:val="22"/>
              </w:rPr>
              <w:t>-</w:t>
            </w:r>
            <w:r w:rsidR="005855CE" w:rsidRPr="00FF4391">
              <w:rPr>
                <w:sz w:val="22"/>
                <w:szCs w:val="22"/>
              </w:rPr>
              <w:t>Transfer of sale proceeds credited as part of the gain/loss on disposal to the CIES</w:t>
            </w:r>
          </w:p>
        </w:tc>
        <w:tc>
          <w:tcPr>
            <w:tcW w:w="1559" w:type="dxa"/>
            <w:tcBorders>
              <w:left w:val="single" w:sz="4" w:space="0" w:color="auto"/>
              <w:right w:val="single" w:sz="4" w:space="0" w:color="auto"/>
            </w:tcBorders>
            <w:shd w:val="clear" w:color="auto" w:fill="FFFFFF" w:themeFill="background1"/>
            <w:vAlign w:val="bottom"/>
            <w:hideMark/>
          </w:tcPr>
          <w:p w:rsidR="005855CE" w:rsidRPr="00FF4391" w:rsidRDefault="000D2424" w:rsidP="003E1624">
            <w:pPr>
              <w:jc w:val="right"/>
              <w:rPr>
                <w:sz w:val="22"/>
                <w:szCs w:val="22"/>
              </w:rPr>
            </w:pPr>
            <w:r w:rsidRPr="00FF4391">
              <w:rPr>
                <w:sz w:val="22"/>
                <w:szCs w:val="22"/>
              </w:rPr>
              <w:t>4.7</w:t>
            </w:r>
          </w:p>
        </w:tc>
        <w:tc>
          <w:tcPr>
            <w:tcW w:w="1601" w:type="dxa"/>
            <w:tcBorders>
              <w:left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(4.7)</w:t>
            </w:r>
          </w:p>
        </w:tc>
        <w:tc>
          <w:tcPr>
            <w:tcW w:w="1701" w:type="dxa"/>
            <w:tcBorders>
              <w:left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left w:val="nil"/>
              <w:right w:val="single" w:sz="4" w:space="0" w:color="auto"/>
            </w:tcBorders>
            <w:shd w:val="clear" w:color="auto" w:fill="FFFFFF" w:themeFill="background1"/>
            <w:vAlign w:val="bottom"/>
            <w:hideMark/>
          </w:tcPr>
          <w:p w:rsidR="005855CE" w:rsidRPr="00FF4391" w:rsidRDefault="00CF2307" w:rsidP="003E1624">
            <w:pPr>
              <w:jc w:val="right"/>
              <w:rPr>
                <w:sz w:val="22"/>
                <w:szCs w:val="22"/>
              </w:rPr>
            </w:pPr>
            <w:r w:rsidRPr="00FF4391">
              <w:rPr>
                <w:sz w:val="22"/>
                <w:szCs w:val="22"/>
              </w:rPr>
              <w:t>-</w:t>
            </w:r>
          </w:p>
        </w:tc>
      </w:tr>
      <w:tr w:rsidR="005855CE" w:rsidRPr="002F17B5" w:rsidTr="00142442">
        <w:trPr>
          <w:trHeight w:val="262"/>
          <w:jc w:val="center"/>
        </w:trPr>
        <w:tc>
          <w:tcPr>
            <w:tcW w:w="7807" w:type="dxa"/>
            <w:tcBorders>
              <w:left w:val="single" w:sz="8" w:space="0" w:color="auto"/>
              <w:right w:val="nil"/>
            </w:tcBorders>
            <w:shd w:val="clear" w:color="auto" w:fill="D9D9D9" w:themeFill="background1" w:themeFillShade="D9"/>
            <w:hideMark/>
          </w:tcPr>
          <w:p w:rsidR="005855CE" w:rsidRPr="00FF4391" w:rsidRDefault="005855CE" w:rsidP="003E1624">
            <w:pPr>
              <w:rPr>
                <w:b/>
                <w:bCs/>
                <w:color w:val="auto"/>
                <w:sz w:val="22"/>
                <w:szCs w:val="22"/>
              </w:rPr>
            </w:pPr>
            <w:r w:rsidRPr="00FF4391">
              <w:rPr>
                <w:b/>
                <w:bCs/>
                <w:color w:val="auto"/>
                <w:sz w:val="22"/>
                <w:szCs w:val="22"/>
              </w:rPr>
              <w:t>Adjustments involving the Financial Instruments Adjustment Account:</w:t>
            </w:r>
          </w:p>
        </w:tc>
        <w:tc>
          <w:tcPr>
            <w:tcW w:w="1559" w:type="dxa"/>
            <w:tcBorders>
              <w:left w:val="single" w:sz="4" w:space="0" w:color="auto"/>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6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7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2550"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r>
      <w:tr w:rsidR="005855CE" w:rsidRPr="002F17B5" w:rsidTr="00142442">
        <w:trPr>
          <w:trHeight w:val="416"/>
          <w:jc w:val="center"/>
        </w:trPr>
        <w:tc>
          <w:tcPr>
            <w:tcW w:w="7807" w:type="dxa"/>
            <w:tcBorders>
              <w:left w:val="single" w:sz="8" w:space="0" w:color="auto"/>
              <w:right w:val="nil"/>
            </w:tcBorders>
            <w:shd w:val="clear" w:color="auto" w:fill="FFFFFF" w:themeFill="background1"/>
            <w:hideMark/>
          </w:tcPr>
          <w:p w:rsidR="005855CE" w:rsidRPr="00FF4391" w:rsidRDefault="0005110C" w:rsidP="003E1624">
            <w:pPr>
              <w:rPr>
                <w:sz w:val="22"/>
                <w:szCs w:val="22"/>
              </w:rPr>
            </w:pPr>
            <w:r w:rsidRPr="00FF4391">
              <w:rPr>
                <w:sz w:val="22"/>
                <w:szCs w:val="22"/>
              </w:rPr>
              <w:t>-</w:t>
            </w:r>
            <w:r w:rsidR="005855CE" w:rsidRPr="00FF4391">
              <w:rPr>
                <w:sz w:val="22"/>
                <w:szCs w:val="22"/>
              </w:rPr>
              <w:t>Amount by which finance costs charged to the CIES are different from finance costs chargeable in the year in accordan</w:t>
            </w:r>
            <w:r w:rsidRPr="00FF4391">
              <w:rPr>
                <w:sz w:val="22"/>
                <w:szCs w:val="22"/>
              </w:rPr>
              <w:t>ce with statutory requirements</w:t>
            </w:r>
          </w:p>
        </w:tc>
        <w:tc>
          <w:tcPr>
            <w:tcW w:w="1559" w:type="dxa"/>
            <w:tcBorders>
              <w:left w:val="single" w:sz="4" w:space="0" w:color="auto"/>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2.5</w:t>
            </w:r>
          </w:p>
        </w:tc>
        <w:tc>
          <w:tcPr>
            <w:tcW w:w="1601" w:type="dxa"/>
            <w:tcBorders>
              <w:left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left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left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(2.5)</w:t>
            </w:r>
          </w:p>
        </w:tc>
      </w:tr>
      <w:tr w:rsidR="005855CE" w:rsidRPr="002F17B5" w:rsidTr="00142442">
        <w:trPr>
          <w:trHeight w:val="262"/>
          <w:jc w:val="center"/>
        </w:trPr>
        <w:tc>
          <w:tcPr>
            <w:tcW w:w="7807" w:type="dxa"/>
            <w:tcBorders>
              <w:left w:val="single" w:sz="8" w:space="0" w:color="auto"/>
              <w:right w:val="nil"/>
            </w:tcBorders>
            <w:shd w:val="clear" w:color="auto" w:fill="D9D9D9" w:themeFill="background1" w:themeFillShade="D9"/>
            <w:noWrap/>
            <w:hideMark/>
          </w:tcPr>
          <w:p w:rsidR="005855CE" w:rsidRPr="00FF4391" w:rsidRDefault="005855CE" w:rsidP="003E1624">
            <w:pPr>
              <w:rPr>
                <w:b/>
                <w:bCs/>
                <w:color w:val="auto"/>
                <w:sz w:val="22"/>
                <w:szCs w:val="22"/>
              </w:rPr>
            </w:pPr>
            <w:r w:rsidRPr="00FF4391">
              <w:rPr>
                <w:b/>
                <w:bCs/>
                <w:color w:val="auto"/>
                <w:sz w:val="22"/>
                <w:szCs w:val="22"/>
              </w:rPr>
              <w:t>Adjustments involving the Pensions Reserve:</w:t>
            </w:r>
          </w:p>
        </w:tc>
        <w:tc>
          <w:tcPr>
            <w:tcW w:w="1559" w:type="dxa"/>
            <w:tcBorders>
              <w:left w:val="single" w:sz="4" w:space="0" w:color="auto"/>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6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7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2550"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r>
      <w:tr w:rsidR="005855CE" w:rsidRPr="002F17B5" w:rsidTr="00142442">
        <w:trPr>
          <w:trHeight w:val="416"/>
          <w:jc w:val="center"/>
        </w:trPr>
        <w:tc>
          <w:tcPr>
            <w:tcW w:w="7807" w:type="dxa"/>
            <w:tcBorders>
              <w:left w:val="single" w:sz="8" w:space="0" w:color="auto"/>
              <w:bottom w:val="nil"/>
              <w:right w:val="nil"/>
            </w:tcBorders>
            <w:shd w:val="clear" w:color="auto" w:fill="FFFFFF" w:themeFill="background1"/>
            <w:hideMark/>
          </w:tcPr>
          <w:p w:rsidR="005855CE" w:rsidRPr="00FF4391" w:rsidRDefault="0005110C" w:rsidP="003E1624">
            <w:pPr>
              <w:rPr>
                <w:sz w:val="22"/>
                <w:szCs w:val="22"/>
              </w:rPr>
            </w:pPr>
            <w:r w:rsidRPr="00FF4391">
              <w:rPr>
                <w:sz w:val="22"/>
                <w:szCs w:val="22"/>
              </w:rPr>
              <w:t>-</w:t>
            </w:r>
            <w:r w:rsidR="005855CE" w:rsidRPr="00FF4391">
              <w:rPr>
                <w:sz w:val="22"/>
                <w:szCs w:val="22"/>
              </w:rPr>
              <w:t>Employer’s pensions contributions and direct payments to pensioners payable in the year</w:t>
            </w:r>
          </w:p>
        </w:tc>
        <w:tc>
          <w:tcPr>
            <w:tcW w:w="1559" w:type="dxa"/>
            <w:tcBorders>
              <w:left w:val="single" w:sz="4" w:space="0" w:color="auto"/>
              <w:bottom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83.1</w:t>
            </w:r>
          </w:p>
        </w:tc>
        <w:tc>
          <w:tcPr>
            <w:tcW w:w="1601" w:type="dxa"/>
            <w:tcBorders>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left w:val="nil"/>
              <w:bottom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left w:val="nil"/>
              <w:bottom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(83.1)</w:t>
            </w:r>
          </w:p>
        </w:tc>
      </w:tr>
      <w:tr w:rsidR="005855CE" w:rsidRPr="002F17B5" w:rsidTr="00142442">
        <w:trPr>
          <w:trHeight w:val="416"/>
          <w:jc w:val="center"/>
        </w:trPr>
        <w:tc>
          <w:tcPr>
            <w:tcW w:w="7807" w:type="dxa"/>
            <w:tcBorders>
              <w:top w:val="nil"/>
              <w:left w:val="single" w:sz="8" w:space="0" w:color="auto"/>
              <w:right w:val="nil"/>
            </w:tcBorders>
            <w:shd w:val="clear" w:color="auto" w:fill="FFFFFF" w:themeFill="background1"/>
            <w:hideMark/>
          </w:tcPr>
          <w:p w:rsidR="005855CE" w:rsidRPr="00FF4391" w:rsidRDefault="0005110C" w:rsidP="003E1624">
            <w:pPr>
              <w:rPr>
                <w:sz w:val="22"/>
                <w:szCs w:val="22"/>
              </w:rPr>
            </w:pPr>
            <w:r w:rsidRPr="00FF4391">
              <w:rPr>
                <w:sz w:val="22"/>
                <w:szCs w:val="22"/>
              </w:rPr>
              <w:t>-</w:t>
            </w:r>
            <w:r w:rsidR="005855CE" w:rsidRPr="00FF4391">
              <w:rPr>
                <w:sz w:val="22"/>
                <w:szCs w:val="22"/>
              </w:rPr>
              <w:t xml:space="preserve">Reversal of items relating to retirement benefits debited or credited to the Comprehensive Income and Expenditure Statement </w:t>
            </w:r>
          </w:p>
        </w:tc>
        <w:tc>
          <w:tcPr>
            <w:tcW w:w="1559" w:type="dxa"/>
            <w:tcBorders>
              <w:top w:val="nil"/>
              <w:left w:val="single" w:sz="4" w:space="0" w:color="auto"/>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(134.9)</w:t>
            </w:r>
          </w:p>
        </w:tc>
        <w:tc>
          <w:tcPr>
            <w:tcW w:w="1601" w:type="dxa"/>
            <w:tcBorders>
              <w:top w:val="nil"/>
              <w:left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top w:val="nil"/>
              <w:left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top w:val="nil"/>
              <w:left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134.9</w:t>
            </w:r>
          </w:p>
        </w:tc>
      </w:tr>
      <w:tr w:rsidR="005855CE" w:rsidRPr="002F17B5" w:rsidTr="00142442">
        <w:trPr>
          <w:trHeight w:val="262"/>
          <w:jc w:val="center"/>
        </w:trPr>
        <w:tc>
          <w:tcPr>
            <w:tcW w:w="7807" w:type="dxa"/>
            <w:tcBorders>
              <w:left w:val="single" w:sz="8" w:space="0" w:color="auto"/>
              <w:right w:val="nil"/>
            </w:tcBorders>
            <w:shd w:val="clear" w:color="auto" w:fill="D9D9D9" w:themeFill="background1" w:themeFillShade="D9"/>
            <w:noWrap/>
            <w:hideMark/>
          </w:tcPr>
          <w:p w:rsidR="005855CE" w:rsidRPr="00FF4391" w:rsidRDefault="005855CE" w:rsidP="003E1624">
            <w:pPr>
              <w:rPr>
                <w:b/>
                <w:bCs/>
                <w:color w:val="auto"/>
                <w:sz w:val="22"/>
                <w:szCs w:val="22"/>
              </w:rPr>
            </w:pPr>
            <w:r w:rsidRPr="00FF4391">
              <w:rPr>
                <w:b/>
                <w:bCs/>
                <w:color w:val="auto"/>
                <w:sz w:val="22"/>
                <w:szCs w:val="22"/>
              </w:rPr>
              <w:t>Adjustments involving the Collection Fund Adjustment Account:</w:t>
            </w:r>
          </w:p>
        </w:tc>
        <w:tc>
          <w:tcPr>
            <w:tcW w:w="1559" w:type="dxa"/>
            <w:tcBorders>
              <w:left w:val="single" w:sz="4" w:space="0" w:color="auto"/>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6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7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2550"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r>
      <w:tr w:rsidR="005855CE" w:rsidRPr="002F17B5" w:rsidTr="00142442">
        <w:trPr>
          <w:trHeight w:val="416"/>
          <w:jc w:val="center"/>
        </w:trPr>
        <w:tc>
          <w:tcPr>
            <w:tcW w:w="7807" w:type="dxa"/>
            <w:tcBorders>
              <w:left w:val="single" w:sz="8" w:space="0" w:color="auto"/>
              <w:right w:val="nil"/>
            </w:tcBorders>
            <w:shd w:val="clear" w:color="auto" w:fill="FFFFFF" w:themeFill="background1"/>
            <w:hideMark/>
          </w:tcPr>
          <w:p w:rsidR="005855CE" w:rsidRPr="00FF4391" w:rsidRDefault="0005110C" w:rsidP="003E1624">
            <w:pPr>
              <w:rPr>
                <w:sz w:val="22"/>
                <w:szCs w:val="22"/>
              </w:rPr>
            </w:pPr>
            <w:r w:rsidRPr="00FF4391">
              <w:rPr>
                <w:sz w:val="22"/>
                <w:szCs w:val="22"/>
              </w:rPr>
              <w:t>-</w:t>
            </w:r>
            <w:r w:rsidR="005855CE" w:rsidRPr="00FF4391">
              <w:rPr>
                <w:sz w:val="22"/>
                <w:szCs w:val="22"/>
              </w:rPr>
              <w:t>Amount by which council tax income credited to the CIES is different from council tax income calculated for the year in accordance with statutory requirements</w:t>
            </w:r>
          </w:p>
        </w:tc>
        <w:tc>
          <w:tcPr>
            <w:tcW w:w="1559" w:type="dxa"/>
            <w:tcBorders>
              <w:left w:val="single" w:sz="4" w:space="0" w:color="auto"/>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2.5</w:t>
            </w:r>
          </w:p>
        </w:tc>
        <w:tc>
          <w:tcPr>
            <w:tcW w:w="1601" w:type="dxa"/>
            <w:tcBorders>
              <w:left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1701" w:type="dxa"/>
            <w:tcBorders>
              <w:left w:val="nil"/>
              <w:right w:val="single" w:sz="4" w:space="0" w:color="auto"/>
            </w:tcBorders>
            <w:shd w:val="clear" w:color="auto" w:fill="FFFFFF" w:themeFill="background1"/>
            <w:vAlign w:val="bottom"/>
            <w:hideMark/>
          </w:tcPr>
          <w:p w:rsidR="005855CE" w:rsidRPr="00FF4391" w:rsidRDefault="00EA39C1" w:rsidP="003E1624">
            <w:pPr>
              <w:jc w:val="right"/>
              <w:rPr>
                <w:sz w:val="22"/>
                <w:szCs w:val="22"/>
              </w:rPr>
            </w:pPr>
            <w:r w:rsidRPr="00FF4391">
              <w:rPr>
                <w:sz w:val="22"/>
                <w:szCs w:val="22"/>
              </w:rPr>
              <w:t>-</w:t>
            </w:r>
          </w:p>
        </w:tc>
        <w:tc>
          <w:tcPr>
            <w:tcW w:w="2550" w:type="dxa"/>
            <w:tcBorders>
              <w:left w:val="nil"/>
              <w:right w:val="single" w:sz="4" w:space="0" w:color="auto"/>
            </w:tcBorders>
            <w:shd w:val="clear" w:color="auto" w:fill="FFFFFF" w:themeFill="background1"/>
            <w:vAlign w:val="bottom"/>
            <w:hideMark/>
          </w:tcPr>
          <w:p w:rsidR="005855CE" w:rsidRPr="00FF4391" w:rsidRDefault="00F2789F" w:rsidP="003E1624">
            <w:pPr>
              <w:jc w:val="right"/>
              <w:rPr>
                <w:sz w:val="22"/>
                <w:szCs w:val="22"/>
              </w:rPr>
            </w:pPr>
            <w:r w:rsidRPr="00FF4391">
              <w:rPr>
                <w:sz w:val="22"/>
                <w:szCs w:val="22"/>
              </w:rPr>
              <w:t>(2.5)</w:t>
            </w:r>
          </w:p>
        </w:tc>
      </w:tr>
      <w:tr w:rsidR="005855CE" w:rsidRPr="002F17B5" w:rsidTr="00142442">
        <w:trPr>
          <w:trHeight w:val="262"/>
          <w:jc w:val="center"/>
        </w:trPr>
        <w:tc>
          <w:tcPr>
            <w:tcW w:w="7807" w:type="dxa"/>
            <w:tcBorders>
              <w:left w:val="single" w:sz="8" w:space="0" w:color="auto"/>
              <w:right w:val="nil"/>
            </w:tcBorders>
            <w:shd w:val="clear" w:color="auto" w:fill="D9D9D9" w:themeFill="background1" w:themeFillShade="D9"/>
            <w:vAlign w:val="bottom"/>
            <w:hideMark/>
          </w:tcPr>
          <w:p w:rsidR="005855CE" w:rsidRPr="00FF4391" w:rsidRDefault="005855CE" w:rsidP="003E1624">
            <w:pPr>
              <w:rPr>
                <w:b/>
                <w:bCs/>
                <w:color w:val="auto"/>
                <w:sz w:val="22"/>
                <w:szCs w:val="22"/>
              </w:rPr>
            </w:pPr>
            <w:r w:rsidRPr="00FF4391">
              <w:rPr>
                <w:b/>
                <w:bCs/>
                <w:color w:val="auto"/>
                <w:sz w:val="22"/>
                <w:szCs w:val="22"/>
              </w:rPr>
              <w:t>Adjustment involving the Accumulated Absences Account</w:t>
            </w:r>
          </w:p>
        </w:tc>
        <w:tc>
          <w:tcPr>
            <w:tcW w:w="1559" w:type="dxa"/>
            <w:tcBorders>
              <w:left w:val="single" w:sz="4" w:space="0" w:color="auto"/>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6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1701"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c>
          <w:tcPr>
            <w:tcW w:w="2550" w:type="dxa"/>
            <w:tcBorders>
              <w:left w:val="nil"/>
              <w:right w:val="single" w:sz="4" w:space="0" w:color="auto"/>
            </w:tcBorders>
            <w:shd w:val="clear" w:color="auto" w:fill="D9D9D9" w:themeFill="background1" w:themeFillShade="D9"/>
            <w:vAlign w:val="bottom"/>
            <w:hideMark/>
          </w:tcPr>
          <w:p w:rsidR="005855CE" w:rsidRPr="00FF4391" w:rsidRDefault="005855CE" w:rsidP="003E1624">
            <w:pPr>
              <w:jc w:val="right"/>
              <w:rPr>
                <w:b/>
                <w:bCs/>
                <w:color w:val="auto"/>
                <w:sz w:val="22"/>
                <w:szCs w:val="22"/>
              </w:rPr>
            </w:pPr>
          </w:p>
        </w:tc>
      </w:tr>
      <w:tr w:rsidR="005855CE" w:rsidRPr="002F17B5" w:rsidTr="00F2789F">
        <w:trPr>
          <w:trHeight w:val="630"/>
          <w:jc w:val="center"/>
        </w:trPr>
        <w:tc>
          <w:tcPr>
            <w:tcW w:w="7807" w:type="dxa"/>
            <w:tcBorders>
              <w:left w:val="single" w:sz="8" w:space="0" w:color="auto"/>
              <w:bottom w:val="single" w:sz="4" w:space="0" w:color="auto"/>
              <w:right w:val="nil"/>
            </w:tcBorders>
            <w:shd w:val="clear" w:color="auto" w:fill="FFFFFF" w:themeFill="background1"/>
            <w:vAlign w:val="bottom"/>
            <w:hideMark/>
          </w:tcPr>
          <w:p w:rsidR="005855CE" w:rsidRPr="00FF4391" w:rsidRDefault="0005110C" w:rsidP="003E1624">
            <w:pPr>
              <w:rPr>
                <w:sz w:val="22"/>
                <w:szCs w:val="22"/>
              </w:rPr>
            </w:pPr>
            <w:r w:rsidRPr="00FF4391">
              <w:rPr>
                <w:sz w:val="22"/>
                <w:szCs w:val="22"/>
              </w:rPr>
              <w:t>-</w:t>
            </w:r>
            <w:r w:rsidR="005855CE" w:rsidRPr="00FF4391">
              <w:rPr>
                <w:sz w:val="22"/>
                <w:szCs w:val="22"/>
              </w:rPr>
              <w:t>Amount by which officer remuneration charged to the CIES on an accruals basis is different from remuneration chargeable in the year in accordance with statutory requirements</w:t>
            </w:r>
          </w:p>
        </w:tc>
        <w:tc>
          <w:tcPr>
            <w:tcW w:w="1559" w:type="dxa"/>
            <w:tcBorders>
              <w:left w:val="single" w:sz="4" w:space="0" w:color="auto"/>
              <w:bottom w:val="single" w:sz="4" w:space="0" w:color="auto"/>
              <w:right w:val="single" w:sz="4" w:space="0" w:color="auto"/>
            </w:tcBorders>
            <w:shd w:val="clear" w:color="auto" w:fill="FFFFFF" w:themeFill="background1"/>
            <w:vAlign w:val="center"/>
            <w:hideMark/>
          </w:tcPr>
          <w:p w:rsidR="005855CE" w:rsidRPr="00FF4391" w:rsidRDefault="00F2789F" w:rsidP="00F2789F">
            <w:pPr>
              <w:jc w:val="right"/>
              <w:rPr>
                <w:sz w:val="22"/>
                <w:szCs w:val="22"/>
              </w:rPr>
            </w:pPr>
            <w:r w:rsidRPr="00FF4391">
              <w:rPr>
                <w:sz w:val="22"/>
                <w:szCs w:val="22"/>
              </w:rPr>
              <w:t>(0.6)</w:t>
            </w:r>
          </w:p>
        </w:tc>
        <w:tc>
          <w:tcPr>
            <w:tcW w:w="1601" w:type="dxa"/>
            <w:tcBorders>
              <w:left w:val="nil"/>
              <w:bottom w:val="single" w:sz="4" w:space="0" w:color="auto"/>
              <w:right w:val="single" w:sz="4" w:space="0" w:color="auto"/>
            </w:tcBorders>
            <w:shd w:val="clear" w:color="auto" w:fill="FFFFFF" w:themeFill="background1"/>
            <w:vAlign w:val="center"/>
            <w:hideMark/>
          </w:tcPr>
          <w:p w:rsidR="005855CE" w:rsidRPr="00FF4391" w:rsidRDefault="00EA39C1" w:rsidP="00F2789F">
            <w:pPr>
              <w:jc w:val="right"/>
              <w:rPr>
                <w:sz w:val="22"/>
                <w:szCs w:val="22"/>
              </w:rPr>
            </w:pPr>
            <w:r w:rsidRPr="00FF4391">
              <w:rPr>
                <w:sz w:val="22"/>
                <w:szCs w:val="22"/>
              </w:rPr>
              <w:t>-</w:t>
            </w:r>
          </w:p>
        </w:tc>
        <w:tc>
          <w:tcPr>
            <w:tcW w:w="1701" w:type="dxa"/>
            <w:tcBorders>
              <w:left w:val="nil"/>
              <w:bottom w:val="single" w:sz="4" w:space="0" w:color="auto"/>
              <w:right w:val="single" w:sz="4" w:space="0" w:color="auto"/>
            </w:tcBorders>
            <w:shd w:val="clear" w:color="auto" w:fill="FFFFFF" w:themeFill="background1"/>
            <w:vAlign w:val="center"/>
            <w:hideMark/>
          </w:tcPr>
          <w:p w:rsidR="005855CE" w:rsidRPr="00FF4391" w:rsidRDefault="00EA39C1" w:rsidP="00F2789F">
            <w:pPr>
              <w:jc w:val="right"/>
              <w:rPr>
                <w:sz w:val="22"/>
                <w:szCs w:val="22"/>
              </w:rPr>
            </w:pPr>
            <w:r w:rsidRPr="00FF4391">
              <w:rPr>
                <w:sz w:val="22"/>
                <w:szCs w:val="22"/>
              </w:rPr>
              <w:t>-</w:t>
            </w:r>
          </w:p>
        </w:tc>
        <w:tc>
          <w:tcPr>
            <w:tcW w:w="2550" w:type="dxa"/>
            <w:tcBorders>
              <w:left w:val="nil"/>
              <w:bottom w:val="single" w:sz="4" w:space="0" w:color="auto"/>
              <w:right w:val="single" w:sz="4" w:space="0" w:color="auto"/>
            </w:tcBorders>
            <w:shd w:val="clear" w:color="auto" w:fill="FFFFFF" w:themeFill="background1"/>
            <w:vAlign w:val="center"/>
            <w:hideMark/>
          </w:tcPr>
          <w:p w:rsidR="005855CE" w:rsidRPr="00FF4391" w:rsidRDefault="00F2789F" w:rsidP="00F2789F">
            <w:pPr>
              <w:jc w:val="right"/>
              <w:rPr>
                <w:sz w:val="22"/>
                <w:szCs w:val="22"/>
              </w:rPr>
            </w:pPr>
            <w:r w:rsidRPr="00FF4391">
              <w:rPr>
                <w:sz w:val="22"/>
                <w:szCs w:val="22"/>
              </w:rPr>
              <w:t>0.6</w:t>
            </w:r>
          </w:p>
        </w:tc>
      </w:tr>
      <w:tr w:rsidR="005855CE" w:rsidRPr="002F17B5" w:rsidTr="00F2789F">
        <w:trPr>
          <w:trHeight w:val="250"/>
          <w:jc w:val="center"/>
        </w:trPr>
        <w:tc>
          <w:tcPr>
            <w:tcW w:w="7807" w:type="dxa"/>
            <w:tcBorders>
              <w:top w:val="single" w:sz="4" w:space="0" w:color="auto"/>
              <w:left w:val="single" w:sz="8" w:space="0" w:color="auto"/>
              <w:bottom w:val="single" w:sz="8" w:space="0" w:color="auto"/>
              <w:right w:val="nil"/>
            </w:tcBorders>
            <w:shd w:val="clear" w:color="auto" w:fill="FFFFFF" w:themeFill="background1"/>
            <w:vAlign w:val="center"/>
            <w:hideMark/>
          </w:tcPr>
          <w:p w:rsidR="005855CE" w:rsidRPr="00FF4391" w:rsidRDefault="005855CE" w:rsidP="00F2789F">
            <w:pPr>
              <w:jc w:val="left"/>
              <w:rPr>
                <w:b/>
                <w:sz w:val="22"/>
                <w:szCs w:val="22"/>
              </w:rPr>
            </w:pPr>
            <w:r w:rsidRPr="00FF4391">
              <w:rPr>
                <w:b/>
                <w:sz w:val="22"/>
                <w:szCs w:val="22"/>
              </w:rPr>
              <w:t> Total adjustments</w:t>
            </w:r>
          </w:p>
        </w:tc>
        <w:tc>
          <w:tcPr>
            <w:tcW w:w="1559" w:type="dxa"/>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rsidR="005855CE" w:rsidRPr="00FF4391" w:rsidRDefault="00F2789F" w:rsidP="00F2789F">
            <w:pPr>
              <w:jc w:val="right"/>
              <w:rPr>
                <w:b/>
                <w:bCs/>
                <w:sz w:val="22"/>
                <w:szCs w:val="22"/>
              </w:rPr>
            </w:pPr>
            <w:r w:rsidRPr="00FF4391">
              <w:rPr>
                <w:b/>
                <w:bCs/>
                <w:sz w:val="22"/>
                <w:szCs w:val="22"/>
              </w:rPr>
              <w:t>(27.5)</w:t>
            </w:r>
          </w:p>
        </w:tc>
        <w:tc>
          <w:tcPr>
            <w:tcW w:w="1601" w:type="dxa"/>
            <w:tcBorders>
              <w:top w:val="single" w:sz="4" w:space="0" w:color="auto"/>
              <w:left w:val="nil"/>
              <w:bottom w:val="single" w:sz="8" w:space="0" w:color="auto"/>
              <w:right w:val="nil"/>
            </w:tcBorders>
            <w:shd w:val="clear" w:color="auto" w:fill="FFFFFF" w:themeFill="background1"/>
            <w:noWrap/>
            <w:vAlign w:val="bottom"/>
            <w:hideMark/>
          </w:tcPr>
          <w:p w:rsidR="005855CE" w:rsidRPr="00FF4391" w:rsidRDefault="00F2789F" w:rsidP="00F2789F">
            <w:pPr>
              <w:jc w:val="right"/>
              <w:rPr>
                <w:b/>
                <w:bCs/>
                <w:sz w:val="22"/>
                <w:szCs w:val="22"/>
              </w:rPr>
            </w:pPr>
            <w:r w:rsidRPr="00FF4391">
              <w:rPr>
                <w:b/>
                <w:bCs/>
                <w:sz w:val="22"/>
                <w:szCs w:val="22"/>
              </w:rPr>
              <w:t>(4.7)</w:t>
            </w:r>
          </w:p>
        </w:tc>
        <w:tc>
          <w:tcPr>
            <w:tcW w:w="1701" w:type="dxa"/>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rsidR="005855CE" w:rsidRPr="00FF4391" w:rsidRDefault="00F2789F" w:rsidP="00F2789F">
            <w:pPr>
              <w:jc w:val="right"/>
              <w:rPr>
                <w:b/>
                <w:bCs/>
                <w:sz w:val="22"/>
                <w:szCs w:val="22"/>
              </w:rPr>
            </w:pPr>
            <w:r w:rsidRPr="00FF4391">
              <w:rPr>
                <w:b/>
                <w:bCs/>
                <w:sz w:val="22"/>
                <w:szCs w:val="22"/>
              </w:rPr>
              <w:t>39.9</w:t>
            </w:r>
          </w:p>
        </w:tc>
        <w:tc>
          <w:tcPr>
            <w:tcW w:w="2550"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5855CE" w:rsidRPr="00FF4391" w:rsidRDefault="0005110C" w:rsidP="00F2789F">
            <w:pPr>
              <w:jc w:val="right"/>
              <w:rPr>
                <w:b/>
                <w:bCs/>
                <w:sz w:val="22"/>
                <w:szCs w:val="22"/>
              </w:rPr>
            </w:pPr>
            <w:r w:rsidRPr="00FF4391">
              <w:rPr>
                <w:b/>
                <w:bCs/>
                <w:sz w:val="22"/>
                <w:szCs w:val="22"/>
              </w:rPr>
              <w:t>(</w:t>
            </w:r>
            <w:r w:rsidR="00F2789F" w:rsidRPr="00FF4391">
              <w:rPr>
                <w:b/>
                <w:bCs/>
                <w:sz w:val="22"/>
                <w:szCs w:val="22"/>
              </w:rPr>
              <w:t>7.7</w:t>
            </w:r>
            <w:r w:rsidRPr="00FF4391">
              <w:rPr>
                <w:b/>
                <w:bCs/>
                <w:sz w:val="22"/>
                <w:szCs w:val="22"/>
              </w:rPr>
              <w:t>)</w:t>
            </w:r>
          </w:p>
        </w:tc>
      </w:tr>
    </w:tbl>
    <w:p w:rsidR="009D07E0" w:rsidRPr="002F17B5" w:rsidRDefault="00DC64EB" w:rsidP="00353206">
      <w:pPr>
        <w:autoSpaceDE/>
        <w:autoSpaceDN/>
        <w:adjustRightInd/>
        <w:spacing w:after="20"/>
        <w:jc w:val="left"/>
        <w:rPr>
          <w:b/>
          <w:u w:val="single"/>
        </w:rPr>
      </w:pPr>
      <w:r w:rsidRPr="002F17B5">
        <w:br w:type="page"/>
      </w:r>
      <w:r w:rsidR="00CD4CF3" w:rsidRPr="002F17B5">
        <w:rPr>
          <w:b/>
          <w:u w:val="single"/>
        </w:rPr>
        <w:lastRenderedPageBreak/>
        <w:t>2012/13</w:t>
      </w:r>
      <w:r w:rsidR="009D07E0" w:rsidRPr="002F17B5">
        <w:rPr>
          <w:b/>
          <w:u w:val="single"/>
        </w:rPr>
        <w:t xml:space="preserve"> Comparative Year Adjustments</w:t>
      </w:r>
    </w:p>
    <w:p w:rsidR="006D01F9" w:rsidRPr="002F17B5" w:rsidRDefault="006D01F9" w:rsidP="00353206">
      <w:pPr>
        <w:autoSpaceDE/>
        <w:autoSpaceDN/>
        <w:adjustRightInd/>
        <w:spacing w:after="20"/>
        <w:jc w:val="left"/>
        <w:rPr>
          <w:b/>
          <w:u w:val="single"/>
        </w:rPr>
      </w:pPr>
    </w:p>
    <w:p w:rsidR="006D01F9" w:rsidRPr="002F17B5" w:rsidRDefault="006D01F9" w:rsidP="00353206">
      <w:pPr>
        <w:autoSpaceDE/>
        <w:autoSpaceDN/>
        <w:adjustRightInd/>
        <w:spacing w:after="20"/>
        <w:jc w:val="left"/>
        <w:rPr>
          <w:b/>
          <w:u w:val="single"/>
        </w:rPr>
      </w:pPr>
    </w:p>
    <w:tbl>
      <w:tblPr>
        <w:tblW w:w="15198" w:type="dxa"/>
        <w:jc w:val="center"/>
        <w:tblLayout w:type="fixed"/>
        <w:tblLook w:val="04A0" w:firstRow="1" w:lastRow="0" w:firstColumn="1" w:lastColumn="0" w:noHBand="0" w:noVBand="1"/>
      </w:tblPr>
      <w:tblGrid>
        <w:gridCol w:w="7803"/>
        <w:gridCol w:w="35"/>
        <w:gridCol w:w="1525"/>
        <w:gridCol w:w="35"/>
        <w:gridCol w:w="1134"/>
        <w:gridCol w:w="390"/>
        <w:gridCol w:w="1311"/>
        <w:gridCol w:w="390"/>
        <w:gridCol w:w="2504"/>
        <w:gridCol w:w="71"/>
      </w:tblGrid>
      <w:tr w:rsidR="006D01F9" w:rsidRPr="002F17B5" w:rsidTr="00FF4391">
        <w:trPr>
          <w:gridAfter w:val="1"/>
          <w:wAfter w:w="71" w:type="dxa"/>
          <w:trHeight w:val="250"/>
          <w:jc w:val="center"/>
        </w:trPr>
        <w:tc>
          <w:tcPr>
            <w:tcW w:w="7803" w:type="dxa"/>
            <w:tcBorders>
              <w:top w:val="single" w:sz="8" w:space="0" w:color="auto"/>
              <w:left w:val="single" w:sz="8" w:space="0" w:color="auto"/>
              <w:bottom w:val="nil"/>
              <w:right w:val="nil"/>
            </w:tcBorders>
            <w:shd w:val="clear" w:color="auto" w:fill="FFFFFF" w:themeFill="background1"/>
            <w:vAlign w:val="bottom"/>
            <w:hideMark/>
          </w:tcPr>
          <w:p w:rsidR="006D01F9" w:rsidRPr="002F17B5" w:rsidRDefault="006D01F9" w:rsidP="006D01F9">
            <w:pPr>
              <w:rPr>
                <w:sz w:val="20"/>
                <w:szCs w:val="20"/>
              </w:rPr>
            </w:pPr>
            <w:r w:rsidRPr="002F17B5">
              <w:rPr>
                <w:sz w:val="20"/>
                <w:szCs w:val="20"/>
              </w:rPr>
              <w:t> </w:t>
            </w:r>
          </w:p>
        </w:tc>
        <w:tc>
          <w:tcPr>
            <w:tcW w:w="4820" w:type="dxa"/>
            <w:gridSpan w:val="7"/>
            <w:tcBorders>
              <w:top w:val="single" w:sz="8" w:space="0" w:color="auto"/>
              <w:left w:val="single" w:sz="4" w:space="0" w:color="auto"/>
              <w:bottom w:val="single" w:sz="4" w:space="0" w:color="auto"/>
              <w:right w:val="single" w:sz="4" w:space="0" w:color="000000"/>
            </w:tcBorders>
            <w:shd w:val="clear" w:color="auto" w:fill="FFFFFF" w:themeFill="background1"/>
            <w:noWrap/>
            <w:vAlign w:val="bottom"/>
            <w:hideMark/>
          </w:tcPr>
          <w:p w:rsidR="006D01F9" w:rsidRPr="002F17B5" w:rsidRDefault="006D01F9" w:rsidP="006D01F9">
            <w:pPr>
              <w:jc w:val="center"/>
              <w:rPr>
                <w:b/>
                <w:bCs/>
                <w:sz w:val="20"/>
                <w:szCs w:val="20"/>
              </w:rPr>
            </w:pPr>
            <w:r w:rsidRPr="002F17B5">
              <w:rPr>
                <w:b/>
                <w:bCs/>
                <w:sz w:val="20"/>
                <w:szCs w:val="20"/>
              </w:rPr>
              <w:t xml:space="preserve">Usable Reserves £m </w:t>
            </w:r>
          </w:p>
        </w:tc>
        <w:tc>
          <w:tcPr>
            <w:tcW w:w="2504" w:type="dxa"/>
            <w:tcBorders>
              <w:top w:val="single" w:sz="8" w:space="0" w:color="auto"/>
              <w:left w:val="nil"/>
              <w:bottom w:val="single" w:sz="4" w:space="0" w:color="auto"/>
              <w:right w:val="single" w:sz="8" w:space="0" w:color="000000"/>
            </w:tcBorders>
            <w:shd w:val="clear" w:color="auto" w:fill="FFFFFF" w:themeFill="background1"/>
            <w:noWrap/>
            <w:vAlign w:val="bottom"/>
            <w:hideMark/>
          </w:tcPr>
          <w:p w:rsidR="006D01F9" w:rsidRPr="002F17B5" w:rsidRDefault="006D01F9" w:rsidP="006D01F9">
            <w:pPr>
              <w:jc w:val="center"/>
              <w:rPr>
                <w:b/>
                <w:bCs/>
                <w:sz w:val="20"/>
                <w:szCs w:val="20"/>
              </w:rPr>
            </w:pPr>
            <w:r w:rsidRPr="002F17B5">
              <w:rPr>
                <w:b/>
                <w:bCs/>
                <w:sz w:val="20"/>
                <w:szCs w:val="20"/>
              </w:rPr>
              <w:t>Unusable Reserves £m</w:t>
            </w:r>
          </w:p>
        </w:tc>
      </w:tr>
      <w:tr w:rsidR="006D01F9" w:rsidRPr="002F17B5" w:rsidTr="00FF4391">
        <w:trPr>
          <w:gridAfter w:val="1"/>
          <w:wAfter w:w="71" w:type="dxa"/>
          <w:trHeight w:val="873"/>
          <w:jc w:val="center"/>
        </w:trPr>
        <w:tc>
          <w:tcPr>
            <w:tcW w:w="7803" w:type="dxa"/>
            <w:tcBorders>
              <w:top w:val="nil"/>
              <w:left w:val="single" w:sz="8" w:space="0" w:color="auto"/>
              <w:bottom w:val="single" w:sz="4" w:space="0" w:color="auto"/>
              <w:right w:val="nil"/>
            </w:tcBorders>
            <w:shd w:val="clear" w:color="auto" w:fill="FFFFFF" w:themeFill="background1"/>
            <w:vAlign w:val="bottom"/>
            <w:hideMark/>
          </w:tcPr>
          <w:p w:rsidR="006D01F9" w:rsidRPr="002F17B5" w:rsidRDefault="006D01F9" w:rsidP="006D01F9">
            <w:pPr>
              <w:rPr>
                <w:sz w:val="20"/>
                <w:szCs w:val="20"/>
              </w:rPr>
            </w:pPr>
            <w:r w:rsidRPr="002F17B5">
              <w:rPr>
                <w:sz w:val="20"/>
                <w:szCs w:val="20"/>
              </w:rPr>
              <w:t> </w:t>
            </w:r>
          </w:p>
        </w:tc>
        <w:tc>
          <w:tcPr>
            <w:tcW w:w="1560"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6D01F9" w:rsidRPr="002F17B5" w:rsidRDefault="006D01F9" w:rsidP="006D01F9">
            <w:pPr>
              <w:jc w:val="center"/>
              <w:rPr>
                <w:b/>
                <w:bCs/>
                <w:sz w:val="20"/>
                <w:szCs w:val="20"/>
              </w:rPr>
            </w:pPr>
            <w:r w:rsidRPr="002F17B5">
              <w:rPr>
                <w:b/>
                <w:bCs/>
                <w:sz w:val="20"/>
                <w:szCs w:val="20"/>
              </w:rPr>
              <w:t>County Fund</w:t>
            </w:r>
          </w:p>
        </w:tc>
        <w:tc>
          <w:tcPr>
            <w:tcW w:w="1559" w:type="dxa"/>
            <w:gridSpan w:val="3"/>
            <w:tcBorders>
              <w:top w:val="nil"/>
              <w:left w:val="nil"/>
              <w:bottom w:val="single" w:sz="4" w:space="0" w:color="auto"/>
              <w:right w:val="single" w:sz="4" w:space="0" w:color="auto"/>
            </w:tcBorders>
            <w:shd w:val="clear" w:color="auto" w:fill="FFFFFF" w:themeFill="background1"/>
            <w:vAlign w:val="center"/>
            <w:hideMark/>
          </w:tcPr>
          <w:p w:rsidR="006D01F9" w:rsidRPr="002F17B5" w:rsidRDefault="006D01F9" w:rsidP="006D01F9">
            <w:pPr>
              <w:jc w:val="center"/>
              <w:rPr>
                <w:b/>
                <w:bCs/>
                <w:sz w:val="20"/>
                <w:szCs w:val="20"/>
              </w:rPr>
            </w:pPr>
            <w:r w:rsidRPr="002F17B5">
              <w:rPr>
                <w:b/>
                <w:bCs/>
                <w:sz w:val="20"/>
                <w:szCs w:val="20"/>
              </w:rPr>
              <w:t>Capital Receipts Reserve</w:t>
            </w:r>
          </w:p>
        </w:tc>
        <w:tc>
          <w:tcPr>
            <w:tcW w:w="1701" w:type="dxa"/>
            <w:gridSpan w:val="2"/>
            <w:tcBorders>
              <w:top w:val="nil"/>
              <w:left w:val="nil"/>
              <w:bottom w:val="single" w:sz="4" w:space="0" w:color="auto"/>
              <w:right w:val="single" w:sz="4" w:space="0" w:color="auto"/>
            </w:tcBorders>
            <w:shd w:val="clear" w:color="auto" w:fill="FFFFFF" w:themeFill="background1"/>
            <w:vAlign w:val="center"/>
            <w:hideMark/>
          </w:tcPr>
          <w:p w:rsidR="006D01F9" w:rsidRPr="002F17B5" w:rsidRDefault="006D01F9" w:rsidP="006D01F9">
            <w:pPr>
              <w:jc w:val="center"/>
              <w:rPr>
                <w:b/>
                <w:bCs/>
                <w:sz w:val="20"/>
                <w:szCs w:val="20"/>
              </w:rPr>
            </w:pPr>
            <w:r w:rsidRPr="002F17B5">
              <w:rPr>
                <w:b/>
                <w:bCs/>
                <w:sz w:val="20"/>
                <w:szCs w:val="20"/>
              </w:rPr>
              <w:t>Capital Grants Unapplied</w:t>
            </w:r>
          </w:p>
        </w:tc>
        <w:tc>
          <w:tcPr>
            <w:tcW w:w="2504" w:type="dxa"/>
            <w:tcBorders>
              <w:top w:val="nil"/>
              <w:left w:val="nil"/>
              <w:bottom w:val="single" w:sz="4" w:space="0" w:color="auto"/>
              <w:right w:val="single" w:sz="4" w:space="0" w:color="auto"/>
            </w:tcBorders>
            <w:shd w:val="clear" w:color="auto" w:fill="FFFFFF" w:themeFill="background1"/>
            <w:vAlign w:val="center"/>
            <w:hideMark/>
          </w:tcPr>
          <w:p w:rsidR="006D01F9" w:rsidRPr="002F17B5" w:rsidRDefault="006D01F9" w:rsidP="006D01F9">
            <w:pPr>
              <w:jc w:val="center"/>
              <w:rPr>
                <w:b/>
                <w:bCs/>
                <w:sz w:val="20"/>
                <w:szCs w:val="20"/>
              </w:rPr>
            </w:pPr>
            <w:r w:rsidRPr="002F17B5">
              <w:rPr>
                <w:b/>
                <w:bCs/>
                <w:sz w:val="20"/>
                <w:szCs w:val="20"/>
              </w:rPr>
              <w:t>Total Unusable Reserves</w:t>
            </w:r>
          </w:p>
        </w:tc>
      </w:tr>
      <w:tr w:rsidR="006D01F9" w:rsidRPr="002F17B5" w:rsidTr="00FF4391">
        <w:trPr>
          <w:gridAfter w:val="1"/>
          <w:wAfter w:w="71" w:type="dxa"/>
          <w:trHeight w:val="241"/>
          <w:jc w:val="center"/>
        </w:trPr>
        <w:tc>
          <w:tcPr>
            <w:tcW w:w="7803" w:type="dxa"/>
            <w:tcBorders>
              <w:top w:val="single" w:sz="4" w:space="0" w:color="auto"/>
              <w:left w:val="single" w:sz="8" w:space="0" w:color="auto"/>
              <w:right w:val="nil"/>
            </w:tcBorders>
            <w:shd w:val="clear" w:color="auto" w:fill="D9D9D9" w:themeFill="background1" w:themeFillShade="D9"/>
            <w:noWrap/>
            <w:vAlign w:val="bottom"/>
            <w:hideMark/>
          </w:tcPr>
          <w:p w:rsidR="006D01F9" w:rsidRPr="00FF4391" w:rsidRDefault="006D01F9" w:rsidP="006D01F9">
            <w:pPr>
              <w:rPr>
                <w:b/>
                <w:bCs/>
                <w:color w:val="auto"/>
                <w:sz w:val="22"/>
                <w:szCs w:val="22"/>
              </w:rPr>
            </w:pPr>
            <w:r w:rsidRPr="00FF4391">
              <w:rPr>
                <w:b/>
                <w:bCs/>
                <w:color w:val="auto"/>
                <w:sz w:val="22"/>
                <w:szCs w:val="22"/>
              </w:rPr>
              <w:t>Adjustments involving the Capital Adjustment Account</w:t>
            </w:r>
          </w:p>
        </w:tc>
        <w:tc>
          <w:tcPr>
            <w:tcW w:w="1560" w:type="dxa"/>
            <w:gridSpan w:val="2"/>
            <w:tcBorders>
              <w:top w:val="single" w:sz="4" w:space="0" w:color="auto"/>
              <w:left w:val="single" w:sz="4" w:space="0" w:color="auto"/>
              <w:right w:val="single" w:sz="4" w:space="0" w:color="auto"/>
            </w:tcBorders>
            <w:shd w:val="clear" w:color="auto" w:fill="D9D9D9" w:themeFill="background1" w:themeFillShade="D9"/>
            <w:vAlign w:val="center"/>
            <w:hideMark/>
          </w:tcPr>
          <w:p w:rsidR="006D01F9" w:rsidRPr="002F17B5" w:rsidRDefault="006D01F9" w:rsidP="006D01F9">
            <w:pPr>
              <w:jc w:val="center"/>
              <w:rPr>
                <w:b/>
                <w:bCs/>
                <w:sz w:val="20"/>
                <w:szCs w:val="20"/>
              </w:rPr>
            </w:pPr>
            <w:r w:rsidRPr="002F17B5">
              <w:rPr>
                <w:b/>
                <w:bCs/>
                <w:sz w:val="20"/>
                <w:szCs w:val="20"/>
              </w:rPr>
              <w:t> </w:t>
            </w:r>
          </w:p>
        </w:tc>
        <w:tc>
          <w:tcPr>
            <w:tcW w:w="1559" w:type="dxa"/>
            <w:gridSpan w:val="3"/>
            <w:tcBorders>
              <w:top w:val="single" w:sz="4" w:space="0" w:color="auto"/>
              <w:left w:val="nil"/>
              <w:right w:val="single" w:sz="4" w:space="0" w:color="auto"/>
            </w:tcBorders>
            <w:shd w:val="clear" w:color="auto" w:fill="D9D9D9" w:themeFill="background1" w:themeFillShade="D9"/>
            <w:vAlign w:val="center"/>
            <w:hideMark/>
          </w:tcPr>
          <w:p w:rsidR="006D01F9" w:rsidRPr="002F17B5" w:rsidRDefault="006D01F9" w:rsidP="006D01F9">
            <w:pPr>
              <w:jc w:val="center"/>
              <w:rPr>
                <w:b/>
                <w:bCs/>
                <w:sz w:val="20"/>
                <w:szCs w:val="20"/>
              </w:rPr>
            </w:pPr>
            <w:r w:rsidRPr="002F17B5">
              <w:rPr>
                <w:b/>
                <w:bCs/>
                <w:sz w:val="20"/>
                <w:szCs w:val="20"/>
              </w:rPr>
              <w:t> </w:t>
            </w:r>
          </w:p>
        </w:tc>
        <w:tc>
          <w:tcPr>
            <w:tcW w:w="1701" w:type="dxa"/>
            <w:gridSpan w:val="2"/>
            <w:tcBorders>
              <w:top w:val="single" w:sz="4" w:space="0" w:color="auto"/>
              <w:left w:val="nil"/>
              <w:right w:val="single" w:sz="4" w:space="0" w:color="auto"/>
            </w:tcBorders>
            <w:shd w:val="clear" w:color="auto" w:fill="D9D9D9" w:themeFill="background1" w:themeFillShade="D9"/>
            <w:vAlign w:val="center"/>
            <w:hideMark/>
          </w:tcPr>
          <w:p w:rsidR="006D01F9" w:rsidRPr="002F17B5" w:rsidRDefault="006D01F9" w:rsidP="006D01F9">
            <w:pPr>
              <w:jc w:val="center"/>
              <w:rPr>
                <w:b/>
                <w:bCs/>
                <w:sz w:val="20"/>
                <w:szCs w:val="20"/>
              </w:rPr>
            </w:pPr>
            <w:r w:rsidRPr="002F17B5">
              <w:rPr>
                <w:b/>
                <w:bCs/>
                <w:sz w:val="20"/>
                <w:szCs w:val="20"/>
              </w:rPr>
              <w:t> </w:t>
            </w:r>
          </w:p>
        </w:tc>
        <w:tc>
          <w:tcPr>
            <w:tcW w:w="2504" w:type="dxa"/>
            <w:tcBorders>
              <w:top w:val="single" w:sz="4" w:space="0" w:color="auto"/>
              <w:left w:val="nil"/>
              <w:right w:val="single" w:sz="4" w:space="0" w:color="auto"/>
            </w:tcBorders>
            <w:shd w:val="clear" w:color="auto" w:fill="D9D9D9" w:themeFill="background1" w:themeFillShade="D9"/>
            <w:vAlign w:val="center"/>
            <w:hideMark/>
          </w:tcPr>
          <w:p w:rsidR="006D01F9" w:rsidRPr="002F17B5" w:rsidRDefault="006D01F9" w:rsidP="006D01F9">
            <w:pPr>
              <w:jc w:val="center"/>
              <w:rPr>
                <w:b/>
                <w:bCs/>
                <w:sz w:val="20"/>
                <w:szCs w:val="20"/>
              </w:rPr>
            </w:pPr>
            <w:r w:rsidRPr="002F17B5">
              <w:rPr>
                <w:b/>
                <w:bCs/>
                <w:sz w:val="20"/>
                <w:szCs w:val="20"/>
              </w:rPr>
              <w:t> </w:t>
            </w:r>
          </w:p>
        </w:tc>
      </w:tr>
      <w:tr w:rsidR="006D01F9" w:rsidRPr="002F17B5" w:rsidTr="00FF4391">
        <w:trPr>
          <w:gridAfter w:val="1"/>
          <w:wAfter w:w="71" w:type="dxa"/>
          <w:trHeight w:val="416"/>
          <w:jc w:val="center"/>
        </w:trPr>
        <w:tc>
          <w:tcPr>
            <w:tcW w:w="7803" w:type="dxa"/>
            <w:tcBorders>
              <w:left w:val="single" w:sz="8" w:space="0" w:color="auto"/>
              <w:bottom w:val="nil"/>
              <w:right w:val="nil"/>
            </w:tcBorders>
            <w:shd w:val="clear" w:color="auto" w:fill="F2F2F2" w:themeFill="background1" w:themeFillShade="F2"/>
            <w:hideMark/>
          </w:tcPr>
          <w:p w:rsidR="006D01F9" w:rsidRPr="00FF4391" w:rsidRDefault="006D01F9" w:rsidP="006D01F9">
            <w:pPr>
              <w:rPr>
                <w:b/>
                <w:bCs/>
                <w:iCs/>
                <w:sz w:val="22"/>
                <w:szCs w:val="22"/>
              </w:rPr>
            </w:pPr>
            <w:r w:rsidRPr="00FF4391">
              <w:rPr>
                <w:b/>
                <w:bCs/>
                <w:iCs/>
                <w:sz w:val="22"/>
                <w:szCs w:val="22"/>
              </w:rPr>
              <w:t>Reversal of items debited or credited to the Comprehensive Income and Expenditure Statement:</w:t>
            </w:r>
          </w:p>
        </w:tc>
        <w:tc>
          <w:tcPr>
            <w:tcW w:w="1560" w:type="dxa"/>
            <w:gridSpan w:val="2"/>
            <w:tcBorders>
              <w:left w:val="single" w:sz="4" w:space="0" w:color="auto"/>
              <w:bottom w:val="nil"/>
              <w:right w:val="single" w:sz="4" w:space="0" w:color="auto"/>
            </w:tcBorders>
            <w:shd w:val="clear" w:color="auto" w:fill="F2F2F2" w:themeFill="background1" w:themeFillShade="F2"/>
            <w:vAlign w:val="center"/>
            <w:hideMark/>
          </w:tcPr>
          <w:p w:rsidR="006D01F9" w:rsidRPr="00FF4391" w:rsidRDefault="006D01F9" w:rsidP="006D01F9">
            <w:pPr>
              <w:jc w:val="center"/>
              <w:rPr>
                <w:b/>
                <w:bCs/>
                <w:sz w:val="22"/>
                <w:szCs w:val="22"/>
              </w:rPr>
            </w:pPr>
            <w:r w:rsidRPr="00FF4391">
              <w:rPr>
                <w:b/>
                <w:bCs/>
                <w:sz w:val="22"/>
                <w:szCs w:val="22"/>
              </w:rPr>
              <w:t> </w:t>
            </w:r>
          </w:p>
        </w:tc>
        <w:tc>
          <w:tcPr>
            <w:tcW w:w="1559" w:type="dxa"/>
            <w:gridSpan w:val="3"/>
            <w:tcBorders>
              <w:left w:val="nil"/>
              <w:bottom w:val="nil"/>
              <w:right w:val="single" w:sz="4" w:space="0" w:color="auto"/>
            </w:tcBorders>
            <w:shd w:val="clear" w:color="auto" w:fill="F2F2F2" w:themeFill="background1" w:themeFillShade="F2"/>
            <w:vAlign w:val="center"/>
            <w:hideMark/>
          </w:tcPr>
          <w:p w:rsidR="006D01F9" w:rsidRPr="00FF4391" w:rsidRDefault="006D01F9" w:rsidP="006D01F9">
            <w:pPr>
              <w:jc w:val="center"/>
              <w:rPr>
                <w:b/>
                <w:bCs/>
                <w:sz w:val="22"/>
                <w:szCs w:val="22"/>
              </w:rPr>
            </w:pPr>
            <w:r w:rsidRPr="00FF4391">
              <w:rPr>
                <w:b/>
                <w:bCs/>
                <w:sz w:val="22"/>
                <w:szCs w:val="22"/>
              </w:rPr>
              <w:t> </w:t>
            </w:r>
          </w:p>
        </w:tc>
        <w:tc>
          <w:tcPr>
            <w:tcW w:w="1701" w:type="dxa"/>
            <w:gridSpan w:val="2"/>
            <w:tcBorders>
              <w:left w:val="nil"/>
              <w:bottom w:val="nil"/>
              <w:right w:val="single" w:sz="4" w:space="0" w:color="auto"/>
            </w:tcBorders>
            <w:shd w:val="clear" w:color="auto" w:fill="F2F2F2" w:themeFill="background1" w:themeFillShade="F2"/>
            <w:vAlign w:val="center"/>
            <w:hideMark/>
          </w:tcPr>
          <w:p w:rsidR="006D01F9" w:rsidRPr="00FF4391" w:rsidRDefault="006D01F9" w:rsidP="006D01F9">
            <w:pPr>
              <w:jc w:val="center"/>
              <w:rPr>
                <w:b/>
                <w:bCs/>
                <w:sz w:val="22"/>
                <w:szCs w:val="22"/>
              </w:rPr>
            </w:pPr>
            <w:r w:rsidRPr="00FF4391">
              <w:rPr>
                <w:b/>
                <w:bCs/>
                <w:sz w:val="22"/>
                <w:szCs w:val="22"/>
              </w:rPr>
              <w:t> </w:t>
            </w:r>
          </w:p>
        </w:tc>
        <w:tc>
          <w:tcPr>
            <w:tcW w:w="2504" w:type="dxa"/>
            <w:tcBorders>
              <w:left w:val="nil"/>
              <w:bottom w:val="nil"/>
              <w:right w:val="single" w:sz="4" w:space="0" w:color="auto"/>
            </w:tcBorders>
            <w:shd w:val="clear" w:color="auto" w:fill="F2F2F2" w:themeFill="background1" w:themeFillShade="F2"/>
            <w:vAlign w:val="center"/>
            <w:hideMark/>
          </w:tcPr>
          <w:p w:rsidR="006D01F9" w:rsidRPr="00FF4391" w:rsidRDefault="006D01F9" w:rsidP="006D01F9">
            <w:pPr>
              <w:jc w:val="center"/>
              <w:rPr>
                <w:sz w:val="22"/>
                <w:szCs w:val="22"/>
              </w:rPr>
            </w:pPr>
            <w:r w:rsidRPr="00FF4391">
              <w:rPr>
                <w:sz w:val="22"/>
                <w:szCs w:val="22"/>
              </w:rPr>
              <w:t> </w:t>
            </w:r>
          </w:p>
        </w:tc>
      </w:tr>
      <w:tr w:rsidR="006D01F9" w:rsidRPr="002F17B5" w:rsidTr="00FF4391">
        <w:trPr>
          <w:gridAfter w:val="1"/>
          <w:wAfter w:w="71" w:type="dxa"/>
          <w:trHeight w:val="262"/>
          <w:jc w:val="center"/>
        </w:trPr>
        <w:tc>
          <w:tcPr>
            <w:tcW w:w="7803" w:type="dxa"/>
            <w:tcBorders>
              <w:top w:val="nil"/>
              <w:left w:val="single" w:sz="8" w:space="0" w:color="auto"/>
              <w:bottom w:val="nil"/>
              <w:right w:val="nil"/>
            </w:tcBorders>
            <w:shd w:val="clear" w:color="auto" w:fill="FFFFFF" w:themeFill="background1"/>
            <w:noWrap/>
            <w:hideMark/>
          </w:tcPr>
          <w:p w:rsidR="006D01F9" w:rsidRPr="00FF4391" w:rsidRDefault="006D01F9" w:rsidP="006D01F9">
            <w:pPr>
              <w:rPr>
                <w:sz w:val="22"/>
                <w:szCs w:val="22"/>
              </w:rPr>
            </w:pPr>
            <w:r w:rsidRPr="00FF4391">
              <w:rPr>
                <w:sz w:val="22"/>
                <w:szCs w:val="22"/>
              </w:rPr>
              <w:t>-Charges for depreciation of non current assets</w:t>
            </w:r>
          </w:p>
        </w:tc>
        <w:tc>
          <w:tcPr>
            <w:tcW w:w="1560" w:type="dxa"/>
            <w:gridSpan w:val="2"/>
            <w:tcBorders>
              <w:top w:val="nil"/>
              <w:left w:val="single" w:sz="4" w:space="0" w:color="auto"/>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(53.2)</w:t>
            </w:r>
          </w:p>
        </w:tc>
        <w:tc>
          <w:tcPr>
            <w:tcW w:w="1559" w:type="dxa"/>
            <w:gridSpan w:val="3"/>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504" w:type="dxa"/>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53.2 </w:t>
            </w:r>
          </w:p>
        </w:tc>
      </w:tr>
      <w:tr w:rsidR="006D01F9" w:rsidRPr="002F17B5" w:rsidTr="00FF4391">
        <w:trPr>
          <w:gridAfter w:val="1"/>
          <w:wAfter w:w="71" w:type="dxa"/>
          <w:trHeight w:val="262"/>
          <w:jc w:val="center"/>
        </w:trPr>
        <w:tc>
          <w:tcPr>
            <w:tcW w:w="7803" w:type="dxa"/>
            <w:tcBorders>
              <w:top w:val="nil"/>
              <w:left w:val="single" w:sz="8" w:space="0" w:color="auto"/>
              <w:bottom w:val="nil"/>
              <w:right w:val="nil"/>
            </w:tcBorders>
            <w:shd w:val="clear" w:color="auto" w:fill="FFFFFF" w:themeFill="background1"/>
            <w:noWrap/>
            <w:hideMark/>
          </w:tcPr>
          <w:p w:rsidR="006D01F9" w:rsidRPr="00FF4391" w:rsidRDefault="006D01F9" w:rsidP="003121E2">
            <w:pPr>
              <w:rPr>
                <w:sz w:val="22"/>
                <w:szCs w:val="22"/>
              </w:rPr>
            </w:pPr>
            <w:r w:rsidRPr="00FF4391">
              <w:rPr>
                <w:sz w:val="22"/>
                <w:szCs w:val="22"/>
              </w:rPr>
              <w:t>-Revaluation losses on Property Plant and Equipment</w:t>
            </w:r>
            <w:r w:rsidR="003121E2" w:rsidRPr="00FF4391">
              <w:rPr>
                <w:sz w:val="22"/>
                <w:szCs w:val="22"/>
              </w:rPr>
              <w:t xml:space="preserve"> </w:t>
            </w:r>
            <w:r w:rsidRPr="00FF4391">
              <w:rPr>
                <w:sz w:val="22"/>
                <w:szCs w:val="22"/>
              </w:rPr>
              <w:t>(</w:t>
            </w:r>
            <w:r w:rsidR="003121E2" w:rsidRPr="00FF4391">
              <w:rPr>
                <w:iCs/>
                <w:sz w:val="22"/>
                <w:szCs w:val="22"/>
              </w:rPr>
              <w:t>charged to surplus or deficit on the provision of services</w:t>
            </w:r>
            <w:r w:rsidR="003121E2" w:rsidRPr="00FF4391">
              <w:rPr>
                <w:sz w:val="22"/>
                <w:szCs w:val="22"/>
              </w:rPr>
              <w:t>)</w:t>
            </w:r>
          </w:p>
        </w:tc>
        <w:tc>
          <w:tcPr>
            <w:tcW w:w="1560" w:type="dxa"/>
            <w:gridSpan w:val="2"/>
            <w:tcBorders>
              <w:top w:val="nil"/>
              <w:left w:val="single" w:sz="4" w:space="0" w:color="auto"/>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(13.3)</w:t>
            </w:r>
          </w:p>
        </w:tc>
        <w:tc>
          <w:tcPr>
            <w:tcW w:w="1559" w:type="dxa"/>
            <w:gridSpan w:val="3"/>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504" w:type="dxa"/>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13.3 </w:t>
            </w:r>
          </w:p>
        </w:tc>
      </w:tr>
      <w:tr w:rsidR="006D01F9" w:rsidRPr="002F17B5" w:rsidTr="00FF4391">
        <w:trPr>
          <w:gridAfter w:val="1"/>
          <w:wAfter w:w="71" w:type="dxa"/>
          <w:trHeight w:val="262"/>
          <w:jc w:val="center"/>
        </w:trPr>
        <w:tc>
          <w:tcPr>
            <w:tcW w:w="7803" w:type="dxa"/>
            <w:tcBorders>
              <w:top w:val="nil"/>
              <w:left w:val="single" w:sz="8" w:space="0" w:color="auto"/>
              <w:bottom w:val="nil"/>
              <w:right w:val="nil"/>
            </w:tcBorders>
            <w:shd w:val="clear" w:color="auto" w:fill="FFFFFF" w:themeFill="background1"/>
            <w:noWrap/>
            <w:hideMark/>
          </w:tcPr>
          <w:p w:rsidR="006D01F9" w:rsidRPr="00FF4391" w:rsidRDefault="006D01F9" w:rsidP="006D01F9">
            <w:pPr>
              <w:rPr>
                <w:sz w:val="22"/>
                <w:szCs w:val="22"/>
              </w:rPr>
            </w:pPr>
            <w:r w:rsidRPr="00FF4391">
              <w:rPr>
                <w:sz w:val="22"/>
                <w:szCs w:val="22"/>
              </w:rPr>
              <w:t>- Amortisation of intangible assets</w:t>
            </w:r>
          </w:p>
        </w:tc>
        <w:tc>
          <w:tcPr>
            <w:tcW w:w="1560" w:type="dxa"/>
            <w:gridSpan w:val="2"/>
            <w:tcBorders>
              <w:top w:val="nil"/>
              <w:left w:val="single" w:sz="4" w:space="0" w:color="auto"/>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(1.8)</w:t>
            </w:r>
          </w:p>
        </w:tc>
        <w:tc>
          <w:tcPr>
            <w:tcW w:w="1559" w:type="dxa"/>
            <w:gridSpan w:val="3"/>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p>
        </w:tc>
        <w:tc>
          <w:tcPr>
            <w:tcW w:w="1701" w:type="dxa"/>
            <w:gridSpan w:val="2"/>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p>
        </w:tc>
        <w:tc>
          <w:tcPr>
            <w:tcW w:w="2504" w:type="dxa"/>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1.8</w:t>
            </w:r>
          </w:p>
        </w:tc>
      </w:tr>
      <w:tr w:rsidR="006D01F9" w:rsidRPr="002F17B5" w:rsidTr="00FF4391">
        <w:trPr>
          <w:gridAfter w:val="1"/>
          <w:wAfter w:w="71" w:type="dxa"/>
          <w:trHeight w:val="262"/>
          <w:jc w:val="center"/>
        </w:trPr>
        <w:tc>
          <w:tcPr>
            <w:tcW w:w="7803" w:type="dxa"/>
            <w:tcBorders>
              <w:top w:val="nil"/>
              <w:left w:val="single" w:sz="8" w:space="0" w:color="auto"/>
              <w:bottom w:val="nil"/>
              <w:right w:val="nil"/>
            </w:tcBorders>
            <w:shd w:val="clear" w:color="auto" w:fill="FFFFFF" w:themeFill="background1"/>
            <w:noWrap/>
            <w:hideMark/>
          </w:tcPr>
          <w:p w:rsidR="006D01F9" w:rsidRPr="00FF4391" w:rsidRDefault="006D01F9" w:rsidP="006D01F9">
            <w:pPr>
              <w:rPr>
                <w:sz w:val="22"/>
                <w:szCs w:val="22"/>
              </w:rPr>
            </w:pPr>
            <w:r w:rsidRPr="00FF4391">
              <w:rPr>
                <w:sz w:val="22"/>
                <w:szCs w:val="22"/>
              </w:rPr>
              <w:t>-Movements in the fair value of Investment Properties</w:t>
            </w:r>
          </w:p>
        </w:tc>
        <w:tc>
          <w:tcPr>
            <w:tcW w:w="1560" w:type="dxa"/>
            <w:gridSpan w:val="2"/>
            <w:tcBorders>
              <w:top w:val="nil"/>
              <w:left w:val="single" w:sz="4" w:space="0" w:color="auto"/>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(0.2)</w:t>
            </w:r>
          </w:p>
        </w:tc>
        <w:tc>
          <w:tcPr>
            <w:tcW w:w="1559" w:type="dxa"/>
            <w:gridSpan w:val="3"/>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504" w:type="dxa"/>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0.2 </w:t>
            </w:r>
          </w:p>
        </w:tc>
      </w:tr>
      <w:tr w:rsidR="006D01F9" w:rsidRPr="002F17B5" w:rsidTr="00FF4391">
        <w:trPr>
          <w:gridAfter w:val="1"/>
          <w:wAfter w:w="71" w:type="dxa"/>
          <w:trHeight w:val="262"/>
          <w:jc w:val="center"/>
        </w:trPr>
        <w:tc>
          <w:tcPr>
            <w:tcW w:w="7803" w:type="dxa"/>
            <w:tcBorders>
              <w:top w:val="nil"/>
              <w:left w:val="single" w:sz="8" w:space="0" w:color="auto"/>
              <w:bottom w:val="nil"/>
              <w:right w:val="nil"/>
            </w:tcBorders>
            <w:shd w:val="clear" w:color="auto" w:fill="FFFFFF" w:themeFill="background1"/>
            <w:noWrap/>
            <w:hideMark/>
          </w:tcPr>
          <w:p w:rsidR="006D01F9" w:rsidRPr="00FF4391" w:rsidRDefault="006D01F9" w:rsidP="006D01F9">
            <w:pPr>
              <w:rPr>
                <w:sz w:val="22"/>
                <w:szCs w:val="22"/>
              </w:rPr>
            </w:pPr>
            <w:r w:rsidRPr="00FF4391">
              <w:rPr>
                <w:sz w:val="22"/>
                <w:szCs w:val="22"/>
              </w:rPr>
              <w:t>-Revenue expenditure funded from capital under statute</w:t>
            </w:r>
          </w:p>
        </w:tc>
        <w:tc>
          <w:tcPr>
            <w:tcW w:w="1560" w:type="dxa"/>
            <w:gridSpan w:val="2"/>
            <w:tcBorders>
              <w:top w:val="nil"/>
              <w:left w:val="single" w:sz="4" w:space="0" w:color="auto"/>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(16.9)</w:t>
            </w:r>
          </w:p>
        </w:tc>
        <w:tc>
          <w:tcPr>
            <w:tcW w:w="1559" w:type="dxa"/>
            <w:gridSpan w:val="3"/>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504" w:type="dxa"/>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16.9 </w:t>
            </w:r>
          </w:p>
        </w:tc>
      </w:tr>
      <w:tr w:rsidR="006D01F9" w:rsidRPr="002F17B5" w:rsidTr="00FF4391">
        <w:trPr>
          <w:gridAfter w:val="1"/>
          <w:wAfter w:w="71" w:type="dxa"/>
          <w:trHeight w:val="416"/>
          <w:jc w:val="center"/>
        </w:trPr>
        <w:tc>
          <w:tcPr>
            <w:tcW w:w="7803" w:type="dxa"/>
            <w:tcBorders>
              <w:top w:val="nil"/>
              <w:left w:val="single" w:sz="8" w:space="0" w:color="auto"/>
              <w:bottom w:val="nil"/>
              <w:right w:val="nil"/>
            </w:tcBorders>
            <w:shd w:val="clear" w:color="auto" w:fill="FFFFFF" w:themeFill="background1"/>
            <w:hideMark/>
          </w:tcPr>
          <w:p w:rsidR="006D01F9" w:rsidRPr="00FF4391" w:rsidRDefault="006D01F9" w:rsidP="006D01F9">
            <w:pPr>
              <w:rPr>
                <w:sz w:val="22"/>
                <w:szCs w:val="22"/>
              </w:rPr>
            </w:pPr>
            <w:r w:rsidRPr="00FF4391">
              <w:rPr>
                <w:sz w:val="22"/>
                <w:szCs w:val="22"/>
              </w:rPr>
              <w:t>-Amounts of non current assets written off on disposal or sale as part of the gain/loss on disposal to the CIES</w:t>
            </w:r>
          </w:p>
        </w:tc>
        <w:tc>
          <w:tcPr>
            <w:tcW w:w="1560" w:type="dxa"/>
            <w:gridSpan w:val="2"/>
            <w:tcBorders>
              <w:top w:val="nil"/>
              <w:left w:val="single" w:sz="4" w:space="0" w:color="auto"/>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(49.2)</w:t>
            </w:r>
          </w:p>
        </w:tc>
        <w:tc>
          <w:tcPr>
            <w:tcW w:w="1559" w:type="dxa"/>
            <w:gridSpan w:val="3"/>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504" w:type="dxa"/>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49.2 </w:t>
            </w:r>
          </w:p>
        </w:tc>
      </w:tr>
      <w:tr w:rsidR="006D01F9" w:rsidRPr="002F17B5" w:rsidTr="00FF4391">
        <w:trPr>
          <w:gridAfter w:val="1"/>
          <w:wAfter w:w="71" w:type="dxa"/>
          <w:trHeight w:val="262"/>
          <w:jc w:val="center"/>
        </w:trPr>
        <w:tc>
          <w:tcPr>
            <w:tcW w:w="7803" w:type="dxa"/>
            <w:tcBorders>
              <w:top w:val="nil"/>
              <w:left w:val="single" w:sz="8" w:space="0" w:color="auto"/>
              <w:bottom w:val="nil"/>
              <w:right w:val="nil"/>
            </w:tcBorders>
            <w:shd w:val="clear" w:color="auto" w:fill="FFFFFF" w:themeFill="background1"/>
            <w:hideMark/>
          </w:tcPr>
          <w:p w:rsidR="006D01F9" w:rsidRPr="00FF4391" w:rsidRDefault="006D01F9" w:rsidP="006D01F9">
            <w:pPr>
              <w:rPr>
                <w:sz w:val="22"/>
                <w:szCs w:val="22"/>
              </w:rPr>
            </w:pPr>
            <w:r w:rsidRPr="00FF4391">
              <w:rPr>
                <w:sz w:val="22"/>
                <w:szCs w:val="22"/>
              </w:rPr>
              <w:t>-Revenue Contribution to Finance Capital Expenditure</w:t>
            </w:r>
          </w:p>
        </w:tc>
        <w:tc>
          <w:tcPr>
            <w:tcW w:w="1560" w:type="dxa"/>
            <w:gridSpan w:val="2"/>
            <w:tcBorders>
              <w:top w:val="nil"/>
              <w:left w:val="single" w:sz="4" w:space="0" w:color="auto"/>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28.1 </w:t>
            </w:r>
          </w:p>
        </w:tc>
        <w:tc>
          <w:tcPr>
            <w:tcW w:w="1559" w:type="dxa"/>
            <w:gridSpan w:val="3"/>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504" w:type="dxa"/>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(28.1)</w:t>
            </w:r>
          </w:p>
        </w:tc>
      </w:tr>
      <w:tr w:rsidR="006D01F9" w:rsidRPr="002F17B5" w:rsidTr="00FF4391">
        <w:trPr>
          <w:gridAfter w:val="1"/>
          <w:wAfter w:w="71" w:type="dxa"/>
          <w:trHeight w:val="416"/>
          <w:jc w:val="center"/>
        </w:trPr>
        <w:tc>
          <w:tcPr>
            <w:tcW w:w="7803" w:type="dxa"/>
            <w:tcBorders>
              <w:top w:val="nil"/>
              <w:left w:val="single" w:sz="8" w:space="0" w:color="auto"/>
              <w:bottom w:val="nil"/>
              <w:right w:val="nil"/>
            </w:tcBorders>
            <w:shd w:val="clear" w:color="auto" w:fill="F2F2F2" w:themeFill="background1" w:themeFillShade="F2"/>
            <w:hideMark/>
          </w:tcPr>
          <w:p w:rsidR="006D01F9" w:rsidRPr="00FF4391" w:rsidRDefault="006D01F9" w:rsidP="006D01F9">
            <w:pPr>
              <w:rPr>
                <w:b/>
                <w:bCs/>
                <w:iCs/>
                <w:sz w:val="22"/>
                <w:szCs w:val="22"/>
              </w:rPr>
            </w:pPr>
            <w:r w:rsidRPr="00FF4391">
              <w:rPr>
                <w:b/>
                <w:bCs/>
                <w:iCs/>
                <w:sz w:val="22"/>
                <w:szCs w:val="22"/>
              </w:rPr>
              <w:t>Inclusion of items not debited or credited to the Comprehensive Income and Expenditure Statement:</w:t>
            </w:r>
          </w:p>
        </w:tc>
        <w:tc>
          <w:tcPr>
            <w:tcW w:w="1560" w:type="dxa"/>
            <w:gridSpan w:val="2"/>
            <w:tcBorders>
              <w:top w:val="nil"/>
              <w:left w:val="single" w:sz="4" w:space="0" w:color="auto"/>
              <w:bottom w:val="nil"/>
              <w:right w:val="single" w:sz="4" w:space="0" w:color="auto"/>
            </w:tcBorders>
            <w:shd w:val="clear" w:color="auto" w:fill="F2F2F2" w:themeFill="background1" w:themeFillShade="F2"/>
            <w:vAlign w:val="bottom"/>
            <w:hideMark/>
          </w:tcPr>
          <w:p w:rsidR="006D01F9" w:rsidRPr="00FF4391" w:rsidRDefault="006D01F9" w:rsidP="006D01F9">
            <w:pPr>
              <w:jc w:val="right"/>
              <w:rPr>
                <w:sz w:val="22"/>
                <w:szCs w:val="22"/>
              </w:rPr>
            </w:pPr>
            <w:r w:rsidRPr="00FF4391">
              <w:rPr>
                <w:sz w:val="22"/>
                <w:szCs w:val="22"/>
              </w:rPr>
              <w:t> </w:t>
            </w:r>
          </w:p>
        </w:tc>
        <w:tc>
          <w:tcPr>
            <w:tcW w:w="1559" w:type="dxa"/>
            <w:gridSpan w:val="3"/>
            <w:tcBorders>
              <w:top w:val="nil"/>
              <w:left w:val="nil"/>
              <w:bottom w:val="nil"/>
              <w:right w:val="single" w:sz="4" w:space="0" w:color="auto"/>
            </w:tcBorders>
            <w:shd w:val="clear" w:color="auto" w:fill="F2F2F2" w:themeFill="background1" w:themeFillShade="F2"/>
            <w:vAlign w:val="bottom"/>
            <w:hideMark/>
          </w:tcPr>
          <w:p w:rsidR="006D01F9" w:rsidRPr="00FF4391" w:rsidRDefault="006D01F9" w:rsidP="006D01F9">
            <w:pPr>
              <w:jc w:val="right"/>
              <w:rPr>
                <w:sz w:val="22"/>
                <w:szCs w:val="22"/>
              </w:rPr>
            </w:pPr>
            <w:r w:rsidRPr="00FF4391">
              <w:rPr>
                <w:sz w:val="22"/>
                <w:szCs w:val="22"/>
              </w:rPr>
              <w:t> </w:t>
            </w:r>
          </w:p>
        </w:tc>
        <w:tc>
          <w:tcPr>
            <w:tcW w:w="1701" w:type="dxa"/>
            <w:gridSpan w:val="2"/>
            <w:tcBorders>
              <w:top w:val="nil"/>
              <w:left w:val="nil"/>
              <w:bottom w:val="nil"/>
              <w:right w:val="single" w:sz="4" w:space="0" w:color="auto"/>
            </w:tcBorders>
            <w:shd w:val="clear" w:color="auto" w:fill="F2F2F2" w:themeFill="background1" w:themeFillShade="F2"/>
            <w:vAlign w:val="bottom"/>
            <w:hideMark/>
          </w:tcPr>
          <w:p w:rsidR="006D01F9" w:rsidRPr="00FF4391" w:rsidRDefault="006D01F9" w:rsidP="006D01F9">
            <w:pPr>
              <w:jc w:val="right"/>
              <w:rPr>
                <w:sz w:val="22"/>
                <w:szCs w:val="22"/>
              </w:rPr>
            </w:pPr>
            <w:r w:rsidRPr="00FF4391">
              <w:rPr>
                <w:sz w:val="22"/>
                <w:szCs w:val="22"/>
              </w:rPr>
              <w:t> </w:t>
            </w:r>
          </w:p>
        </w:tc>
        <w:tc>
          <w:tcPr>
            <w:tcW w:w="2504" w:type="dxa"/>
            <w:tcBorders>
              <w:top w:val="nil"/>
              <w:left w:val="nil"/>
              <w:bottom w:val="nil"/>
              <w:right w:val="single" w:sz="4" w:space="0" w:color="auto"/>
            </w:tcBorders>
            <w:shd w:val="clear" w:color="auto" w:fill="F2F2F2" w:themeFill="background1" w:themeFillShade="F2"/>
            <w:vAlign w:val="bottom"/>
            <w:hideMark/>
          </w:tcPr>
          <w:p w:rsidR="006D01F9" w:rsidRPr="00FF4391" w:rsidRDefault="006D01F9" w:rsidP="006D01F9">
            <w:pPr>
              <w:jc w:val="right"/>
              <w:rPr>
                <w:sz w:val="22"/>
                <w:szCs w:val="22"/>
              </w:rPr>
            </w:pPr>
            <w:r w:rsidRPr="00FF4391">
              <w:rPr>
                <w:sz w:val="22"/>
                <w:szCs w:val="22"/>
              </w:rPr>
              <w:t> </w:t>
            </w:r>
          </w:p>
        </w:tc>
      </w:tr>
      <w:tr w:rsidR="006D01F9" w:rsidRPr="002F17B5" w:rsidTr="00FF4391">
        <w:trPr>
          <w:gridAfter w:val="1"/>
          <w:wAfter w:w="71" w:type="dxa"/>
          <w:trHeight w:val="262"/>
          <w:jc w:val="center"/>
        </w:trPr>
        <w:tc>
          <w:tcPr>
            <w:tcW w:w="7803" w:type="dxa"/>
            <w:tcBorders>
              <w:top w:val="nil"/>
              <w:left w:val="single" w:sz="8" w:space="0" w:color="auto"/>
              <w:bottom w:val="nil"/>
              <w:right w:val="nil"/>
            </w:tcBorders>
            <w:shd w:val="clear" w:color="auto" w:fill="FFFFFF" w:themeFill="background1"/>
            <w:noWrap/>
            <w:hideMark/>
          </w:tcPr>
          <w:p w:rsidR="006D01F9" w:rsidRPr="00FF4391" w:rsidRDefault="006D01F9" w:rsidP="006D01F9">
            <w:pPr>
              <w:rPr>
                <w:sz w:val="22"/>
                <w:szCs w:val="22"/>
              </w:rPr>
            </w:pPr>
            <w:r w:rsidRPr="00FF4391">
              <w:rPr>
                <w:sz w:val="22"/>
                <w:szCs w:val="22"/>
              </w:rPr>
              <w:t>-Statutory provision for the financing of capital investment (MRP)</w:t>
            </w:r>
          </w:p>
        </w:tc>
        <w:tc>
          <w:tcPr>
            <w:tcW w:w="1560" w:type="dxa"/>
            <w:gridSpan w:val="2"/>
            <w:tcBorders>
              <w:top w:val="nil"/>
              <w:left w:val="single" w:sz="4" w:space="0" w:color="auto"/>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28.9 </w:t>
            </w:r>
          </w:p>
        </w:tc>
        <w:tc>
          <w:tcPr>
            <w:tcW w:w="1559" w:type="dxa"/>
            <w:gridSpan w:val="3"/>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504" w:type="dxa"/>
            <w:tcBorders>
              <w:top w:val="nil"/>
              <w:left w:val="nil"/>
              <w:bottom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(28.9)</w:t>
            </w:r>
          </w:p>
        </w:tc>
      </w:tr>
      <w:tr w:rsidR="006D01F9" w:rsidRPr="002F17B5" w:rsidTr="00FF4391">
        <w:trPr>
          <w:gridAfter w:val="1"/>
          <w:wAfter w:w="71" w:type="dxa"/>
          <w:trHeight w:val="262"/>
          <w:jc w:val="center"/>
        </w:trPr>
        <w:tc>
          <w:tcPr>
            <w:tcW w:w="7803" w:type="dxa"/>
            <w:tcBorders>
              <w:top w:val="nil"/>
              <w:left w:val="single" w:sz="8" w:space="0" w:color="auto"/>
              <w:right w:val="nil"/>
            </w:tcBorders>
            <w:shd w:val="clear" w:color="auto" w:fill="FFFFFF" w:themeFill="background1"/>
            <w:noWrap/>
            <w:hideMark/>
          </w:tcPr>
          <w:p w:rsidR="006D01F9" w:rsidRPr="00FF4391" w:rsidRDefault="006D01F9" w:rsidP="006D01F9">
            <w:pPr>
              <w:rPr>
                <w:sz w:val="22"/>
                <w:szCs w:val="22"/>
              </w:rPr>
            </w:pPr>
            <w:r w:rsidRPr="00FF4391">
              <w:rPr>
                <w:sz w:val="22"/>
                <w:szCs w:val="22"/>
              </w:rPr>
              <w:t>-Statutory provision for the financing of capital investment (MRP PFI)</w:t>
            </w:r>
          </w:p>
        </w:tc>
        <w:tc>
          <w:tcPr>
            <w:tcW w:w="1560" w:type="dxa"/>
            <w:gridSpan w:val="2"/>
            <w:tcBorders>
              <w:top w:val="nil"/>
              <w:left w:val="single" w:sz="4" w:space="0" w:color="auto"/>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7.9 </w:t>
            </w:r>
          </w:p>
        </w:tc>
        <w:tc>
          <w:tcPr>
            <w:tcW w:w="1559" w:type="dxa"/>
            <w:gridSpan w:val="3"/>
            <w:tcBorders>
              <w:top w:val="nil"/>
              <w:left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504" w:type="dxa"/>
            <w:tcBorders>
              <w:top w:val="nil"/>
              <w:left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(7.9)</w:t>
            </w:r>
          </w:p>
        </w:tc>
      </w:tr>
      <w:tr w:rsidR="006D01F9" w:rsidRPr="002F17B5" w:rsidTr="00FF4391">
        <w:trPr>
          <w:gridAfter w:val="1"/>
          <w:wAfter w:w="71" w:type="dxa"/>
          <w:trHeight w:val="262"/>
          <w:jc w:val="center"/>
        </w:trPr>
        <w:tc>
          <w:tcPr>
            <w:tcW w:w="7803" w:type="dxa"/>
            <w:tcBorders>
              <w:left w:val="single" w:sz="8" w:space="0" w:color="auto"/>
              <w:right w:val="nil"/>
            </w:tcBorders>
            <w:shd w:val="clear" w:color="auto" w:fill="D9D9D9" w:themeFill="background1" w:themeFillShade="D9"/>
            <w:noWrap/>
            <w:vAlign w:val="bottom"/>
            <w:hideMark/>
          </w:tcPr>
          <w:p w:rsidR="006D01F9" w:rsidRPr="00FF4391" w:rsidRDefault="006D01F9" w:rsidP="006D01F9">
            <w:pPr>
              <w:rPr>
                <w:b/>
                <w:bCs/>
                <w:color w:val="auto"/>
                <w:sz w:val="22"/>
                <w:szCs w:val="22"/>
              </w:rPr>
            </w:pPr>
            <w:r w:rsidRPr="00FF4391">
              <w:rPr>
                <w:b/>
                <w:bCs/>
                <w:color w:val="auto"/>
                <w:sz w:val="22"/>
                <w:szCs w:val="22"/>
              </w:rPr>
              <w:t>Adjustments involving the Capital Grants Unapplied Account</w:t>
            </w:r>
          </w:p>
        </w:tc>
        <w:tc>
          <w:tcPr>
            <w:tcW w:w="1560" w:type="dxa"/>
            <w:gridSpan w:val="2"/>
            <w:tcBorders>
              <w:left w:val="single" w:sz="4" w:space="0" w:color="auto"/>
              <w:right w:val="single" w:sz="4" w:space="0" w:color="auto"/>
            </w:tcBorders>
            <w:shd w:val="clear" w:color="auto" w:fill="D9D9D9" w:themeFill="background1" w:themeFillShade="D9"/>
            <w:vAlign w:val="bottom"/>
            <w:hideMark/>
          </w:tcPr>
          <w:p w:rsidR="006D01F9" w:rsidRPr="00FF4391" w:rsidRDefault="006D01F9" w:rsidP="006D01F9">
            <w:pPr>
              <w:jc w:val="right"/>
              <w:rPr>
                <w:sz w:val="22"/>
                <w:szCs w:val="22"/>
              </w:rPr>
            </w:pPr>
            <w:r w:rsidRPr="00FF4391">
              <w:rPr>
                <w:sz w:val="22"/>
                <w:szCs w:val="22"/>
              </w:rPr>
              <w:t> </w:t>
            </w:r>
          </w:p>
        </w:tc>
        <w:tc>
          <w:tcPr>
            <w:tcW w:w="1559" w:type="dxa"/>
            <w:gridSpan w:val="3"/>
            <w:tcBorders>
              <w:left w:val="nil"/>
              <w:right w:val="single" w:sz="4" w:space="0" w:color="auto"/>
            </w:tcBorders>
            <w:shd w:val="clear" w:color="auto" w:fill="D9D9D9" w:themeFill="background1" w:themeFillShade="D9"/>
            <w:vAlign w:val="bottom"/>
            <w:hideMark/>
          </w:tcPr>
          <w:p w:rsidR="006D01F9" w:rsidRPr="00FF4391" w:rsidRDefault="006D01F9" w:rsidP="006D01F9">
            <w:pPr>
              <w:jc w:val="right"/>
              <w:rPr>
                <w:sz w:val="22"/>
                <w:szCs w:val="22"/>
              </w:rPr>
            </w:pPr>
            <w:r w:rsidRPr="00FF4391">
              <w:rPr>
                <w:sz w:val="22"/>
                <w:szCs w:val="22"/>
              </w:rPr>
              <w:t> </w:t>
            </w:r>
          </w:p>
        </w:tc>
        <w:tc>
          <w:tcPr>
            <w:tcW w:w="1701" w:type="dxa"/>
            <w:gridSpan w:val="2"/>
            <w:tcBorders>
              <w:left w:val="nil"/>
              <w:right w:val="single" w:sz="4" w:space="0" w:color="auto"/>
            </w:tcBorders>
            <w:shd w:val="clear" w:color="auto" w:fill="D9D9D9" w:themeFill="background1" w:themeFillShade="D9"/>
            <w:vAlign w:val="bottom"/>
            <w:hideMark/>
          </w:tcPr>
          <w:p w:rsidR="006D01F9" w:rsidRPr="00FF4391" w:rsidRDefault="006D01F9" w:rsidP="006D01F9">
            <w:pPr>
              <w:jc w:val="right"/>
              <w:rPr>
                <w:sz w:val="22"/>
                <w:szCs w:val="22"/>
              </w:rPr>
            </w:pPr>
            <w:r w:rsidRPr="00FF4391">
              <w:rPr>
                <w:sz w:val="22"/>
                <w:szCs w:val="22"/>
              </w:rPr>
              <w:t> </w:t>
            </w:r>
          </w:p>
        </w:tc>
        <w:tc>
          <w:tcPr>
            <w:tcW w:w="2504" w:type="dxa"/>
            <w:tcBorders>
              <w:left w:val="nil"/>
              <w:right w:val="single" w:sz="4" w:space="0" w:color="auto"/>
            </w:tcBorders>
            <w:shd w:val="clear" w:color="auto" w:fill="D9D9D9" w:themeFill="background1" w:themeFillShade="D9"/>
            <w:vAlign w:val="bottom"/>
            <w:hideMark/>
          </w:tcPr>
          <w:p w:rsidR="006D01F9" w:rsidRPr="00FF4391" w:rsidRDefault="006D01F9" w:rsidP="006D01F9">
            <w:pPr>
              <w:jc w:val="right"/>
              <w:rPr>
                <w:sz w:val="22"/>
                <w:szCs w:val="22"/>
              </w:rPr>
            </w:pPr>
            <w:r w:rsidRPr="00FF4391">
              <w:rPr>
                <w:sz w:val="22"/>
                <w:szCs w:val="22"/>
              </w:rPr>
              <w:t> </w:t>
            </w:r>
          </w:p>
        </w:tc>
      </w:tr>
      <w:tr w:rsidR="006D01F9" w:rsidRPr="002F17B5" w:rsidTr="00FF4391">
        <w:trPr>
          <w:gridAfter w:val="1"/>
          <w:wAfter w:w="71" w:type="dxa"/>
          <w:trHeight w:val="262"/>
          <w:jc w:val="center"/>
        </w:trPr>
        <w:tc>
          <w:tcPr>
            <w:tcW w:w="7803" w:type="dxa"/>
            <w:tcBorders>
              <w:left w:val="single" w:sz="8" w:space="0" w:color="auto"/>
              <w:right w:val="nil"/>
            </w:tcBorders>
            <w:shd w:val="clear" w:color="auto" w:fill="FFFFFF" w:themeFill="background1"/>
            <w:noWrap/>
            <w:hideMark/>
          </w:tcPr>
          <w:p w:rsidR="006D01F9" w:rsidRPr="00FF4391" w:rsidRDefault="006D01F9" w:rsidP="006D01F9">
            <w:pPr>
              <w:rPr>
                <w:sz w:val="22"/>
                <w:szCs w:val="22"/>
              </w:rPr>
            </w:pPr>
            <w:r w:rsidRPr="00FF4391">
              <w:rPr>
                <w:sz w:val="22"/>
                <w:szCs w:val="22"/>
              </w:rPr>
              <w:t>Capital grants and contributions unapplied credited to CIES</w:t>
            </w:r>
          </w:p>
        </w:tc>
        <w:tc>
          <w:tcPr>
            <w:tcW w:w="1560" w:type="dxa"/>
            <w:gridSpan w:val="2"/>
            <w:tcBorders>
              <w:left w:val="single" w:sz="4" w:space="0" w:color="auto"/>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52.1 </w:t>
            </w:r>
          </w:p>
        </w:tc>
        <w:tc>
          <w:tcPr>
            <w:tcW w:w="1559" w:type="dxa"/>
            <w:gridSpan w:val="3"/>
            <w:tcBorders>
              <w:left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left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(52.1)</w:t>
            </w:r>
          </w:p>
        </w:tc>
        <w:tc>
          <w:tcPr>
            <w:tcW w:w="2504" w:type="dxa"/>
            <w:tcBorders>
              <w:left w:val="nil"/>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r>
      <w:tr w:rsidR="006D01F9" w:rsidRPr="002F17B5" w:rsidTr="00FF4391">
        <w:trPr>
          <w:gridAfter w:val="1"/>
          <w:wAfter w:w="71" w:type="dxa"/>
          <w:trHeight w:val="416"/>
          <w:jc w:val="center"/>
        </w:trPr>
        <w:tc>
          <w:tcPr>
            <w:tcW w:w="7803" w:type="dxa"/>
            <w:tcBorders>
              <w:top w:val="nil"/>
              <w:left w:val="single" w:sz="8" w:space="0" w:color="auto"/>
              <w:bottom w:val="single" w:sz="4" w:space="0" w:color="auto"/>
              <w:right w:val="nil"/>
            </w:tcBorders>
            <w:shd w:val="clear" w:color="auto" w:fill="FFFFFF" w:themeFill="background1"/>
            <w:hideMark/>
          </w:tcPr>
          <w:p w:rsidR="006D01F9" w:rsidRPr="00FF4391" w:rsidRDefault="006D01F9" w:rsidP="006D01F9">
            <w:pPr>
              <w:rPr>
                <w:sz w:val="22"/>
                <w:szCs w:val="22"/>
              </w:rPr>
            </w:pPr>
            <w:r w:rsidRPr="00FF4391">
              <w:rPr>
                <w:sz w:val="22"/>
                <w:szCs w:val="22"/>
              </w:rPr>
              <w:t>Application of grants to capital financing transferred to the Capital Adjustment Account</w:t>
            </w:r>
          </w:p>
        </w:tc>
        <w:tc>
          <w:tcPr>
            <w:tcW w:w="1560" w:type="dxa"/>
            <w:gridSpan w:val="2"/>
            <w:tcBorders>
              <w:top w:val="nil"/>
              <w:left w:val="single" w:sz="4" w:space="0" w:color="auto"/>
              <w:bottom w:val="single" w:sz="4" w:space="0" w:color="auto"/>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30.3 </w:t>
            </w:r>
          </w:p>
        </w:tc>
        <w:tc>
          <w:tcPr>
            <w:tcW w:w="1559" w:type="dxa"/>
            <w:gridSpan w:val="3"/>
            <w:tcBorders>
              <w:top w:val="nil"/>
              <w:left w:val="nil"/>
              <w:bottom w:val="single" w:sz="4" w:space="0" w:color="auto"/>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tcBorders>
              <w:top w:val="nil"/>
              <w:left w:val="nil"/>
              <w:bottom w:val="single" w:sz="4" w:space="0" w:color="auto"/>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81.0 </w:t>
            </w:r>
          </w:p>
        </w:tc>
        <w:tc>
          <w:tcPr>
            <w:tcW w:w="2504" w:type="dxa"/>
            <w:tcBorders>
              <w:top w:val="nil"/>
              <w:left w:val="nil"/>
              <w:bottom w:val="single" w:sz="4" w:space="0" w:color="auto"/>
              <w:right w:val="single" w:sz="4" w:space="0" w:color="auto"/>
            </w:tcBorders>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(111.3)</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262"/>
          <w:jc w:val="center"/>
        </w:trPr>
        <w:tc>
          <w:tcPr>
            <w:tcW w:w="7838" w:type="dxa"/>
            <w:gridSpan w:val="2"/>
            <w:shd w:val="clear" w:color="auto" w:fill="D9D9D9" w:themeFill="background1" w:themeFillShade="D9"/>
            <w:noWrap/>
            <w:hideMark/>
          </w:tcPr>
          <w:p w:rsidR="006D01F9" w:rsidRPr="00FF4391" w:rsidRDefault="00D121AB" w:rsidP="006D01F9">
            <w:pPr>
              <w:rPr>
                <w:b/>
                <w:bCs/>
                <w:color w:val="auto"/>
                <w:sz w:val="22"/>
                <w:szCs w:val="22"/>
              </w:rPr>
            </w:pPr>
            <w:r w:rsidRPr="00FF4391">
              <w:rPr>
                <w:sz w:val="22"/>
                <w:szCs w:val="22"/>
              </w:rPr>
              <w:lastRenderedPageBreak/>
              <w:br w:type="page"/>
            </w:r>
            <w:r w:rsidR="006D01F9" w:rsidRPr="00FF4391">
              <w:rPr>
                <w:b/>
                <w:bCs/>
                <w:color w:val="auto"/>
                <w:sz w:val="22"/>
                <w:szCs w:val="22"/>
              </w:rPr>
              <w:t>Adjustments involving the Capital Receipts Reserve:</w:t>
            </w:r>
          </w:p>
        </w:tc>
        <w:tc>
          <w:tcPr>
            <w:tcW w:w="1560"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134" w:type="dxa"/>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701"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2965" w:type="dxa"/>
            <w:gridSpan w:val="3"/>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262"/>
          <w:jc w:val="center"/>
        </w:trPr>
        <w:tc>
          <w:tcPr>
            <w:tcW w:w="7838" w:type="dxa"/>
            <w:gridSpan w:val="2"/>
            <w:shd w:val="clear" w:color="auto" w:fill="FFFFFF" w:themeFill="background1"/>
            <w:hideMark/>
          </w:tcPr>
          <w:p w:rsidR="006D01F9" w:rsidRPr="00FF4391" w:rsidRDefault="006D01F9" w:rsidP="006D01F9">
            <w:pPr>
              <w:rPr>
                <w:sz w:val="22"/>
                <w:szCs w:val="22"/>
              </w:rPr>
            </w:pPr>
            <w:r w:rsidRPr="00FF4391">
              <w:rPr>
                <w:sz w:val="22"/>
                <w:szCs w:val="22"/>
              </w:rPr>
              <w:t>Transfer of sale proceeds credited as part of the gain/loss on disposal to the CIES</w:t>
            </w:r>
          </w:p>
        </w:tc>
        <w:tc>
          <w:tcPr>
            <w:tcW w:w="1560"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3.7 </w:t>
            </w:r>
          </w:p>
        </w:tc>
        <w:tc>
          <w:tcPr>
            <w:tcW w:w="1134" w:type="dxa"/>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(3.7)</w:t>
            </w:r>
          </w:p>
        </w:tc>
        <w:tc>
          <w:tcPr>
            <w:tcW w:w="1701"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965" w:type="dxa"/>
            <w:gridSpan w:val="3"/>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262"/>
          <w:jc w:val="center"/>
        </w:trPr>
        <w:tc>
          <w:tcPr>
            <w:tcW w:w="7838" w:type="dxa"/>
            <w:gridSpan w:val="2"/>
            <w:shd w:val="clear" w:color="auto" w:fill="D9D9D9" w:themeFill="background1" w:themeFillShade="D9"/>
            <w:hideMark/>
          </w:tcPr>
          <w:p w:rsidR="006D01F9" w:rsidRPr="00FF4391" w:rsidRDefault="006D01F9" w:rsidP="006D01F9">
            <w:pPr>
              <w:rPr>
                <w:b/>
                <w:bCs/>
                <w:color w:val="auto"/>
                <w:sz w:val="22"/>
                <w:szCs w:val="22"/>
              </w:rPr>
            </w:pPr>
            <w:r w:rsidRPr="00FF4391">
              <w:rPr>
                <w:b/>
                <w:bCs/>
                <w:color w:val="auto"/>
                <w:sz w:val="22"/>
                <w:szCs w:val="22"/>
              </w:rPr>
              <w:t>Adjustments involving the Financial Instruments Adjustment Account:</w:t>
            </w:r>
          </w:p>
        </w:tc>
        <w:tc>
          <w:tcPr>
            <w:tcW w:w="1560"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134" w:type="dxa"/>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701"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2965" w:type="dxa"/>
            <w:gridSpan w:val="3"/>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416"/>
          <w:jc w:val="center"/>
        </w:trPr>
        <w:tc>
          <w:tcPr>
            <w:tcW w:w="7838" w:type="dxa"/>
            <w:gridSpan w:val="2"/>
            <w:shd w:val="clear" w:color="auto" w:fill="FFFFFF" w:themeFill="background1"/>
            <w:hideMark/>
          </w:tcPr>
          <w:p w:rsidR="006D01F9" w:rsidRPr="00FF4391" w:rsidRDefault="006D01F9" w:rsidP="006D01F9">
            <w:pPr>
              <w:rPr>
                <w:sz w:val="22"/>
                <w:szCs w:val="22"/>
              </w:rPr>
            </w:pPr>
            <w:r w:rsidRPr="00FF4391">
              <w:rPr>
                <w:sz w:val="22"/>
                <w:szCs w:val="22"/>
              </w:rPr>
              <w:t>Amount by which finance costs charged to the CIES are different from finance costs chargeable in the year in accordance with statutory requirements**</w:t>
            </w:r>
          </w:p>
        </w:tc>
        <w:tc>
          <w:tcPr>
            <w:tcW w:w="1560"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(6.0)</w:t>
            </w:r>
          </w:p>
        </w:tc>
        <w:tc>
          <w:tcPr>
            <w:tcW w:w="1134" w:type="dxa"/>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965" w:type="dxa"/>
            <w:gridSpan w:val="3"/>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6.0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262"/>
          <w:jc w:val="center"/>
        </w:trPr>
        <w:tc>
          <w:tcPr>
            <w:tcW w:w="7838" w:type="dxa"/>
            <w:gridSpan w:val="2"/>
            <w:shd w:val="clear" w:color="auto" w:fill="D9D9D9" w:themeFill="background1" w:themeFillShade="D9"/>
            <w:noWrap/>
            <w:hideMark/>
          </w:tcPr>
          <w:p w:rsidR="006D01F9" w:rsidRPr="00FF4391" w:rsidRDefault="006D01F9" w:rsidP="006D01F9">
            <w:pPr>
              <w:rPr>
                <w:b/>
                <w:bCs/>
                <w:color w:val="auto"/>
                <w:sz w:val="22"/>
                <w:szCs w:val="22"/>
              </w:rPr>
            </w:pPr>
            <w:r w:rsidRPr="00FF4391">
              <w:rPr>
                <w:b/>
                <w:bCs/>
                <w:color w:val="auto"/>
                <w:sz w:val="22"/>
                <w:szCs w:val="22"/>
              </w:rPr>
              <w:t>Adjustments involving the Pensions Reserve:</w:t>
            </w:r>
          </w:p>
        </w:tc>
        <w:tc>
          <w:tcPr>
            <w:tcW w:w="1560"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134" w:type="dxa"/>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701"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2965" w:type="dxa"/>
            <w:gridSpan w:val="3"/>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416"/>
          <w:jc w:val="center"/>
        </w:trPr>
        <w:tc>
          <w:tcPr>
            <w:tcW w:w="7838" w:type="dxa"/>
            <w:gridSpan w:val="2"/>
            <w:shd w:val="clear" w:color="auto" w:fill="FFFFFF" w:themeFill="background1"/>
            <w:hideMark/>
          </w:tcPr>
          <w:p w:rsidR="006D01F9" w:rsidRPr="00FF4391" w:rsidRDefault="006D01F9" w:rsidP="006D01F9">
            <w:pPr>
              <w:rPr>
                <w:sz w:val="22"/>
                <w:szCs w:val="22"/>
              </w:rPr>
            </w:pPr>
            <w:r w:rsidRPr="00FF4391">
              <w:rPr>
                <w:sz w:val="22"/>
                <w:szCs w:val="22"/>
              </w:rPr>
              <w:t>Employer’s pensions contributions and direct payments to pensioners payable in the year</w:t>
            </w:r>
          </w:p>
        </w:tc>
        <w:tc>
          <w:tcPr>
            <w:tcW w:w="1560"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76.9 </w:t>
            </w:r>
          </w:p>
        </w:tc>
        <w:tc>
          <w:tcPr>
            <w:tcW w:w="1134" w:type="dxa"/>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965" w:type="dxa"/>
            <w:gridSpan w:val="3"/>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(76.9)</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416"/>
          <w:jc w:val="center"/>
        </w:trPr>
        <w:tc>
          <w:tcPr>
            <w:tcW w:w="7838" w:type="dxa"/>
            <w:gridSpan w:val="2"/>
            <w:shd w:val="clear" w:color="auto" w:fill="FFFFFF" w:themeFill="background1"/>
            <w:hideMark/>
          </w:tcPr>
          <w:p w:rsidR="006D01F9" w:rsidRPr="00FF4391" w:rsidRDefault="006D01F9" w:rsidP="006D01F9">
            <w:pPr>
              <w:rPr>
                <w:sz w:val="22"/>
                <w:szCs w:val="22"/>
              </w:rPr>
            </w:pPr>
            <w:r w:rsidRPr="00FF4391">
              <w:rPr>
                <w:sz w:val="22"/>
                <w:szCs w:val="22"/>
              </w:rPr>
              <w:t xml:space="preserve">Reversal of items relating to retirement benefits debited or credited to the Comprehensive Income and Expenditure Statement </w:t>
            </w:r>
          </w:p>
        </w:tc>
        <w:tc>
          <w:tcPr>
            <w:tcW w:w="1560"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(91.2)</w:t>
            </w:r>
          </w:p>
        </w:tc>
        <w:tc>
          <w:tcPr>
            <w:tcW w:w="1134" w:type="dxa"/>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965" w:type="dxa"/>
            <w:gridSpan w:val="3"/>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91.2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262"/>
          <w:jc w:val="center"/>
        </w:trPr>
        <w:tc>
          <w:tcPr>
            <w:tcW w:w="7838" w:type="dxa"/>
            <w:gridSpan w:val="2"/>
            <w:shd w:val="clear" w:color="auto" w:fill="D9D9D9" w:themeFill="background1" w:themeFillShade="D9"/>
            <w:noWrap/>
            <w:hideMark/>
          </w:tcPr>
          <w:p w:rsidR="006D01F9" w:rsidRPr="00FF4391" w:rsidRDefault="006D01F9" w:rsidP="006D01F9">
            <w:pPr>
              <w:rPr>
                <w:b/>
                <w:bCs/>
                <w:color w:val="auto"/>
                <w:sz w:val="22"/>
                <w:szCs w:val="22"/>
              </w:rPr>
            </w:pPr>
            <w:r w:rsidRPr="00FF4391">
              <w:rPr>
                <w:b/>
                <w:bCs/>
                <w:color w:val="auto"/>
                <w:sz w:val="22"/>
                <w:szCs w:val="22"/>
              </w:rPr>
              <w:t>Adjustments involving the Collection Fund Adjustment Account:</w:t>
            </w:r>
          </w:p>
        </w:tc>
        <w:tc>
          <w:tcPr>
            <w:tcW w:w="1560"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134" w:type="dxa"/>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701"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2965" w:type="dxa"/>
            <w:gridSpan w:val="3"/>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416"/>
          <w:jc w:val="center"/>
        </w:trPr>
        <w:tc>
          <w:tcPr>
            <w:tcW w:w="7838" w:type="dxa"/>
            <w:gridSpan w:val="2"/>
            <w:shd w:val="clear" w:color="auto" w:fill="FFFFFF" w:themeFill="background1"/>
            <w:hideMark/>
          </w:tcPr>
          <w:p w:rsidR="006D01F9" w:rsidRPr="00FF4391" w:rsidRDefault="006D01F9" w:rsidP="006D01F9">
            <w:pPr>
              <w:rPr>
                <w:sz w:val="22"/>
                <w:szCs w:val="22"/>
              </w:rPr>
            </w:pPr>
            <w:r w:rsidRPr="00FF4391">
              <w:rPr>
                <w:sz w:val="22"/>
                <w:szCs w:val="22"/>
              </w:rPr>
              <w:t>Amount by which council tax income credited to the CIES is different from council tax income calculated for the year in accordance with statutory requirements</w:t>
            </w:r>
          </w:p>
        </w:tc>
        <w:tc>
          <w:tcPr>
            <w:tcW w:w="1560"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(1.2)</w:t>
            </w:r>
          </w:p>
        </w:tc>
        <w:tc>
          <w:tcPr>
            <w:tcW w:w="1134" w:type="dxa"/>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965" w:type="dxa"/>
            <w:gridSpan w:val="3"/>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1.2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262"/>
          <w:jc w:val="center"/>
        </w:trPr>
        <w:tc>
          <w:tcPr>
            <w:tcW w:w="7838" w:type="dxa"/>
            <w:gridSpan w:val="2"/>
            <w:shd w:val="clear" w:color="auto" w:fill="D9D9D9" w:themeFill="background1" w:themeFillShade="D9"/>
            <w:vAlign w:val="bottom"/>
            <w:hideMark/>
          </w:tcPr>
          <w:p w:rsidR="006D01F9" w:rsidRPr="00FF4391" w:rsidRDefault="006D01F9" w:rsidP="006D01F9">
            <w:pPr>
              <w:rPr>
                <w:b/>
                <w:bCs/>
                <w:color w:val="auto"/>
                <w:sz w:val="22"/>
                <w:szCs w:val="22"/>
              </w:rPr>
            </w:pPr>
            <w:r w:rsidRPr="00FF4391">
              <w:rPr>
                <w:b/>
                <w:bCs/>
                <w:color w:val="auto"/>
                <w:sz w:val="22"/>
                <w:szCs w:val="22"/>
              </w:rPr>
              <w:t>Adjustment involving the Accumulated Absences Account</w:t>
            </w:r>
          </w:p>
        </w:tc>
        <w:tc>
          <w:tcPr>
            <w:tcW w:w="1560"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134" w:type="dxa"/>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1701" w:type="dxa"/>
            <w:gridSpan w:val="2"/>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c>
          <w:tcPr>
            <w:tcW w:w="2965" w:type="dxa"/>
            <w:gridSpan w:val="3"/>
            <w:shd w:val="clear" w:color="auto" w:fill="D9D9D9" w:themeFill="background1" w:themeFillShade="D9"/>
            <w:vAlign w:val="bottom"/>
            <w:hideMark/>
          </w:tcPr>
          <w:p w:rsidR="006D01F9" w:rsidRPr="00FF4391" w:rsidRDefault="006D01F9" w:rsidP="006D01F9">
            <w:pPr>
              <w:jc w:val="right"/>
              <w:rPr>
                <w:b/>
                <w:bCs/>
                <w:color w:val="auto"/>
                <w:sz w:val="22"/>
                <w:szCs w:val="22"/>
              </w:rPr>
            </w:pPr>
            <w:r w:rsidRPr="00FF4391">
              <w:rPr>
                <w:b/>
                <w:bCs/>
                <w:color w:val="auto"/>
                <w:sz w:val="22"/>
                <w:szCs w:val="22"/>
              </w:rPr>
              <w:t>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630"/>
          <w:jc w:val="center"/>
        </w:trPr>
        <w:tc>
          <w:tcPr>
            <w:tcW w:w="7838" w:type="dxa"/>
            <w:gridSpan w:val="2"/>
            <w:shd w:val="clear" w:color="auto" w:fill="FFFFFF" w:themeFill="background1"/>
            <w:vAlign w:val="bottom"/>
            <w:hideMark/>
          </w:tcPr>
          <w:p w:rsidR="006D01F9" w:rsidRPr="00FF4391" w:rsidRDefault="006D01F9" w:rsidP="006D01F9">
            <w:pPr>
              <w:rPr>
                <w:sz w:val="22"/>
                <w:szCs w:val="22"/>
              </w:rPr>
            </w:pPr>
            <w:r w:rsidRPr="00FF4391">
              <w:rPr>
                <w:sz w:val="22"/>
                <w:szCs w:val="22"/>
              </w:rPr>
              <w:t>Amount by which officer remuneration charged to the CIES on an accruals basis is different from remuneration chargeable in the year in accordance with statutory requirements</w:t>
            </w:r>
          </w:p>
        </w:tc>
        <w:tc>
          <w:tcPr>
            <w:tcW w:w="1560"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0.3 </w:t>
            </w:r>
          </w:p>
        </w:tc>
        <w:tc>
          <w:tcPr>
            <w:tcW w:w="1134" w:type="dxa"/>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1701" w:type="dxa"/>
            <w:gridSpan w:val="2"/>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 </w:t>
            </w:r>
          </w:p>
        </w:tc>
        <w:tc>
          <w:tcPr>
            <w:tcW w:w="2965" w:type="dxa"/>
            <w:gridSpan w:val="3"/>
            <w:shd w:val="clear" w:color="auto" w:fill="FFFFFF" w:themeFill="background1"/>
            <w:vAlign w:val="bottom"/>
            <w:hideMark/>
          </w:tcPr>
          <w:p w:rsidR="006D01F9" w:rsidRPr="00FF4391" w:rsidRDefault="006D01F9" w:rsidP="006D01F9">
            <w:pPr>
              <w:jc w:val="right"/>
              <w:rPr>
                <w:sz w:val="22"/>
                <w:szCs w:val="22"/>
              </w:rPr>
            </w:pPr>
            <w:r w:rsidRPr="00FF4391">
              <w:rPr>
                <w:sz w:val="22"/>
                <w:szCs w:val="22"/>
              </w:rPr>
              <w:t xml:space="preserve">(0.3) </w:t>
            </w:r>
          </w:p>
        </w:tc>
      </w:tr>
      <w:tr w:rsidR="006D01F9" w:rsidRPr="002F17B5" w:rsidTr="00FF4391">
        <w:tblPrEx>
          <w:tblBorders>
            <w:left w:val="single" w:sz="8" w:space="0" w:color="auto"/>
            <w:bottom w:val="single" w:sz="8" w:space="0" w:color="auto"/>
            <w:right w:val="single" w:sz="4" w:space="0" w:color="auto"/>
            <w:insideV w:val="single" w:sz="4" w:space="0" w:color="auto"/>
          </w:tblBorders>
        </w:tblPrEx>
        <w:trPr>
          <w:trHeight w:val="250"/>
          <w:jc w:val="center"/>
        </w:trPr>
        <w:tc>
          <w:tcPr>
            <w:tcW w:w="7838" w:type="dxa"/>
            <w:gridSpan w:val="2"/>
            <w:shd w:val="clear" w:color="auto" w:fill="FFFFFF" w:themeFill="background1"/>
            <w:vAlign w:val="bottom"/>
            <w:hideMark/>
          </w:tcPr>
          <w:p w:rsidR="006D01F9" w:rsidRPr="00FF4391" w:rsidRDefault="006D01F9" w:rsidP="006D01F9">
            <w:pPr>
              <w:rPr>
                <w:b/>
                <w:sz w:val="22"/>
                <w:szCs w:val="22"/>
              </w:rPr>
            </w:pPr>
            <w:r w:rsidRPr="00FF4391">
              <w:rPr>
                <w:b/>
                <w:sz w:val="22"/>
                <w:szCs w:val="22"/>
              </w:rPr>
              <w:t> Total adjustments</w:t>
            </w:r>
          </w:p>
        </w:tc>
        <w:tc>
          <w:tcPr>
            <w:tcW w:w="1560" w:type="dxa"/>
            <w:gridSpan w:val="2"/>
            <w:shd w:val="clear" w:color="auto" w:fill="FFFFFF" w:themeFill="background1"/>
            <w:noWrap/>
            <w:vAlign w:val="bottom"/>
            <w:hideMark/>
          </w:tcPr>
          <w:p w:rsidR="006D01F9" w:rsidRPr="00FF4391" w:rsidRDefault="006D01F9" w:rsidP="006D01F9">
            <w:pPr>
              <w:jc w:val="right"/>
              <w:rPr>
                <w:b/>
                <w:bCs/>
                <w:sz w:val="22"/>
                <w:szCs w:val="22"/>
              </w:rPr>
            </w:pPr>
            <w:r w:rsidRPr="00FF4391">
              <w:rPr>
                <w:b/>
                <w:bCs/>
                <w:sz w:val="22"/>
                <w:szCs w:val="22"/>
              </w:rPr>
              <w:t>(4.8)</w:t>
            </w:r>
          </w:p>
        </w:tc>
        <w:tc>
          <w:tcPr>
            <w:tcW w:w="1134" w:type="dxa"/>
            <w:shd w:val="clear" w:color="auto" w:fill="FFFFFF" w:themeFill="background1"/>
            <w:noWrap/>
            <w:vAlign w:val="bottom"/>
            <w:hideMark/>
          </w:tcPr>
          <w:p w:rsidR="006D01F9" w:rsidRPr="00FF4391" w:rsidRDefault="006D01F9" w:rsidP="006D01F9">
            <w:pPr>
              <w:jc w:val="right"/>
              <w:rPr>
                <w:b/>
                <w:bCs/>
                <w:sz w:val="22"/>
                <w:szCs w:val="22"/>
              </w:rPr>
            </w:pPr>
            <w:r w:rsidRPr="00FF4391">
              <w:rPr>
                <w:b/>
                <w:bCs/>
                <w:sz w:val="22"/>
                <w:szCs w:val="22"/>
              </w:rPr>
              <w:t>(3.7)</w:t>
            </w:r>
          </w:p>
        </w:tc>
        <w:tc>
          <w:tcPr>
            <w:tcW w:w="1701" w:type="dxa"/>
            <w:gridSpan w:val="2"/>
            <w:shd w:val="clear" w:color="auto" w:fill="FFFFFF" w:themeFill="background1"/>
            <w:noWrap/>
            <w:vAlign w:val="bottom"/>
            <w:hideMark/>
          </w:tcPr>
          <w:p w:rsidR="006D01F9" w:rsidRPr="00FF4391" w:rsidRDefault="006D01F9" w:rsidP="006D01F9">
            <w:pPr>
              <w:jc w:val="right"/>
              <w:rPr>
                <w:b/>
                <w:bCs/>
                <w:sz w:val="22"/>
                <w:szCs w:val="22"/>
              </w:rPr>
            </w:pPr>
            <w:r w:rsidRPr="00FF4391">
              <w:rPr>
                <w:b/>
                <w:bCs/>
                <w:sz w:val="22"/>
                <w:szCs w:val="22"/>
              </w:rPr>
              <w:t xml:space="preserve">28.9 </w:t>
            </w:r>
          </w:p>
        </w:tc>
        <w:tc>
          <w:tcPr>
            <w:tcW w:w="2965" w:type="dxa"/>
            <w:gridSpan w:val="3"/>
            <w:shd w:val="clear" w:color="auto" w:fill="FFFFFF" w:themeFill="background1"/>
            <w:noWrap/>
            <w:vAlign w:val="bottom"/>
            <w:hideMark/>
          </w:tcPr>
          <w:p w:rsidR="006D01F9" w:rsidRPr="00FF4391" w:rsidRDefault="006D01F9" w:rsidP="006D01F9">
            <w:pPr>
              <w:jc w:val="right"/>
              <w:rPr>
                <w:b/>
                <w:bCs/>
                <w:sz w:val="22"/>
                <w:szCs w:val="22"/>
              </w:rPr>
            </w:pPr>
            <w:r w:rsidRPr="00FF4391">
              <w:rPr>
                <w:b/>
                <w:bCs/>
                <w:sz w:val="22"/>
                <w:szCs w:val="22"/>
              </w:rPr>
              <w:t>(20.4)</w:t>
            </w:r>
          </w:p>
        </w:tc>
      </w:tr>
    </w:tbl>
    <w:p w:rsidR="006D01F9" w:rsidRPr="002F17B5" w:rsidRDefault="006D01F9" w:rsidP="00353206">
      <w:pPr>
        <w:autoSpaceDE/>
        <w:autoSpaceDN/>
        <w:adjustRightInd/>
        <w:spacing w:after="20"/>
        <w:jc w:val="left"/>
      </w:pPr>
    </w:p>
    <w:p w:rsidR="00652CD9" w:rsidRPr="002F17B5" w:rsidRDefault="00652CD9" w:rsidP="005853E2">
      <w:pPr>
        <w:autoSpaceDE/>
        <w:autoSpaceDN/>
        <w:adjustRightInd/>
        <w:spacing w:before="0" w:after="0"/>
        <w:jc w:val="left"/>
        <w:rPr>
          <w:rFonts w:ascii="Calibri" w:eastAsia="Times New Roman" w:hAnsi="Calibri" w:cs="Times New Roman"/>
          <w:sz w:val="22"/>
          <w:szCs w:val="22"/>
          <w:lang w:eastAsia="en-GB"/>
        </w:rPr>
        <w:sectPr w:rsidR="00652CD9" w:rsidRPr="002F17B5" w:rsidSect="008E0F34">
          <w:headerReference w:type="even" r:id="rId31"/>
          <w:headerReference w:type="default" r:id="rId32"/>
          <w:footerReference w:type="default" r:id="rId33"/>
          <w:headerReference w:type="first" r:id="rId34"/>
          <w:pgSz w:w="16838" w:h="11906" w:orient="landscape" w:code="9"/>
          <w:pgMar w:top="720" w:right="720" w:bottom="720" w:left="720" w:header="283" w:footer="283" w:gutter="0"/>
          <w:cols w:space="708"/>
          <w:docGrid w:linePitch="360"/>
        </w:sectPr>
      </w:pPr>
    </w:p>
    <w:p w:rsidR="00652CD9" w:rsidRDefault="000C0436" w:rsidP="0094243E">
      <w:pPr>
        <w:pStyle w:val="Heading3-numbered"/>
        <w:ind w:hanging="644"/>
        <w:rPr>
          <w:i w:val="0"/>
          <w:sz w:val="26"/>
          <w:szCs w:val="26"/>
        </w:rPr>
      </w:pPr>
      <w:r w:rsidRPr="00F97FDA">
        <w:rPr>
          <w:i w:val="0"/>
          <w:sz w:val="26"/>
          <w:szCs w:val="26"/>
        </w:rPr>
        <w:lastRenderedPageBreak/>
        <w:t xml:space="preserve">Transfers to and </w:t>
      </w:r>
      <w:r w:rsidR="00652CD9" w:rsidRPr="00F97FDA">
        <w:rPr>
          <w:i w:val="0"/>
          <w:sz w:val="26"/>
          <w:szCs w:val="26"/>
        </w:rPr>
        <w:t>from Earmarked Reserves</w:t>
      </w:r>
    </w:p>
    <w:p w:rsidR="0094243E" w:rsidRPr="0094243E" w:rsidRDefault="0094243E" w:rsidP="0094243E">
      <w:pPr>
        <w:pStyle w:val="Heading3-numbered"/>
        <w:numPr>
          <w:ilvl w:val="0"/>
          <w:numId w:val="0"/>
        </w:numPr>
        <w:rPr>
          <w:b w:val="0"/>
          <w:i w:val="0"/>
          <w:sz w:val="26"/>
          <w:szCs w:val="26"/>
        </w:rPr>
      </w:pPr>
      <w:r w:rsidRPr="000033B9">
        <w:rPr>
          <w:b w:val="0"/>
          <w:i w:val="0"/>
          <w:sz w:val="24"/>
          <w:szCs w:val="24"/>
        </w:rPr>
        <w:t>Detailed below</w:t>
      </w:r>
      <w:r>
        <w:rPr>
          <w:b w:val="0"/>
          <w:i w:val="0"/>
          <w:sz w:val="26"/>
          <w:szCs w:val="26"/>
        </w:rPr>
        <w:t xml:space="preserve"> </w:t>
      </w:r>
      <w:r w:rsidRPr="000033B9">
        <w:rPr>
          <w:b w:val="0"/>
          <w:i w:val="0"/>
          <w:sz w:val="24"/>
          <w:szCs w:val="24"/>
        </w:rPr>
        <w:t>are</w:t>
      </w:r>
      <w:r>
        <w:rPr>
          <w:b w:val="0"/>
          <w:i w:val="0"/>
          <w:sz w:val="26"/>
          <w:szCs w:val="26"/>
        </w:rPr>
        <w:t xml:space="preserve"> </w:t>
      </w:r>
      <w:r w:rsidRPr="00F97FDA">
        <w:rPr>
          <w:b w:val="0"/>
          <w:i w:val="0"/>
          <w:sz w:val="24"/>
          <w:szCs w:val="24"/>
        </w:rPr>
        <w:t>the amounts set aside from the county fund balances in earmarked reserves to provide financing for future expenditure plans, and the amounts posted back from earmarked reserves to meet county fund expenditure in 2013/14.</w:t>
      </w:r>
    </w:p>
    <w:tbl>
      <w:tblPr>
        <w:tblpPr w:leftFromText="180" w:rightFromText="180" w:vertAnchor="page" w:horzAnchor="margin" w:tblpY="3719"/>
        <w:tblW w:w="10783" w:type="dxa"/>
        <w:tblLook w:val="04A0" w:firstRow="1" w:lastRow="0" w:firstColumn="1" w:lastColumn="0" w:noHBand="0" w:noVBand="1"/>
      </w:tblPr>
      <w:tblGrid>
        <w:gridCol w:w="4928"/>
        <w:gridCol w:w="992"/>
        <w:gridCol w:w="567"/>
        <w:gridCol w:w="1843"/>
        <w:gridCol w:w="175"/>
        <w:gridCol w:w="1242"/>
        <w:gridCol w:w="1036"/>
      </w:tblGrid>
      <w:tr w:rsidR="00FB706A" w:rsidRPr="00F97FDA" w:rsidTr="0094243E">
        <w:trPr>
          <w:trHeight w:val="900"/>
        </w:trPr>
        <w:tc>
          <w:tcPr>
            <w:tcW w:w="4928" w:type="dxa"/>
            <w:tcBorders>
              <w:top w:val="nil"/>
              <w:left w:val="nil"/>
              <w:bottom w:val="nil"/>
              <w:right w:val="nil"/>
            </w:tcBorders>
            <w:shd w:val="clear" w:color="auto" w:fill="auto"/>
            <w:noWrap/>
            <w:vAlign w:val="bottom"/>
            <w:hideMark/>
          </w:tcPr>
          <w:p w:rsidR="00FB706A" w:rsidRPr="00F97FDA" w:rsidRDefault="00FB706A" w:rsidP="0094243E">
            <w:pPr>
              <w:autoSpaceDE/>
              <w:autoSpaceDN/>
              <w:adjustRightInd/>
              <w:spacing w:before="0" w:after="0"/>
              <w:jc w:val="left"/>
              <w:rPr>
                <w:rFonts w:eastAsia="Times New Roman" w:cs="Arial"/>
                <w:sz w:val="22"/>
                <w:szCs w:val="22"/>
                <w:lang w:eastAsia="en-GB"/>
              </w:rPr>
            </w:pPr>
          </w:p>
        </w:tc>
        <w:tc>
          <w:tcPr>
            <w:tcW w:w="1559" w:type="dxa"/>
            <w:gridSpan w:val="2"/>
            <w:tcBorders>
              <w:top w:val="nil"/>
              <w:left w:val="nil"/>
              <w:bottom w:val="nil"/>
              <w:right w:val="nil"/>
            </w:tcBorders>
            <w:shd w:val="clear" w:color="auto" w:fill="auto"/>
            <w:vAlign w:val="bottom"/>
            <w:hideMark/>
          </w:tcPr>
          <w:p w:rsidR="00FB706A" w:rsidRPr="00F97FDA" w:rsidRDefault="00FB706A" w:rsidP="0094243E">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 xml:space="preserve">Opening Balance </w:t>
            </w:r>
          </w:p>
        </w:tc>
        <w:tc>
          <w:tcPr>
            <w:tcW w:w="2018" w:type="dxa"/>
            <w:gridSpan w:val="2"/>
            <w:tcBorders>
              <w:top w:val="nil"/>
              <w:left w:val="nil"/>
              <w:bottom w:val="nil"/>
              <w:right w:val="nil"/>
            </w:tcBorders>
            <w:shd w:val="clear" w:color="auto" w:fill="auto"/>
            <w:vAlign w:val="bottom"/>
            <w:hideMark/>
          </w:tcPr>
          <w:p w:rsidR="00FB706A" w:rsidRPr="0094243E" w:rsidRDefault="00FB706A" w:rsidP="0094243E">
            <w:pPr>
              <w:autoSpaceDE/>
              <w:autoSpaceDN/>
              <w:adjustRightInd/>
              <w:spacing w:before="0" w:after="0"/>
              <w:jc w:val="right"/>
              <w:rPr>
                <w:rFonts w:eastAsia="Times New Roman" w:cs="Arial"/>
                <w:b/>
                <w:bCs/>
                <w:sz w:val="20"/>
                <w:szCs w:val="20"/>
                <w:lang w:eastAsia="en-GB"/>
              </w:rPr>
            </w:pPr>
            <w:r w:rsidRPr="0094243E">
              <w:rPr>
                <w:rFonts w:eastAsia="Times New Roman" w:cs="Arial"/>
                <w:b/>
                <w:bCs/>
                <w:sz w:val="21"/>
                <w:szCs w:val="21"/>
                <w:lang w:eastAsia="en-GB"/>
              </w:rPr>
              <w:t>Net contributions to and from reserves ( use of reserves</w:t>
            </w:r>
            <w:r w:rsidRPr="0094243E">
              <w:rPr>
                <w:rFonts w:eastAsia="Times New Roman" w:cs="Arial"/>
                <w:b/>
                <w:bCs/>
                <w:sz w:val="20"/>
                <w:szCs w:val="20"/>
                <w:lang w:eastAsia="en-GB"/>
              </w:rPr>
              <w:t xml:space="preserve">) </w:t>
            </w:r>
          </w:p>
        </w:tc>
        <w:tc>
          <w:tcPr>
            <w:tcW w:w="1242" w:type="dxa"/>
            <w:tcBorders>
              <w:top w:val="nil"/>
              <w:left w:val="nil"/>
              <w:bottom w:val="nil"/>
              <w:right w:val="nil"/>
            </w:tcBorders>
            <w:shd w:val="clear" w:color="auto" w:fill="auto"/>
            <w:vAlign w:val="bottom"/>
            <w:hideMark/>
          </w:tcPr>
          <w:p w:rsidR="00FB706A" w:rsidRPr="00F97FDA" w:rsidRDefault="00FB706A" w:rsidP="0094243E">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 xml:space="preserve">Transfers between reserves </w:t>
            </w:r>
          </w:p>
        </w:tc>
        <w:tc>
          <w:tcPr>
            <w:tcW w:w="1036" w:type="dxa"/>
            <w:tcBorders>
              <w:top w:val="nil"/>
              <w:left w:val="nil"/>
              <w:bottom w:val="nil"/>
              <w:right w:val="nil"/>
            </w:tcBorders>
            <w:shd w:val="clear" w:color="auto" w:fill="auto"/>
            <w:vAlign w:val="bottom"/>
            <w:hideMark/>
          </w:tcPr>
          <w:p w:rsidR="00FB706A" w:rsidRPr="00F97FDA" w:rsidRDefault="00FB706A" w:rsidP="0094243E">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 xml:space="preserve">Closing balance </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meet spending pressures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County Fund</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(36.0)</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2.8</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(2.8)</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(36.0)</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Business Rates Volatility Reserve</w:t>
            </w:r>
          </w:p>
        </w:tc>
        <w:tc>
          <w:tcPr>
            <w:tcW w:w="1559"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(5.0)</w:t>
            </w:r>
          </w:p>
        </w:tc>
        <w:tc>
          <w:tcPr>
            <w:tcW w:w="2018"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242"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036"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(5.0)</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b/>
                <w:bCs/>
                <w:sz w:val="18"/>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(41.0)</w:t>
            </w:r>
          </w:p>
        </w:tc>
        <w:tc>
          <w:tcPr>
            <w:tcW w:w="2018"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2.8</w:t>
            </w:r>
          </w:p>
        </w:tc>
        <w:tc>
          <w:tcPr>
            <w:tcW w:w="1242"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(2.8)</w:t>
            </w:r>
          </w:p>
        </w:tc>
        <w:tc>
          <w:tcPr>
            <w:tcW w:w="1036"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(41.0)</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deliver corporate priorities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18"/>
                <w:szCs w:val="22"/>
                <w:lang w:eastAsia="en-GB"/>
              </w:rPr>
            </w:pP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18"/>
                <w:szCs w:val="22"/>
                <w:lang w:eastAsia="en-GB"/>
              </w:rPr>
            </w:pP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18"/>
                <w:szCs w:val="22"/>
                <w:lang w:eastAsia="en-GB"/>
              </w:rPr>
            </w:pP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18"/>
                <w:szCs w:val="22"/>
                <w:lang w:eastAsia="en-GB"/>
              </w:rPr>
            </w:pP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Strategic Investment Reserve</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(41.7)</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5.0</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9.9</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(26.8)</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Modern Apprentices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(0.2)</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(0.2)</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Local Welfare Reserve</w:t>
            </w:r>
          </w:p>
        </w:tc>
        <w:tc>
          <w:tcPr>
            <w:tcW w:w="1559"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w:t>
            </w:r>
          </w:p>
        </w:tc>
        <w:tc>
          <w:tcPr>
            <w:tcW w:w="2018"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(1.1)</w:t>
            </w:r>
          </w:p>
        </w:tc>
        <w:tc>
          <w:tcPr>
            <w:tcW w:w="1242"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(0.7)</w:t>
            </w:r>
          </w:p>
        </w:tc>
        <w:tc>
          <w:tcPr>
            <w:tcW w:w="1036"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(1.8)</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(41.9)</w:t>
            </w:r>
          </w:p>
        </w:tc>
        <w:tc>
          <w:tcPr>
            <w:tcW w:w="2018"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3.9</w:t>
            </w:r>
          </w:p>
        </w:tc>
        <w:tc>
          <w:tcPr>
            <w:tcW w:w="1242"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9.2</w:t>
            </w:r>
          </w:p>
        </w:tc>
        <w:tc>
          <w:tcPr>
            <w:tcW w:w="1036"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(28.8)</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deliver organisational change</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Downsizing Reserve</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(37.7)</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(14.9)</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(46.6)</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(99.2)</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Service Transformation Reserve</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(9.2)</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0.8</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8.4</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0.0</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Voluntary Severance Reserve</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(8.0)</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6.8</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1.2</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0.0</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LAA PRG Monies – Lancashire</w:t>
            </w:r>
          </w:p>
        </w:tc>
        <w:tc>
          <w:tcPr>
            <w:tcW w:w="1559"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(5.3)</w:t>
            </w:r>
          </w:p>
        </w:tc>
        <w:tc>
          <w:tcPr>
            <w:tcW w:w="2018"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242"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1.4</w:t>
            </w:r>
          </w:p>
        </w:tc>
        <w:tc>
          <w:tcPr>
            <w:tcW w:w="1036"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(3.9)</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(60.2)</w:t>
            </w:r>
          </w:p>
        </w:tc>
        <w:tc>
          <w:tcPr>
            <w:tcW w:w="2018"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(7.3)</w:t>
            </w:r>
          </w:p>
        </w:tc>
        <w:tc>
          <w:tcPr>
            <w:tcW w:w="1242"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(35.6)</w:t>
            </w:r>
          </w:p>
        </w:tc>
        <w:tc>
          <w:tcPr>
            <w:tcW w:w="1036"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(103.1)</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pay for expenditure commitments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Equal Pay Review Reserve</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(4.5)</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2.9</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1.2</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(0.4)</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CC Election Reserve</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(1.4)</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0.9</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(0.5)</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CLEO Revenue Reserve</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(1.3)</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1.3</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(0.0)</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Funding of Capital Projects</w:t>
            </w:r>
          </w:p>
        </w:tc>
        <w:tc>
          <w:tcPr>
            <w:tcW w:w="1559"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(43.7)</w:t>
            </w:r>
          </w:p>
        </w:tc>
        <w:tc>
          <w:tcPr>
            <w:tcW w:w="2018"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8.8</w:t>
            </w:r>
          </w:p>
        </w:tc>
        <w:tc>
          <w:tcPr>
            <w:tcW w:w="1242"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21.7</w:t>
            </w:r>
          </w:p>
        </w:tc>
        <w:tc>
          <w:tcPr>
            <w:tcW w:w="1036"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(13.2)</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(50.9)</w:t>
            </w:r>
          </w:p>
        </w:tc>
        <w:tc>
          <w:tcPr>
            <w:tcW w:w="2018"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13.9</w:t>
            </w:r>
          </w:p>
        </w:tc>
        <w:tc>
          <w:tcPr>
            <w:tcW w:w="1242"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22.9</w:t>
            </w:r>
          </w:p>
        </w:tc>
        <w:tc>
          <w:tcPr>
            <w:tcW w:w="1036"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(14.1)</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School reserves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Individual School Reserves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(51.5)</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(4.5)</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0.1</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(55.9)</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Other School Reserves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(29.0)</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(7.4)</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5.2</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(31.2)</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Centrally Managed Schools Maintenance Reserve</w:t>
            </w:r>
          </w:p>
        </w:tc>
        <w:tc>
          <w:tcPr>
            <w:tcW w:w="1559"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(3.5)</w:t>
            </w:r>
          </w:p>
        </w:tc>
        <w:tc>
          <w:tcPr>
            <w:tcW w:w="2018"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(0.7)</w:t>
            </w:r>
          </w:p>
        </w:tc>
        <w:tc>
          <w:tcPr>
            <w:tcW w:w="1242"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0.0</w:t>
            </w:r>
          </w:p>
        </w:tc>
        <w:tc>
          <w:tcPr>
            <w:tcW w:w="1036"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(4.2)</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(84.0)</w:t>
            </w:r>
          </w:p>
        </w:tc>
        <w:tc>
          <w:tcPr>
            <w:tcW w:w="2018"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(12.6)</w:t>
            </w:r>
          </w:p>
        </w:tc>
        <w:tc>
          <w:tcPr>
            <w:tcW w:w="1242"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5.3</w:t>
            </w:r>
          </w:p>
        </w:tc>
        <w:tc>
          <w:tcPr>
            <w:tcW w:w="1036"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(91.3)</w:t>
            </w:r>
          </w:p>
        </w:tc>
      </w:tr>
      <w:tr w:rsidR="00FB706A" w:rsidRPr="00F97FDA" w:rsidTr="0094243E">
        <w:trPr>
          <w:trHeight w:val="300"/>
        </w:trPr>
        <w:tc>
          <w:tcPr>
            <w:tcW w:w="5920"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meet service priorities (directorate reserves)</w:t>
            </w:r>
          </w:p>
        </w:tc>
        <w:tc>
          <w:tcPr>
            <w:tcW w:w="567"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Corporate Reserves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(0.1)</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(0.5)</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(0.6)</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Directorate Reserves</w:t>
            </w:r>
          </w:p>
        </w:tc>
        <w:tc>
          <w:tcPr>
            <w:tcW w:w="1559"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(58.6)</w:t>
            </w:r>
          </w:p>
        </w:tc>
        <w:tc>
          <w:tcPr>
            <w:tcW w:w="2018" w:type="dxa"/>
            <w:gridSpan w:val="2"/>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(8.2)</w:t>
            </w:r>
          </w:p>
        </w:tc>
        <w:tc>
          <w:tcPr>
            <w:tcW w:w="1242"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1.0</w:t>
            </w:r>
          </w:p>
        </w:tc>
        <w:tc>
          <w:tcPr>
            <w:tcW w:w="1036"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(65.8)</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Building Repairs &amp; Maintenance Reserve</w:t>
            </w:r>
          </w:p>
        </w:tc>
        <w:tc>
          <w:tcPr>
            <w:tcW w:w="1559"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(1.5)</w:t>
            </w:r>
          </w:p>
        </w:tc>
        <w:tc>
          <w:tcPr>
            <w:tcW w:w="2018" w:type="dxa"/>
            <w:gridSpan w:val="2"/>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0.4</w:t>
            </w:r>
          </w:p>
        </w:tc>
        <w:tc>
          <w:tcPr>
            <w:tcW w:w="1242"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036" w:type="dxa"/>
            <w:tcBorders>
              <w:top w:val="nil"/>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(1.1)</w:t>
            </w:r>
          </w:p>
        </w:tc>
      </w:tr>
      <w:tr w:rsidR="00FB706A" w:rsidRPr="00F97FDA" w:rsidTr="0094243E">
        <w:trPr>
          <w:trHeight w:val="300"/>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(60.2)</w:t>
            </w:r>
          </w:p>
        </w:tc>
        <w:tc>
          <w:tcPr>
            <w:tcW w:w="2018" w:type="dxa"/>
            <w:gridSpan w:val="2"/>
            <w:tcBorders>
              <w:top w:val="single" w:sz="4" w:space="0" w:color="auto"/>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(8.3)</w:t>
            </w:r>
          </w:p>
        </w:tc>
        <w:tc>
          <w:tcPr>
            <w:tcW w:w="1242" w:type="dxa"/>
            <w:tcBorders>
              <w:top w:val="single" w:sz="4" w:space="0" w:color="auto"/>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1.0</w:t>
            </w:r>
          </w:p>
        </w:tc>
        <w:tc>
          <w:tcPr>
            <w:tcW w:w="1036" w:type="dxa"/>
            <w:tcBorders>
              <w:top w:val="single" w:sz="4" w:space="0" w:color="auto"/>
              <w:left w:val="nil"/>
              <w:bottom w:val="single" w:sz="4" w:space="0" w:color="auto"/>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(67.5)</w:t>
            </w:r>
          </w:p>
        </w:tc>
      </w:tr>
      <w:tr w:rsidR="00FB706A" w:rsidRPr="00F97FDA" w:rsidTr="0094243E">
        <w:trPr>
          <w:trHeight w:val="132"/>
        </w:trPr>
        <w:tc>
          <w:tcPr>
            <w:tcW w:w="4928" w:type="dxa"/>
            <w:tcBorders>
              <w:top w:val="nil"/>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left"/>
              <w:rPr>
                <w:rFonts w:eastAsia="Times New Roman" w:cs="Arial"/>
                <w:b/>
                <w:bCs/>
                <w:sz w:val="22"/>
                <w:szCs w:val="22"/>
                <w:lang w:eastAsia="en-GB"/>
              </w:rPr>
            </w:pPr>
            <w:r w:rsidRPr="00F97FDA">
              <w:rPr>
                <w:rFonts w:eastAsia="Times New Roman" w:cs="Arial"/>
                <w:b/>
                <w:bCs/>
                <w:sz w:val="22"/>
                <w:szCs w:val="22"/>
                <w:lang w:eastAsia="en-GB"/>
              </w:rPr>
              <w:t>Total Revenue Reserves</w:t>
            </w:r>
          </w:p>
        </w:tc>
        <w:tc>
          <w:tcPr>
            <w:tcW w:w="1559"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(338.2)</w:t>
            </w:r>
          </w:p>
        </w:tc>
        <w:tc>
          <w:tcPr>
            <w:tcW w:w="1843" w:type="dxa"/>
            <w:tcBorders>
              <w:top w:val="single" w:sz="4" w:space="0" w:color="auto"/>
              <w:left w:val="nil"/>
              <w:bottom w:val="nil"/>
              <w:right w:val="nil"/>
            </w:tcBorders>
            <w:shd w:val="clear" w:color="auto" w:fill="auto"/>
            <w:noWrap/>
            <w:vAlign w:val="bottom"/>
            <w:hideMark/>
          </w:tcPr>
          <w:p w:rsidR="00FB706A" w:rsidRPr="00F97FDA" w:rsidRDefault="00FB706A" w:rsidP="00C63B87">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(7.6)</w:t>
            </w:r>
          </w:p>
        </w:tc>
        <w:tc>
          <w:tcPr>
            <w:tcW w:w="1417" w:type="dxa"/>
            <w:gridSpan w:val="2"/>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w:t>
            </w:r>
          </w:p>
        </w:tc>
        <w:tc>
          <w:tcPr>
            <w:tcW w:w="1036" w:type="dxa"/>
            <w:tcBorders>
              <w:top w:val="single" w:sz="4" w:space="0" w:color="auto"/>
              <w:left w:val="nil"/>
              <w:bottom w:val="nil"/>
              <w:right w:val="nil"/>
            </w:tcBorders>
            <w:shd w:val="clear" w:color="auto" w:fill="auto"/>
            <w:noWrap/>
            <w:vAlign w:val="bottom"/>
            <w:hideMark/>
          </w:tcPr>
          <w:p w:rsidR="00FB706A" w:rsidRPr="00F97FDA" w:rsidRDefault="00FB706A" w:rsidP="006E735F">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(345.8)</w:t>
            </w:r>
          </w:p>
        </w:tc>
      </w:tr>
    </w:tbl>
    <w:p w:rsidR="00FB706A" w:rsidRPr="00F97FDA" w:rsidRDefault="00FB706A" w:rsidP="00FB706A">
      <w:pPr>
        <w:pStyle w:val="Heading3-numbered"/>
        <w:numPr>
          <w:ilvl w:val="0"/>
          <w:numId w:val="0"/>
        </w:numPr>
        <w:ind w:left="360"/>
        <w:rPr>
          <w:i w:val="0"/>
          <w:sz w:val="26"/>
          <w:szCs w:val="26"/>
        </w:rPr>
      </w:pPr>
    </w:p>
    <w:p w:rsidR="007D4A5D" w:rsidRPr="00F97FDA" w:rsidRDefault="009A3420" w:rsidP="00296E92">
      <w:pPr>
        <w:pStyle w:val="BodyText10"/>
        <w:spacing w:before="240"/>
        <w:rPr>
          <w:rFonts w:cs="Arial"/>
          <w:b/>
          <w:u w:val="single"/>
        </w:rPr>
      </w:pPr>
      <w:r w:rsidRPr="00F97FDA">
        <w:rPr>
          <w:rFonts w:cs="Arial"/>
          <w:b/>
          <w:u w:val="single"/>
        </w:rPr>
        <w:t>2012/13</w:t>
      </w:r>
    </w:p>
    <w:tbl>
      <w:tblPr>
        <w:tblpPr w:leftFromText="180" w:rightFromText="180" w:vertAnchor="text" w:horzAnchor="margin" w:tblpY="111"/>
        <w:tblW w:w="10740" w:type="dxa"/>
        <w:tblLook w:val="04A0" w:firstRow="1" w:lastRow="0" w:firstColumn="1" w:lastColumn="0" w:noHBand="0" w:noVBand="1"/>
      </w:tblPr>
      <w:tblGrid>
        <w:gridCol w:w="4928"/>
        <w:gridCol w:w="992"/>
        <w:gridCol w:w="567"/>
        <w:gridCol w:w="2019"/>
        <w:gridCol w:w="1275"/>
        <w:gridCol w:w="1135"/>
      </w:tblGrid>
      <w:tr w:rsidR="009A3420" w:rsidRPr="00F97FDA" w:rsidTr="00C63B87">
        <w:trPr>
          <w:trHeight w:val="9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559" w:type="dxa"/>
            <w:gridSpan w:val="2"/>
            <w:tcBorders>
              <w:top w:val="nil"/>
              <w:left w:val="nil"/>
              <w:bottom w:val="nil"/>
              <w:right w:val="nil"/>
            </w:tcBorders>
            <w:shd w:val="clear" w:color="auto" w:fill="auto"/>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 xml:space="preserve">Opening Balance </w:t>
            </w:r>
          </w:p>
        </w:tc>
        <w:tc>
          <w:tcPr>
            <w:tcW w:w="2019" w:type="dxa"/>
            <w:tcBorders>
              <w:top w:val="nil"/>
              <w:left w:val="nil"/>
              <w:bottom w:val="nil"/>
              <w:right w:val="nil"/>
            </w:tcBorders>
            <w:shd w:val="clear" w:color="auto" w:fill="auto"/>
            <w:vAlign w:val="bottom"/>
            <w:hideMark/>
          </w:tcPr>
          <w:p w:rsidR="009A3420" w:rsidRPr="00C63B87" w:rsidRDefault="009A3420" w:rsidP="00C63B87">
            <w:pPr>
              <w:autoSpaceDE/>
              <w:autoSpaceDN/>
              <w:adjustRightInd/>
              <w:spacing w:before="0" w:after="0"/>
              <w:jc w:val="right"/>
              <w:rPr>
                <w:rFonts w:eastAsia="Times New Roman" w:cs="Arial"/>
                <w:b/>
                <w:bCs/>
                <w:sz w:val="21"/>
                <w:szCs w:val="21"/>
                <w:lang w:eastAsia="en-GB"/>
              </w:rPr>
            </w:pPr>
            <w:r w:rsidRPr="00C63B87">
              <w:rPr>
                <w:rFonts w:eastAsia="Times New Roman" w:cs="Arial"/>
                <w:b/>
                <w:bCs/>
                <w:sz w:val="21"/>
                <w:szCs w:val="21"/>
                <w:lang w:eastAsia="en-GB"/>
              </w:rPr>
              <w:t xml:space="preserve">Net contributions to and from reserves ( use of reserves) Restated* </w:t>
            </w:r>
          </w:p>
        </w:tc>
        <w:tc>
          <w:tcPr>
            <w:tcW w:w="1275" w:type="dxa"/>
            <w:tcBorders>
              <w:top w:val="nil"/>
              <w:left w:val="nil"/>
              <w:bottom w:val="nil"/>
              <w:right w:val="nil"/>
            </w:tcBorders>
            <w:shd w:val="clear" w:color="auto" w:fill="auto"/>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 xml:space="preserve">Transfers between reserves </w:t>
            </w:r>
          </w:p>
        </w:tc>
        <w:tc>
          <w:tcPr>
            <w:tcW w:w="1135" w:type="dxa"/>
            <w:tcBorders>
              <w:top w:val="nil"/>
              <w:left w:val="nil"/>
              <w:bottom w:val="nil"/>
              <w:right w:val="nil"/>
            </w:tcBorders>
            <w:shd w:val="clear" w:color="auto" w:fill="auto"/>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 xml:space="preserve">Closing balance </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u w:val="single"/>
                <w:lang w:eastAsia="en-GB"/>
              </w:rPr>
            </w:pPr>
          </w:p>
          <w:p w:rsidR="009A3420" w:rsidRPr="00F97FDA" w:rsidRDefault="009A3420" w:rsidP="009A3420">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meet spending pressures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County Fund</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(36.5)</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(8.5)</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9.0</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(36.0)</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Business Rates Volatility Reserve</w:t>
            </w:r>
          </w:p>
        </w:tc>
        <w:tc>
          <w:tcPr>
            <w:tcW w:w="1559" w:type="dxa"/>
            <w:gridSpan w:val="2"/>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(5.0)</w:t>
            </w:r>
          </w:p>
        </w:tc>
        <w:tc>
          <w:tcPr>
            <w:tcW w:w="2019"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27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13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(5.0)</w:t>
            </w:r>
          </w:p>
        </w:tc>
      </w:tr>
      <w:tr w:rsidR="009A3420" w:rsidRPr="00F97FDA" w:rsidTr="00C63B87">
        <w:trPr>
          <w:trHeight w:val="217"/>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(41.5)</w:t>
            </w:r>
          </w:p>
        </w:tc>
        <w:tc>
          <w:tcPr>
            <w:tcW w:w="2019"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(8.5)</w:t>
            </w:r>
          </w:p>
        </w:tc>
        <w:tc>
          <w:tcPr>
            <w:tcW w:w="127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9.0</w:t>
            </w:r>
          </w:p>
        </w:tc>
        <w:tc>
          <w:tcPr>
            <w:tcW w:w="113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(41.0)</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deliver corporate priorities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18"/>
                <w:szCs w:val="22"/>
                <w:lang w:eastAsia="en-GB"/>
              </w:rPr>
            </w:pP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18"/>
                <w:szCs w:val="22"/>
                <w:lang w:eastAsia="en-GB"/>
              </w:rPr>
            </w:pP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18"/>
                <w:szCs w:val="22"/>
                <w:lang w:eastAsia="en-GB"/>
              </w:rPr>
            </w:pP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18"/>
                <w:szCs w:val="22"/>
                <w:lang w:eastAsia="en-GB"/>
              </w:rPr>
            </w:pP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Strategic Investment Reserve</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(59.0)</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(9.4)</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26.7</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(41.7)</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Modern Apprentices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(0.2)</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(0.2)</w:t>
            </w:r>
          </w:p>
        </w:tc>
      </w:tr>
      <w:tr w:rsidR="009A3420" w:rsidRPr="00F97FDA" w:rsidTr="00C63B87">
        <w:trPr>
          <w:trHeight w:val="352"/>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(59.2)</w:t>
            </w:r>
          </w:p>
        </w:tc>
        <w:tc>
          <w:tcPr>
            <w:tcW w:w="2019"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(9.4)</w:t>
            </w:r>
          </w:p>
        </w:tc>
        <w:tc>
          <w:tcPr>
            <w:tcW w:w="127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26.7</w:t>
            </w:r>
          </w:p>
        </w:tc>
        <w:tc>
          <w:tcPr>
            <w:tcW w:w="113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(41.9)</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deliver organisational change</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Downsizing Reserve</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(3.8)</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(33.9)</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(37.7)</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Service Transformation Reserve</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(26.8)</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(7.0)</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24.6</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(9.2)</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Voluntary Severance Reserve</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(11.3)</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3.3</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(8.0)</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LAA PRG Monies – Lancashire</w:t>
            </w:r>
          </w:p>
        </w:tc>
        <w:tc>
          <w:tcPr>
            <w:tcW w:w="1559" w:type="dxa"/>
            <w:gridSpan w:val="2"/>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(5.4)</w:t>
            </w:r>
          </w:p>
        </w:tc>
        <w:tc>
          <w:tcPr>
            <w:tcW w:w="2019"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0.1</w:t>
            </w:r>
          </w:p>
        </w:tc>
        <w:tc>
          <w:tcPr>
            <w:tcW w:w="127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13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(5.3)</w:t>
            </w:r>
          </w:p>
        </w:tc>
      </w:tr>
      <w:tr w:rsidR="009A3420" w:rsidRPr="00F97FDA" w:rsidTr="00C63B87">
        <w:trPr>
          <w:trHeight w:val="195"/>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(43.5)</w:t>
            </w:r>
          </w:p>
        </w:tc>
        <w:tc>
          <w:tcPr>
            <w:tcW w:w="2019"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(7.4)</w:t>
            </w:r>
          </w:p>
        </w:tc>
        <w:tc>
          <w:tcPr>
            <w:tcW w:w="127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(9.3)</w:t>
            </w:r>
          </w:p>
        </w:tc>
        <w:tc>
          <w:tcPr>
            <w:tcW w:w="113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(60.2)</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pay for expenditure commitments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Equal Pay Review Reserve</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(4.6)</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(1.7)</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1.8</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(4.5)</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CC Election Reserve</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(1.1)</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(0.2)</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(0.1)</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(1.4)</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CLEO Revenue Reserve</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(2.2)</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0.9</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(1.3)</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Funding of Capital Projects</w:t>
            </w:r>
          </w:p>
        </w:tc>
        <w:tc>
          <w:tcPr>
            <w:tcW w:w="1559" w:type="dxa"/>
            <w:gridSpan w:val="2"/>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(13.1)</w:t>
            </w:r>
          </w:p>
        </w:tc>
        <w:tc>
          <w:tcPr>
            <w:tcW w:w="2019"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5.8</w:t>
            </w:r>
          </w:p>
        </w:tc>
        <w:tc>
          <w:tcPr>
            <w:tcW w:w="127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(36.4)</w:t>
            </w:r>
          </w:p>
        </w:tc>
        <w:tc>
          <w:tcPr>
            <w:tcW w:w="113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(43.7)</w:t>
            </w:r>
          </w:p>
        </w:tc>
      </w:tr>
      <w:tr w:rsidR="009A3420" w:rsidRPr="00F97FDA" w:rsidTr="00C63B87">
        <w:trPr>
          <w:trHeight w:val="321"/>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(21.0)</w:t>
            </w:r>
          </w:p>
        </w:tc>
        <w:tc>
          <w:tcPr>
            <w:tcW w:w="2019"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4.8</w:t>
            </w:r>
          </w:p>
        </w:tc>
        <w:tc>
          <w:tcPr>
            <w:tcW w:w="127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(34.7)</w:t>
            </w:r>
          </w:p>
        </w:tc>
        <w:tc>
          <w:tcPr>
            <w:tcW w:w="113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(50.9)</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School reserves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Individual School Reserves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(54.0)</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1.0</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1.5</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(51.5)</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Other School Reserves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(27.1)</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(4.7)</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2.8</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(29.0)</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Centrally Managed Schools Maintenance Reserve</w:t>
            </w:r>
          </w:p>
        </w:tc>
        <w:tc>
          <w:tcPr>
            <w:tcW w:w="1559" w:type="dxa"/>
            <w:gridSpan w:val="2"/>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(2.7)</w:t>
            </w:r>
          </w:p>
        </w:tc>
        <w:tc>
          <w:tcPr>
            <w:tcW w:w="2019"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(0.8)</w:t>
            </w:r>
          </w:p>
        </w:tc>
        <w:tc>
          <w:tcPr>
            <w:tcW w:w="127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13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(3.5)</w:t>
            </w:r>
          </w:p>
        </w:tc>
      </w:tr>
      <w:tr w:rsidR="009A3420" w:rsidRPr="00F97FDA" w:rsidTr="00C63B87">
        <w:trPr>
          <w:trHeight w:val="203"/>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(83.8)</w:t>
            </w:r>
          </w:p>
        </w:tc>
        <w:tc>
          <w:tcPr>
            <w:tcW w:w="2019"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(4.5)</w:t>
            </w:r>
          </w:p>
        </w:tc>
        <w:tc>
          <w:tcPr>
            <w:tcW w:w="127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4.3</w:t>
            </w:r>
          </w:p>
        </w:tc>
        <w:tc>
          <w:tcPr>
            <w:tcW w:w="1135" w:type="dxa"/>
            <w:tcBorders>
              <w:top w:val="single" w:sz="4" w:space="0" w:color="auto"/>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(84.0)</w:t>
            </w:r>
          </w:p>
        </w:tc>
      </w:tr>
      <w:tr w:rsidR="009A3420" w:rsidRPr="00F97FDA" w:rsidTr="00C63B87">
        <w:trPr>
          <w:trHeight w:val="300"/>
        </w:trPr>
        <w:tc>
          <w:tcPr>
            <w:tcW w:w="5920"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u w:val="single"/>
                <w:lang w:eastAsia="en-GB"/>
              </w:rPr>
            </w:pPr>
            <w:r w:rsidRPr="00F97FDA">
              <w:rPr>
                <w:rFonts w:eastAsia="Times New Roman" w:cs="Arial"/>
                <w:sz w:val="22"/>
                <w:szCs w:val="22"/>
                <w:u w:val="single"/>
                <w:lang w:eastAsia="en-GB"/>
              </w:rPr>
              <w:t>Reserves held to meet service priorities (directorate reserves)</w:t>
            </w:r>
          </w:p>
        </w:tc>
        <w:tc>
          <w:tcPr>
            <w:tcW w:w="567"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Corporate Reserves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(0.2)</w:t>
            </w:r>
          </w:p>
        </w:tc>
        <w:tc>
          <w:tcPr>
            <w:tcW w:w="2019"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0.1</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w:t>
            </w:r>
          </w:p>
        </w:tc>
        <w:tc>
          <w:tcPr>
            <w:tcW w:w="113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(0.1)</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left"/>
              <w:rPr>
                <w:rFonts w:eastAsia="Times New Roman" w:cs="Arial"/>
                <w:sz w:val="22"/>
                <w:szCs w:val="22"/>
                <w:lang w:eastAsia="en-GB"/>
              </w:rPr>
            </w:pPr>
            <w:r w:rsidRPr="00F97FDA">
              <w:rPr>
                <w:rFonts w:eastAsia="Times New Roman" w:cs="Arial"/>
                <w:sz w:val="22"/>
                <w:szCs w:val="22"/>
                <w:lang w:eastAsia="en-GB"/>
              </w:rPr>
              <w:t>Directorate Reserves</w:t>
            </w:r>
          </w:p>
        </w:tc>
        <w:tc>
          <w:tcPr>
            <w:tcW w:w="1559" w:type="dxa"/>
            <w:gridSpan w:val="2"/>
            <w:tcBorders>
              <w:top w:val="nil"/>
              <w:left w:val="nil"/>
              <w:bottom w:val="nil"/>
              <w:right w:val="nil"/>
            </w:tcBorders>
            <w:shd w:val="clear" w:color="auto" w:fill="auto"/>
            <w:noWrap/>
            <w:vAlign w:val="bottom"/>
            <w:hideMark/>
          </w:tcPr>
          <w:p w:rsidR="009A3420" w:rsidRPr="00F97FDA" w:rsidRDefault="009A3420" w:rsidP="00530C22">
            <w:pPr>
              <w:autoSpaceDE/>
              <w:autoSpaceDN/>
              <w:adjustRightInd/>
              <w:spacing w:before="0" w:after="0"/>
              <w:ind w:left="175"/>
              <w:jc w:val="right"/>
              <w:rPr>
                <w:rFonts w:eastAsia="Times New Roman" w:cs="Arial"/>
                <w:sz w:val="22"/>
                <w:szCs w:val="22"/>
                <w:lang w:eastAsia="en-GB"/>
              </w:rPr>
            </w:pPr>
            <w:r w:rsidRPr="00F97FDA">
              <w:rPr>
                <w:rFonts w:eastAsia="Times New Roman" w:cs="Arial"/>
                <w:sz w:val="22"/>
                <w:szCs w:val="22"/>
                <w:lang w:eastAsia="en-GB"/>
              </w:rPr>
              <w:t>(49.</w:t>
            </w:r>
            <w:r w:rsidR="00D54E0E" w:rsidRPr="00F97FDA">
              <w:rPr>
                <w:rFonts w:eastAsia="Times New Roman" w:cs="Arial"/>
                <w:sz w:val="22"/>
                <w:szCs w:val="22"/>
                <w:lang w:eastAsia="en-GB"/>
              </w:rPr>
              <w:t>2</w:t>
            </w:r>
            <w:r w:rsidRPr="00F97FDA">
              <w:rPr>
                <w:rFonts w:eastAsia="Times New Roman" w:cs="Arial"/>
                <w:sz w:val="22"/>
                <w:szCs w:val="22"/>
                <w:lang w:eastAsia="en-GB"/>
              </w:rPr>
              <w:t>)</w:t>
            </w:r>
          </w:p>
        </w:tc>
        <w:tc>
          <w:tcPr>
            <w:tcW w:w="2019" w:type="dxa"/>
            <w:tcBorders>
              <w:top w:val="nil"/>
              <w:left w:val="nil"/>
              <w:bottom w:val="nil"/>
              <w:right w:val="nil"/>
            </w:tcBorders>
            <w:shd w:val="clear" w:color="auto" w:fill="auto"/>
            <w:noWrap/>
            <w:vAlign w:val="bottom"/>
            <w:hideMark/>
          </w:tcPr>
          <w:p w:rsidR="009A3420" w:rsidRPr="00F97FDA" w:rsidRDefault="009A3420" w:rsidP="00D371C1">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(13.</w:t>
            </w:r>
            <w:r w:rsidR="00D371C1" w:rsidRPr="00F97FDA">
              <w:rPr>
                <w:rFonts w:eastAsia="Times New Roman" w:cs="Arial"/>
                <w:sz w:val="22"/>
                <w:szCs w:val="22"/>
                <w:lang w:eastAsia="en-GB"/>
              </w:rPr>
              <w:t>4</w:t>
            </w:r>
            <w:r w:rsidRPr="00F97FDA">
              <w:rPr>
                <w:rFonts w:eastAsia="Times New Roman" w:cs="Arial"/>
                <w:sz w:val="22"/>
                <w:szCs w:val="22"/>
                <w:lang w:eastAsia="en-GB"/>
              </w:rPr>
              <w:t>)</w:t>
            </w:r>
          </w:p>
        </w:tc>
        <w:tc>
          <w:tcPr>
            <w:tcW w:w="1275"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4.0</w:t>
            </w:r>
          </w:p>
        </w:tc>
        <w:tc>
          <w:tcPr>
            <w:tcW w:w="1135" w:type="dxa"/>
            <w:tcBorders>
              <w:top w:val="nil"/>
              <w:left w:val="nil"/>
              <w:bottom w:val="nil"/>
              <w:right w:val="nil"/>
            </w:tcBorders>
            <w:shd w:val="clear" w:color="auto" w:fill="auto"/>
            <w:noWrap/>
            <w:vAlign w:val="bottom"/>
            <w:hideMark/>
          </w:tcPr>
          <w:p w:rsidR="009A3420" w:rsidRPr="00F97FDA" w:rsidRDefault="009A3420" w:rsidP="00530C22">
            <w:pPr>
              <w:autoSpaceDE/>
              <w:autoSpaceDN/>
              <w:adjustRightInd/>
              <w:spacing w:before="0" w:after="0"/>
              <w:jc w:val="right"/>
              <w:rPr>
                <w:rFonts w:eastAsia="Times New Roman" w:cs="Arial"/>
                <w:sz w:val="22"/>
                <w:szCs w:val="22"/>
                <w:lang w:eastAsia="en-GB"/>
              </w:rPr>
            </w:pPr>
            <w:r w:rsidRPr="00F97FDA">
              <w:rPr>
                <w:rFonts w:eastAsia="Times New Roman" w:cs="Arial"/>
                <w:sz w:val="22"/>
                <w:szCs w:val="22"/>
                <w:lang w:eastAsia="en-GB"/>
              </w:rPr>
              <w:t>(58.</w:t>
            </w:r>
            <w:r w:rsidR="00D54E0E" w:rsidRPr="00F97FDA">
              <w:rPr>
                <w:rFonts w:eastAsia="Times New Roman" w:cs="Arial"/>
                <w:sz w:val="22"/>
                <w:szCs w:val="22"/>
                <w:lang w:eastAsia="en-GB"/>
              </w:rPr>
              <w:t>6</w:t>
            </w:r>
            <w:r w:rsidRPr="00F97FDA">
              <w:rPr>
                <w:rFonts w:eastAsia="Times New Roman" w:cs="Arial"/>
                <w:sz w:val="22"/>
                <w:szCs w:val="22"/>
                <w:lang w:eastAsia="en-GB"/>
              </w:rPr>
              <w:t>)</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line="276" w:lineRule="auto"/>
              <w:jc w:val="left"/>
              <w:rPr>
                <w:rFonts w:eastAsia="Times New Roman" w:cs="Arial"/>
                <w:sz w:val="22"/>
                <w:szCs w:val="22"/>
                <w:lang w:eastAsia="en-GB"/>
              </w:rPr>
            </w:pPr>
            <w:r w:rsidRPr="00F97FDA">
              <w:rPr>
                <w:rFonts w:eastAsia="Times New Roman" w:cs="Arial"/>
                <w:sz w:val="22"/>
                <w:szCs w:val="22"/>
                <w:lang w:eastAsia="en-GB"/>
              </w:rPr>
              <w:t>Building Repairs &amp; Maintenance Reserve</w:t>
            </w:r>
          </w:p>
        </w:tc>
        <w:tc>
          <w:tcPr>
            <w:tcW w:w="1559" w:type="dxa"/>
            <w:gridSpan w:val="2"/>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line="276" w:lineRule="auto"/>
              <w:ind w:left="175"/>
              <w:jc w:val="right"/>
              <w:rPr>
                <w:rFonts w:eastAsia="Times New Roman" w:cs="Arial"/>
                <w:sz w:val="22"/>
                <w:szCs w:val="22"/>
                <w:lang w:eastAsia="en-GB"/>
              </w:rPr>
            </w:pPr>
            <w:r w:rsidRPr="00F97FDA">
              <w:rPr>
                <w:rFonts w:eastAsia="Times New Roman" w:cs="Arial"/>
                <w:sz w:val="22"/>
                <w:szCs w:val="22"/>
                <w:lang w:eastAsia="en-GB"/>
              </w:rPr>
              <w:t>(2.2)</w:t>
            </w:r>
          </w:p>
        </w:tc>
        <w:tc>
          <w:tcPr>
            <w:tcW w:w="2019"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line="276" w:lineRule="auto"/>
              <w:jc w:val="right"/>
              <w:rPr>
                <w:rFonts w:eastAsia="Times New Roman" w:cs="Arial"/>
                <w:sz w:val="22"/>
                <w:szCs w:val="22"/>
                <w:lang w:eastAsia="en-GB"/>
              </w:rPr>
            </w:pPr>
            <w:r w:rsidRPr="00F97FDA">
              <w:rPr>
                <w:rFonts w:eastAsia="Times New Roman" w:cs="Arial"/>
                <w:sz w:val="22"/>
                <w:szCs w:val="22"/>
                <w:lang w:eastAsia="en-GB"/>
              </w:rPr>
              <w:t>0.7</w:t>
            </w:r>
          </w:p>
        </w:tc>
        <w:tc>
          <w:tcPr>
            <w:tcW w:w="127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line="276" w:lineRule="auto"/>
              <w:jc w:val="right"/>
              <w:rPr>
                <w:rFonts w:eastAsia="Times New Roman" w:cs="Arial"/>
                <w:sz w:val="22"/>
                <w:szCs w:val="22"/>
                <w:lang w:eastAsia="en-GB"/>
              </w:rPr>
            </w:pPr>
            <w:r w:rsidRPr="00F97FDA">
              <w:rPr>
                <w:rFonts w:eastAsia="Times New Roman" w:cs="Arial"/>
                <w:sz w:val="22"/>
                <w:szCs w:val="22"/>
                <w:lang w:eastAsia="en-GB"/>
              </w:rPr>
              <w:t>-</w:t>
            </w:r>
          </w:p>
        </w:tc>
        <w:tc>
          <w:tcPr>
            <w:tcW w:w="1135" w:type="dxa"/>
            <w:tcBorders>
              <w:top w:val="nil"/>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line="276" w:lineRule="auto"/>
              <w:jc w:val="right"/>
              <w:rPr>
                <w:rFonts w:eastAsia="Times New Roman" w:cs="Arial"/>
                <w:sz w:val="22"/>
                <w:szCs w:val="22"/>
                <w:lang w:eastAsia="en-GB"/>
              </w:rPr>
            </w:pPr>
            <w:r w:rsidRPr="00F97FDA">
              <w:rPr>
                <w:rFonts w:eastAsia="Times New Roman" w:cs="Arial"/>
                <w:sz w:val="22"/>
                <w:szCs w:val="22"/>
                <w:lang w:eastAsia="en-GB"/>
              </w:rPr>
              <w:t>(1.5)</w:t>
            </w:r>
          </w:p>
        </w:tc>
      </w:tr>
      <w:tr w:rsidR="009A3420" w:rsidRPr="00F97FDA" w:rsidTr="00C63B87">
        <w:trPr>
          <w:trHeight w:val="300"/>
        </w:trPr>
        <w:tc>
          <w:tcPr>
            <w:tcW w:w="4928" w:type="dxa"/>
            <w:tcBorders>
              <w:top w:val="nil"/>
              <w:left w:val="nil"/>
              <w:bottom w:val="nil"/>
              <w:right w:val="nil"/>
            </w:tcBorders>
            <w:shd w:val="clear" w:color="auto" w:fill="auto"/>
            <w:noWrap/>
            <w:vAlign w:val="bottom"/>
            <w:hideMark/>
          </w:tcPr>
          <w:p w:rsidR="009A3420" w:rsidRPr="00F97FDA" w:rsidRDefault="009A3420" w:rsidP="009A3420">
            <w:pPr>
              <w:autoSpaceDE/>
              <w:autoSpaceDN/>
              <w:adjustRightInd/>
              <w:spacing w:before="0" w:after="0" w:line="276" w:lineRule="auto"/>
              <w:jc w:val="left"/>
              <w:rPr>
                <w:rFonts w:eastAsia="Times New Roman" w:cs="Arial"/>
                <w:b/>
                <w:bCs/>
                <w:szCs w:val="22"/>
                <w:lang w:eastAsia="en-GB"/>
              </w:rPr>
            </w:pPr>
          </w:p>
        </w:tc>
        <w:tc>
          <w:tcPr>
            <w:tcW w:w="1559" w:type="dxa"/>
            <w:gridSpan w:val="2"/>
            <w:tcBorders>
              <w:top w:val="single" w:sz="4" w:space="0" w:color="auto"/>
              <w:left w:val="nil"/>
              <w:bottom w:val="single" w:sz="4" w:space="0" w:color="auto"/>
              <w:right w:val="nil"/>
            </w:tcBorders>
            <w:shd w:val="clear" w:color="auto" w:fill="auto"/>
            <w:noWrap/>
            <w:vAlign w:val="bottom"/>
            <w:hideMark/>
          </w:tcPr>
          <w:p w:rsidR="009A3420" w:rsidRPr="00F97FDA" w:rsidRDefault="009A3420" w:rsidP="00530C22">
            <w:pPr>
              <w:autoSpaceDE/>
              <w:autoSpaceDN/>
              <w:adjustRightInd/>
              <w:spacing w:before="0" w:after="0" w:line="276" w:lineRule="auto"/>
              <w:ind w:left="175"/>
              <w:jc w:val="right"/>
              <w:rPr>
                <w:rFonts w:eastAsia="Times New Roman" w:cs="Arial"/>
                <w:b/>
                <w:bCs/>
                <w:sz w:val="22"/>
                <w:szCs w:val="22"/>
                <w:lang w:eastAsia="en-GB"/>
              </w:rPr>
            </w:pPr>
            <w:r w:rsidRPr="00F97FDA">
              <w:rPr>
                <w:rFonts w:eastAsia="Times New Roman" w:cs="Arial"/>
                <w:b/>
                <w:bCs/>
                <w:sz w:val="22"/>
                <w:szCs w:val="22"/>
                <w:lang w:eastAsia="en-GB"/>
              </w:rPr>
              <w:t>(51.</w:t>
            </w:r>
            <w:r w:rsidR="00D54E0E" w:rsidRPr="00F97FDA">
              <w:rPr>
                <w:rFonts w:eastAsia="Times New Roman" w:cs="Arial"/>
                <w:b/>
                <w:bCs/>
                <w:sz w:val="22"/>
                <w:szCs w:val="22"/>
                <w:lang w:eastAsia="en-GB"/>
              </w:rPr>
              <w:t>6</w:t>
            </w:r>
            <w:r w:rsidRPr="00F97FDA">
              <w:rPr>
                <w:rFonts w:eastAsia="Times New Roman" w:cs="Arial"/>
                <w:b/>
                <w:bCs/>
                <w:sz w:val="22"/>
                <w:szCs w:val="22"/>
                <w:lang w:eastAsia="en-GB"/>
              </w:rPr>
              <w:t>)</w:t>
            </w:r>
          </w:p>
        </w:tc>
        <w:tc>
          <w:tcPr>
            <w:tcW w:w="2019" w:type="dxa"/>
            <w:tcBorders>
              <w:top w:val="single" w:sz="4" w:space="0" w:color="auto"/>
              <w:left w:val="nil"/>
              <w:bottom w:val="single" w:sz="4" w:space="0" w:color="auto"/>
              <w:right w:val="nil"/>
            </w:tcBorders>
            <w:shd w:val="clear" w:color="auto" w:fill="auto"/>
            <w:noWrap/>
            <w:vAlign w:val="bottom"/>
            <w:hideMark/>
          </w:tcPr>
          <w:p w:rsidR="009A3420" w:rsidRPr="00F97FDA" w:rsidRDefault="00D371C1" w:rsidP="009A3420">
            <w:pPr>
              <w:autoSpaceDE/>
              <w:autoSpaceDN/>
              <w:adjustRightInd/>
              <w:spacing w:before="0" w:after="0" w:line="276" w:lineRule="auto"/>
              <w:jc w:val="right"/>
              <w:rPr>
                <w:rFonts w:eastAsia="Times New Roman" w:cs="Arial"/>
                <w:b/>
                <w:bCs/>
                <w:sz w:val="22"/>
                <w:szCs w:val="22"/>
                <w:lang w:eastAsia="en-GB"/>
              </w:rPr>
            </w:pPr>
            <w:r w:rsidRPr="00F97FDA">
              <w:rPr>
                <w:rFonts w:eastAsia="Times New Roman" w:cs="Arial"/>
                <w:b/>
                <w:bCs/>
                <w:sz w:val="22"/>
                <w:szCs w:val="22"/>
                <w:lang w:eastAsia="en-GB"/>
              </w:rPr>
              <w:t>(12.6</w:t>
            </w:r>
            <w:r w:rsidR="009A3420" w:rsidRPr="00F97FDA">
              <w:rPr>
                <w:rFonts w:eastAsia="Times New Roman" w:cs="Arial"/>
                <w:b/>
                <w:bCs/>
                <w:sz w:val="22"/>
                <w:szCs w:val="22"/>
                <w:lang w:eastAsia="en-GB"/>
              </w:rPr>
              <w:t>)</w:t>
            </w:r>
          </w:p>
        </w:tc>
        <w:tc>
          <w:tcPr>
            <w:tcW w:w="1275" w:type="dxa"/>
            <w:tcBorders>
              <w:top w:val="single" w:sz="4" w:space="0" w:color="auto"/>
              <w:left w:val="nil"/>
              <w:bottom w:val="single" w:sz="4" w:space="0" w:color="auto"/>
              <w:right w:val="nil"/>
            </w:tcBorders>
            <w:shd w:val="clear" w:color="auto" w:fill="auto"/>
            <w:noWrap/>
            <w:vAlign w:val="bottom"/>
            <w:hideMark/>
          </w:tcPr>
          <w:p w:rsidR="009A3420" w:rsidRPr="00F97FDA" w:rsidRDefault="009A3420" w:rsidP="009A3420">
            <w:pPr>
              <w:autoSpaceDE/>
              <w:autoSpaceDN/>
              <w:adjustRightInd/>
              <w:spacing w:before="0" w:after="0" w:line="276" w:lineRule="auto"/>
              <w:jc w:val="right"/>
              <w:rPr>
                <w:rFonts w:eastAsia="Times New Roman" w:cs="Arial"/>
                <w:b/>
                <w:bCs/>
                <w:sz w:val="22"/>
                <w:szCs w:val="22"/>
                <w:lang w:eastAsia="en-GB"/>
              </w:rPr>
            </w:pPr>
            <w:r w:rsidRPr="00F97FDA">
              <w:rPr>
                <w:rFonts w:eastAsia="Times New Roman" w:cs="Arial"/>
                <w:b/>
                <w:bCs/>
                <w:sz w:val="22"/>
                <w:szCs w:val="22"/>
                <w:lang w:eastAsia="en-GB"/>
              </w:rPr>
              <w:t>4.0</w:t>
            </w:r>
          </w:p>
        </w:tc>
        <w:tc>
          <w:tcPr>
            <w:tcW w:w="1135" w:type="dxa"/>
            <w:tcBorders>
              <w:top w:val="single" w:sz="4" w:space="0" w:color="auto"/>
              <w:left w:val="nil"/>
              <w:bottom w:val="single" w:sz="4" w:space="0" w:color="auto"/>
              <w:right w:val="nil"/>
            </w:tcBorders>
            <w:shd w:val="clear" w:color="auto" w:fill="auto"/>
            <w:noWrap/>
            <w:vAlign w:val="bottom"/>
            <w:hideMark/>
          </w:tcPr>
          <w:p w:rsidR="009A3420" w:rsidRPr="00F97FDA" w:rsidRDefault="00D371C1" w:rsidP="00530C22">
            <w:pPr>
              <w:autoSpaceDE/>
              <w:autoSpaceDN/>
              <w:adjustRightInd/>
              <w:spacing w:before="0" w:after="0" w:line="276" w:lineRule="auto"/>
              <w:jc w:val="right"/>
              <w:rPr>
                <w:rFonts w:eastAsia="Times New Roman" w:cs="Arial"/>
                <w:b/>
                <w:bCs/>
                <w:sz w:val="22"/>
                <w:szCs w:val="22"/>
                <w:lang w:eastAsia="en-GB"/>
              </w:rPr>
            </w:pPr>
            <w:r w:rsidRPr="00F97FDA">
              <w:rPr>
                <w:rFonts w:eastAsia="Times New Roman" w:cs="Arial"/>
                <w:b/>
                <w:bCs/>
                <w:sz w:val="22"/>
                <w:szCs w:val="22"/>
                <w:lang w:eastAsia="en-GB"/>
              </w:rPr>
              <w:t>(60.</w:t>
            </w:r>
            <w:r w:rsidR="00D54E0E" w:rsidRPr="00F97FDA">
              <w:rPr>
                <w:rFonts w:eastAsia="Times New Roman" w:cs="Arial"/>
                <w:b/>
                <w:bCs/>
                <w:sz w:val="22"/>
                <w:szCs w:val="22"/>
                <w:lang w:eastAsia="en-GB"/>
              </w:rPr>
              <w:t>2</w:t>
            </w:r>
            <w:r w:rsidR="009A3420" w:rsidRPr="00F97FDA">
              <w:rPr>
                <w:rFonts w:eastAsia="Times New Roman" w:cs="Arial"/>
                <w:b/>
                <w:bCs/>
                <w:sz w:val="22"/>
                <w:szCs w:val="22"/>
                <w:lang w:eastAsia="en-GB"/>
              </w:rPr>
              <w:t>)</w:t>
            </w:r>
          </w:p>
        </w:tc>
      </w:tr>
      <w:tr w:rsidR="009A3420" w:rsidRPr="00F97FDA" w:rsidTr="00C63B87">
        <w:trPr>
          <w:trHeight w:val="434"/>
        </w:trPr>
        <w:tc>
          <w:tcPr>
            <w:tcW w:w="4928" w:type="dxa"/>
            <w:tcBorders>
              <w:top w:val="nil"/>
              <w:left w:val="nil"/>
              <w:right w:val="nil"/>
            </w:tcBorders>
            <w:shd w:val="clear" w:color="auto" w:fill="auto"/>
            <w:noWrap/>
            <w:vAlign w:val="bottom"/>
            <w:hideMark/>
          </w:tcPr>
          <w:p w:rsidR="009A3420" w:rsidRPr="00F97FDA" w:rsidRDefault="009A3420" w:rsidP="00FF4391">
            <w:pPr>
              <w:autoSpaceDE/>
              <w:autoSpaceDN/>
              <w:adjustRightInd/>
              <w:spacing w:before="0" w:after="0"/>
              <w:jc w:val="left"/>
              <w:rPr>
                <w:rFonts w:eastAsia="Times New Roman" w:cs="Arial"/>
                <w:b/>
                <w:bCs/>
                <w:sz w:val="10"/>
                <w:szCs w:val="22"/>
                <w:lang w:eastAsia="en-GB"/>
              </w:rPr>
            </w:pPr>
          </w:p>
          <w:p w:rsidR="009A3420" w:rsidRPr="00F97FDA" w:rsidRDefault="009A3420" w:rsidP="00FF4391">
            <w:pPr>
              <w:autoSpaceDE/>
              <w:autoSpaceDN/>
              <w:adjustRightInd/>
              <w:spacing w:before="0" w:after="0"/>
              <w:jc w:val="left"/>
              <w:rPr>
                <w:rFonts w:eastAsia="Times New Roman" w:cs="Arial"/>
                <w:b/>
                <w:bCs/>
                <w:sz w:val="4"/>
                <w:szCs w:val="22"/>
                <w:lang w:eastAsia="en-GB"/>
              </w:rPr>
            </w:pPr>
          </w:p>
          <w:p w:rsidR="009A3420" w:rsidRPr="00F97FDA" w:rsidRDefault="009A3420" w:rsidP="00FF4391">
            <w:pPr>
              <w:autoSpaceDE/>
              <w:autoSpaceDN/>
              <w:adjustRightInd/>
              <w:spacing w:before="0" w:after="0"/>
              <w:jc w:val="left"/>
              <w:rPr>
                <w:rFonts w:eastAsia="Times New Roman" w:cs="Arial"/>
                <w:b/>
                <w:bCs/>
                <w:sz w:val="22"/>
                <w:szCs w:val="22"/>
                <w:lang w:eastAsia="en-GB"/>
              </w:rPr>
            </w:pPr>
            <w:r w:rsidRPr="00F97FDA">
              <w:rPr>
                <w:rFonts w:eastAsia="Times New Roman" w:cs="Arial"/>
                <w:b/>
                <w:bCs/>
                <w:sz w:val="22"/>
                <w:szCs w:val="22"/>
                <w:lang w:eastAsia="en-GB"/>
              </w:rPr>
              <w:t>Total Revenue Reserves</w:t>
            </w:r>
          </w:p>
          <w:p w:rsidR="009A3420" w:rsidRPr="00F97FDA" w:rsidRDefault="009A3420" w:rsidP="00FF4391">
            <w:pPr>
              <w:autoSpaceDE/>
              <w:autoSpaceDN/>
              <w:adjustRightInd/>
              <w:spacing w:before="0" w:after="0"/>
              <w:jc w:val="left"/>
              <w:rPr>
                <w:rFonts w:eastAsia="Times New Roman" w:cs="Arial"/>
                <w:b/>
                <w:bCs/>
                <w:sz w:val="22"/>
                <w:szCs w:val="22"/>
                <w:lang w:eastAsia="en-GB"/>
              </w:rPr>
            </w:pPr>
          </w:p>
        </w:tc>
        <w:tc>
          <w:tcPr>
            <w:tcW w:w="1559" w:type="dxa"/>
            <w:gridSpan w:val="2"/>
            <w:tcBorders>
              <w:top w:val="single" w:sz="4" w:space="0" w:color="auto"/>
              <w:left w:val="nil"/>
              <w:right w:val="nil"/>
            </w:tcBorders>
            <w:shd w:val="clear" w:color="auto" w:fill="auto"/>
            <w:noWrap/>
            <w:vAlign w:val="bottom"/>
            <w:hideMark/>
          </w:tcPr>
          <w:p w:rsidR="009A3420" w:rsidRPr="00F97FDA" w:rsidRDefault="009A3420" w:rsidP="00FF4391">
            <w:pPr>
              <w:autoSpaceDE/>
              <w:autoSpaceDN/>
              <w:adjustRightInd/>
              <w:spacing w:before="0" w:after="0"/>
              <w:ind w:left="175"/>
              <w:jc w:val="right"/>
              <w:rPr>
                <w:rFonts w:eastAsia="Times New Roman" w:cs="Arial"/>
                <w:b/>
                <w:bCs/>
                <w:sz w:val="22"/>
                <w:szCs w:val="22"/>
                <w:lang w:eastAsia="en-GB"/>
              </w:rPr>
            </w:pPr>
            <w:r w:rsidRPr="00F97FDA">
              <w:rPr>
                <w:rFonts w:eastAsia="Times New Roman" w:cs="Arial"/>
                <w:b/>
                <w:bCs/>
                <w:sz w:val="22"/>
                <w:szCs w:val="22"/>
                <w:lang w:eastAsia="en-GB"/>
              </w:rPr>
              <w:t>(300.</w:t>
            </w:r>
            <w:r w:rsidR="00D54E0E" w:rsidRPr="00F97FDA">
              <w:rPr>
                <w:rFonts w:eastAsia="Times New Roman" w:cs="Arial"/>
                <w:b/>
                <w:bCs/>
                <w:sz w:val="22"/>
                <w:szCs w:val="22"/>
                <w:lang w:eastAsia="en-GB"/>
              </w:rPr>
              <w:t>6</w:t>
            </w:r>
            <w:r w:rsidRPr="00F97FDA">
              <w:rPr>
                <w:rFonts w:eastAsia="Times New Roman" w:cs="Arial"/>
                <w:b/>
                <w:bCs/>
                <w:sz w:val="22"/>
                <w:szCs w:val="22"/>
                <w:lang w:eastAsia="en-GB"/>
              </w:rPr>
              <w:t>)</w:t>
            </w:r>
          </w:p>
          <w:p w:rsidR="009A3420" w:rsidRPr="00F97FDA" w:rsidRDefault="009A3420" w:rsidP="00FF4391">
            <w:pPr>
              <w:autoSpaceDE/>
              <w:autoSpaceDN/>
              <w:adjustRightInd/>
              <w:spacing w:before="0" w:after="0"/>
              <w:ind w:left="175"/>
              <w:jc w:val="right"/>
              <w:rPr>
                <w:rFonts w:eastAsia="Times New Roman" w:cs="Arial"/>
                <w:b/>
                <w:bCs/>
                <w:sz w:val="22"/>
                <w:szCs w:val="22"/>
                <w:lang w:eastAsia="en-GB"/>
              </w:rPr>
            </w:pPr>
          </w:p>
        </w:tc>
        <w:tc>
          <w:tcPr>
            <w:tcW w:w="2019" w:type="dxa"/>
            <w:tcBorders>
              <w:top w:val="single" w:sz="4" w:space="0" w:color="auto"/>
              <w:left w:val="nil"/>
              <w:right w:val="nil"/>
            </w:tcBorders>
            <w:shd w:val="clear" w:color="auto" w:fill="auto"/>
            <w:noWrap/>
            <w:vAlign w:val="bottom"/>
            <w:hideMark/>
          </w:tcPr>
          <w:p w:rsidR="009A3420" w:rsidRPr="00F97FDA" w:rsidRDefault="009A3420" w:rsidP="00FF4391">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w:t>
            </w:r>
            <w:r w:rsidR="00D371C1" w:rsidRPr="00F97FDA">
              <w:rPr>
                <w:rFonts w:eastAsia="Times New Roman" w:cs="Arial"/>
                <w:b/>
                <w:bCs/>
                <w:sz w:val="22"/>
                <w:szCs w:val="22"/>
                <w:lang w:eastAsia="en-GB"/>
              </w:rPr>
              <w:t>37.6</w:t>
            </w:r>
            <w:r w:rsidRPr="00F97FDA">
              <w:rPr>
                <w:rFonts w:eastAsia="Times New Roman" w:cs="Arial"/>
                <w:b/>
                <w:bCs/>
                <w:sz w:val="22"/>
                <w:szCs w:val="22"/>
                <w:lang w:eastAsia="en-GB"/>
              </w:rPr>
              <w:t>)*</w:t>
            </w:r>
          </w:p>
          <w:p w:rsidR="009A3420" w:rsidRPr="00F97FDA" w:rsidRDefault="009A3420" w:rsidP="00FF4391">
            <w:pPr>
              <w:autoSpaceDE/>
              <w:autoSpaceDN/>
              <w:adjustRightInd/>
              <w:spacing w:before="0" w:after="0"/>
              <w:jc w:val="right"/>
              <w:rPr>
                <w:rFonts w:eastAsia="Times New Roman" w:cs="Arial"/>
                <w:b/>
                <w:bCs/>
                <w:sz w:val="22"/>
                <w:szCs w:val="22"/>
                <w:lang w:eastAsia="en-GB"/>
              </w:rPr>
            </w:pPr>
          </w:p>
        </w:tc>
        <w:tc>
          <w:tcPr>
            <w:tcW w:w="1275" w:type="dxa"/>
            <w:tcBorders>
              <w:top w:val="single" w:sz="4" w:space="0" w:color="auto"/>
              <w:left w:val="nil"/>
              <w:right w:val="nil"/>
            </w:tcBorders>
            <w:shd w:val="clear" w:color="auto" w:fill="auto"/>
            <w:noWrap/>
            <w:vAlign w:val="bottom"/>
            <w:hideMark/>
          </w:tcPr>
          <w:p w:rsidR="009A3420" w:rsidRPr="00F97FDA" w:rsidRDefault="009A3420" w:rsidP="00FF4391">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w:t>
            </w:r>
          </w:p>
          <w:p w:rsidR="009A3420" w:rsidRPr="00F97FDA" w:rsidRDefault="009A3420" w:rsidP="00FF4391">
            <w:pPr>
              <w:autoSpaceDE/>
              <w:autoSpaceDN/>
              <w:adjustRightInd/>
              <w:spacing w:before="0" w:after="0"/>
              <w:jc w:val="right"/>
              <w:rPr>
                <w:rFonts w:eastAsia="Times New Roman" w:cs="Arial"/>
                <w:b/>
                <w:bCs/>
                <w:sz w:val="22"/>
                <w:szCs w:val="22"/>
                <w:lang w:eastAsia="en-GB"/>
              </w:rPr>
            </w:pPr>
          </w:p>
        </w:tc>
        <w:tc>
          <w:tcPr>
            <w:tcW w:w="1135" w:type="dxa"/>
            <w:tcBorders>
              <w:top w:val="single" w:sz="4" w:space="0" w:color="auto"/>
              <w:left w:val="nil"/>
              <w:right w:val="nil"/>
            </w:tcBorders>
            <w:shd w:val="clear" w:color="auto" w:fill="auto"/>
            <w:noWrap/>
            <w:vAlign w:val="bottom"/>
            <w:hideMark/>
          </w:tcPr>
          <w:p w:rsidR="009A3420" w:rsidRPr="00F97FDA" w:rsidRDefault="00D371C1" w:rsidP="00FF4391">
            <w:pPr>
              <w:autoSpaceDE/>
              <w:autoSpaceDN/>
              <w:adjustRightInd/>
              <w:spacing w:before="0" w:after="0"/>
              <w:jc w:val="right"/>
              <w:rPr>
                <w:rFonts w:eastAsia="Times New Roman" w:cs="Arial"/>
                <w:b/>
                <w:bCs/>
                <w:sz w:val="22"/>
                <w:szCs w:val="22"/>
                <w:lang w:eastAsia="en-GB"/>
              </w:rPr>
            </w:pPr>
            <w:r w:rsidRPr="00F97FDA">
              <w:rPr>
                <w:rFonts w:eastAsia="Times New Roman" w:cs="Arial"/>
                <w:b/>
                <w:bCs/>
                <w:sz w:val="22"/>
                <w:szCs w:val="22"/>
                <w:lang w:eastAsia="en-GB"/>
              </w:rPr>
              <w:t>(338.</w:t>
            </w:r>
            <w:r w:rsidR="00D54E0E" w:rsidRPr="00F97FDA">
              <w:rPr>
                <w:rFonts w:eastAsia="Times New Roman" w:cs="Arial"/>
                <w:b/>
                <w:bCs/>
                <w:sz w:val="22"/>
                <w:szCs w:val="22"/>
                <w:lang w:eastAsia="en-GB"/>
              </w:rPr>
              <w:t>2</w:t>
            </w:r>
            <w:r w:rsidR="009A3420" w:rsidRPr="00F97FDA">
              <w:rPr>
                <w:rFonts w:eastAsia="Times New Roman" w:cs="Arial"/>
                <w:b/>
                <w:bCs/>
                <w:sz w:val="22"/>
                <w:szCs w:val="22"/>
                <w:lang w:eastAsia="en-GB"/>
              </w:rPr>
              <w:t>)</w:t>
            </w:r>
          </w:p>
          <w:p w:rsidR="009A3420" w:rsidRPr="00F97FDA" w:rsidRDefault="009A3420" w:rsidP="00FF4391">
            <w:pPr>
              <w:autoSpaceDE/>
              <w:autoSpaceDN/>
              <w:adjustRightInd/>
              <w:spacing w:before="0" w:after="0"/>
              <w:jc w:val="right"/>
              <w:rPr>
                <w:rFonts w:eastAsia="Times New Roman" w:cs="Arial"/>
                <w:b/>
                <w:bCs/>
                <w:sz w:val="22"/>
                <w:szCs w:val="22"/>
                <w:lang w:eastAsia="en-GB"/>
              </w:rPr>
            </w:pPr>
          </w:p>
        </w:tc>
      </w:tr>
      <w:tr w:rsidR="00FF4391" w:rsidRPr="00F97FDA" w:rsidTr="00C63B87">
        <w:trPr>
          <w:trHeight w:val="434"/>
        </w:trPr>
        <w:tc>
          <w:tcPr>
            <w:tcW w:w="2019" w:type="dxa"/>
            <w:gridSpan w:val="6"/>
            <w:tcBorders>
              <w:top w:val="nil"/>
              <w:left w:val="nil"/>
              <w:right w:val="nil"/>
            </w:tcBorders>
            <w:shd w:val="clear" w:color="auto" w:fill="auto"/>
            <w:noWrap/>
            <w:vAlign w:val="bottom"/>
          </w:tcPr>
          <w:p w:rsidR="00FF4391" w:rsidRPr="00C63B87" w:rsidRDefault="00FF4391" w:rsidP="00FF4391">
            <w:pPr>
              <w:pStyle w:val="Heading3-numbered"/>
              <w:numPr>
                <w:ilvl w:val="0"/>
                <w:numId w:val="0"/>
              </w:numPr>
              <w:rPr>
                <w:b w:val="0"/>
                <w:i w:val="0"/>
                <w:sz w:val="20"/>
                <w:szCs w:val="20"/>
              </w:rPr>
            </w:pPr>
            <w:r w:rsidRPr="00C63B87">
              <w:rPr>
                <w:b w:val="0"/>
                <w:i w:val="0"/>
                <w:sz w:val="20"/>
                <w:szCs w:val="20"/>
              </w:rPr>
              <w:t>*Restated to £37.6m from £38.1m due to change in presentation to include county fund. These reserves have also been presented different to that in the 2012/13 Statement of Accounts.</w:t>
            </w:r>
          </w:p>
        </w:tc>
      </w:tr>
    </w:tbl>
    <w:p w:rsidR="00D14AC2" w:rsidRPr="002F17B5" w:rsidRDefault="00D14AC2" w:rsidP="003E2063">
      <w:pPr>
        <w:pStyle w:val="Heading3-numbered"/>
        <w:rPr>
          <w:i w:val="0"/>
        </w:rPr>
      </w:pPr>
      <w:r w:rsidRPr="002F17B5">
        <w:rPr>
          <w:i w:val="0"/>
          <w:sz w:val="26"/>
        </w:rPr>
        <w:lastRenderedPageBreak/>
        <w:t xml:space="preserve">Revenue reserves </w:t>
      </w:r>
    </w:p>
    <w:p w:rsidR="00D14AC2" w:rsidRDefault="00D14AC2" w:rsidP="00816A7D">
      <w:pPr>
        <w:pStyle w:val="Heading3-numbered"/>
        <w:numPr>
          <w:ilvl w:val="0"/>
          <w:numId w:val="0"/>
        </w:numPr>
        <w:rPr>
          <w:b w:val="0"/>
          <w:i w:val="0"/>
          <w:sz w:val="24"/>
        </w:rPr>
      </w:pPr>
      <w:r w:rsidRPr="002F17B5">
        <w:rPr>
          <w:b w:val="0"/>
          <w:i w:val="0"/>
          <w:sz w:val="24"/>
        </w:rPr>
        <w:t>The county council's r</w:t>
      </w:r>
      <w:r w:rsidR="00816A7D" w:rsidRPr="002F17B5">
        <w:rPr>
          <w:b w:val="0"/>
          <w:i w:val="0"/>
          <w:sz w:val="24"/>
        </w:rPr>
        <w:t>evenue reserves are described</w:t>
      </w:r>
      <w:r w:rsidRPr="002F17B5">
        <w:rPr>
          <w:b w:val="0"/>
          <w:i w:val="0"/>
          <w:sz w:val="24"/>
        </w:rPr>
        <w:t xml:space="preserve"> below:</w:t>
      </w:r>
    </w:p>
    <w:p w:rsidR="006728BA" w:rsidRPr="006728BA" w:rsidRDefault="006728BA" w:rsidP="00816A7D">
      <w:pPr>
        <w:pStyle w:val="Heading3-numbered"/>
        <w:numPr>
          <w:ilvl w:val="0"/>
          <w:numId w:val="0"/>
        </w:numPr>
        <w:rPr>
          <w:b w:val="0"/>
          <w:i w:val="0"/>
          <w:sz w:val="2"/>
        </w:rPr>
      </w:pPr>
    </w:p>
    <w:p w:rsidR="00B77B5A" w:rsidRPr="002F17B5" w:rsidRDefault="00B77B5A" w:rsidP="00816A7D">
      <w:pPr>
        <w:pStyle w:val="Heading3-numbered"/>
        <w:numPr>
          <w:ilvl w:val="0"/>
          <w:numId w:val="0"/>
        </w:numPr>
        <w:rPr>
          <w:i w:val="0"/>
          <w:sz w:val="25"/>
          <w:szCs w:val="25"/>
        </w:rPr>
      </w:pPr>
      <w:r w:rsidRPr="002F17B5">
        <w:rPr>
          <w:i w:val="0"/>
          <w:sz w:val="25"/>
          <w:szCs w:val="25"/>
        </w:rPr>
        <w:t>Reserves held to meet spending pressures:</w:t>
      </w:r>
    </w:p>
    <w:p w:rsidR="00B77B5A" w:rsidRPr="006728BA" w:rsidRDefault="00B77B5A" w:rsidP="00D55D63">
      <w:pPr>
        <w:pStyle w:val="Heading3-numbered"/>
        <w:numPr>
          <w:ilvl w:val="1"/>
          <w:numId w:val="66"/>
        </w:numPr>
        <w:spacing w:after="0"/>
        <w:ind w:left="426"/>
        <w:rPr>
          <w:i w:val="0"/>
          <w:sz w:val="24"/>
        </w:rPr>
      </w:pPr>
      <w:r w:rsidRPr="006728BA">
        <w:rPr>
          <w:i w:val="0"/>
          <w:sz w:val="24"/>
        </w:rPr>
        <w:t>County Fund</w:t>
      </w:r>
    </w:p>
    <w:p w:rsidR="00B77B5A" w:rsidRPr="002F17B5" w:rsidRDefault="00B77B5A" w:rsidP="006728BA">
      <w:pPr>
        <w:pStyle w:val="Heading3-numbered"/>
        <w:numPr>
          <w:ilvl w:val="0"/>
          <w:numId w:val="0"/>
        </w:numPr>
        <w:spacing w:before="0" w:after="0"/>
        <w:ind w:left="426" w:hanging="360"/>
        <w:rPr>
          <w:b w:val="0"/>
          <w:i w:val="0"/>
          <w:sz w:val="24"/>
          <w:szCs w:val="24"/>
        </w:rPr>
      </w:pPr>
      <w:r w:rsidRPr="002F17B5">
        <w:rPr>
          <w:b w:val="0"/>
          <w:i w:val="0"/>
          <w:sz w:val="24"/>
        </w:rPr>
        <w:tab/>
      </w:r>
      <w:r w:rsidRPr="002F17B5">
        <w:rPr>
          <w:b w:val="0"/>
          <w:i w:val="0"/>
          <w:sz w:val="24"/>
          <w:szCs w:val="24"/>
        </w:rPr>
        <w:t>This is the main revenue fund used to provide county council services. Income to the fund consists of the county precept on the collection funds, government grants and other income. Details of the movements in county fund during the year are shown in the Movement in Reserve Statement.</w:t>
      </w:r>
    </w:p>
    <w:p w:rsidR="00E556EB" w:rsidRPr="002F17B5" w:rsidRDefault="00E556EB" w:rsidP="00B77B5A">
      <w:pPr>
        <w:pStyle w:val="Heading3-numbered"/>
        <w:numPr>
          <w:ilvl w:val="0"/>
          <w:numId w:val="0"/>
        </w:numPr>
        <w:spacing w:after="0"/>
        <w:ind w:left="426" w:hanging="360"/>
        <w:rPr>
          <w:b w:val="0"/>
          <w:i w:val="0"/>
          <w:sz w:val="14"/>
          <w:szCs w:val="24"/>
        </w:rPr>
      </w:pPr>
    </w:p>
    <w:p w:rsidR="00B77B5A" w:rsidRPr="002F17B5" w:rsidRDefault="00B77B5A" w:rsidP="00D55D63">
      <w:pPr>
        <w:pStyle w:val="Heading3-numbered"/>
        <w:numPr>
          <w:ilvl w:val="1"/>
          <w:numId w:val="66"/>
        </w:numPr>
        <w:spacing w:after="0"/>
        <w:ind w:left="426"/>
        <w:rPr>
          <w:i w:val="0"/>
          <w:sz w:val="24"/>
        </w:rPr>
      </w:pPr>
      <w:r w:rsidRPr="002F17B5">
        <w:rPr>
          <w:i w:val="0"/>
          <w:sz w:val="24"/>
        </w:rPr>
        <w:t>Business Rates Volatility Reserve</w:t>
      </w:r>
    </w:p>
    <w:p w:rsidR="00B77B5A" w:rsidRPr="002F17B5" w:rsidRDefault="00B77B5A" w:rsidP="006728BA">
      <w:pPr>
        <w:pStyle w:val="Heading3-numbered"/>
        <w:numPr>
          <w:ilvl w:val="0"/>
          <w:numId w:val="0"/>
        </w:numPr>
        <w:spacing w:before="0" w:after="0"/>
        <w:ind w:left="426"/>
        <w:rPr>
          <w:b w:val="0"/>
          <w:i w:val="0"/>
          <w:sz w:val="24"/>
        </w:rPr>
      </w:pPr>
      <w:r w:rsidRPr="002F17B5">
        <w:rPr>
          <w:b w:val="0"/>
          <w:i w:val="0"/>
          <w:sz w:val="24"/>
        </w:rPr>
        <w:t>This reserve is set aside to mitigate any adverse impact upon the council's funding due to volatility in the Business rates Retention Scheme.</w:t>
      </w:r>
    </w:p>
    <w:p w:rsidR="00E556EB" w:rsidRPr="002F17B5" w:rsidRDefault="00E556EB" w:rsidP="00E556EB">
      <w:pPr>
        <w:pStyle w:val="Heading3-numbered"/>
        <w:numPr>
          <w:ilvl w:val="0"/>
          <w:numId w:val="0"/>
        </w:numPr>
        <w:spacing w:after="0"/>
        <w:rPr>
          <w:i w:val="0"/>
          <w:sz w:val="20"/>
        </w:rPr>
      </w:pPr>
    </w:p>
    <w:p w:rsidR="00E556EB" w:rsidRPr="002F17B5" w:rsidRDefault="00E556EB" w:rsidP="00E556EB">
      <w:pPr>
        <w:pStyle w:val="Heading3-numbered"/>
        <w:numPr>
          <w:ilvl w:val="0"/>
          <w:numId w:val="0"/>
        </w:numPr>
        <w:spacing w:after="0"/>
        <w:rPr>
          <w:i w:val="0"/>
          <w:sz w:val="4"/>
        </w:rPr>
      </w:pPr>
    </w:p>
    <w:p w:rsidR="00E556EB" w:rsidRPr="002F17B5" w:rsidRDefault="00E556EB" w:rsidP="00E556EB">
      <w:pPr>
        <w:pStyle w:val="Heading3-numbered"/>
        <w:numPr>
          <w:ilvl w:val="0"/>
          <w:numId w:val="0"/>
        </w:numPr>
        <w:rPr>
          <w:i w:val="0"/>
          <w:sz w:val="25"/>
          <w:szCs w:val="25"/>
        </w:rPr>
      </w:pPr>
      <w:r w:rsidRPr="002F17B5">
        <w:rPr>
          <w:i w:val="0"/>
          <w:sz w:val="25"/>
          <w:szCs w:val="25"/>
        </w:rPr>
        <w:t>Reserves held to deliver corporate priorities:</w:t>
      </w:r>
    </w:p>
    <w:p w:rsidR="00A31995" w:rsidRPr="002F17B5" w:rsidRDefault="007F16B4" w:rsidP="00D55D63">
      <w:pPr>
        <w:pStyle w:val="Heading3-numbered"/>
        <w:numPr>
          <w:ilvl w:val="1"/>
          <w:numId w:val="66"/>
        </w:numPr>
        <w:spacing w:after="0"/>
        <w:ind w:left="426"/>
        <w:rPr>
          <w:i w:val="0"/>
          <w:sz w:val="20"/>
        </w:rPr>
      </w:pPr>
      <w:r w:rsidRPr="002F17B5">
        <w:rPr>
          <w:bCs w:val="0"/>
          <w:i w:val="0"/>
          <w:sz w:val="24"/>
          <w:lang w:eastAsia="en-GB"/>
        </w:rPr>
        <w:t>Strategic Investment Reserve</w:t>
      </w:r>
    </w:p>
    <w:p w:rsidR="007F16B4" w:rsidRPr="002F17B5" w:rsidRDefault="00816A7D" w:rsidP="006728BA">
      <w:pPr>
        <w:pStyle w:val="Heading3-numbered"/>
        <w:numPr>
          <w:ilvl w:val="0"/>
          <w:numId w:val="0"/>
        </w:numPr>
        <w:spacing w:before="0" w:after="0"/>
        <w:ind w:left="426"/>
        <w:rPr>
          <w:b w:val="0"/>
          <w:i w:val="0"/>
          <w:sz w:val="24"/>
          <w:szCs w:val="24"/>
        </w:rPr>
      </w:pPr>
      <w:r w:rsidRPr="002F17B5">
        <w:rPr>
          <w:b w:val="0"/>
          <w:i w:val="0"/>
          <w:sz w:val="24"/>
          <w:szCs w:val="24"/>
        </w:rPr>
        <w:t>The council agreed a programme of investment in areas including the provision of</w:t>
      </w:r>
      <w:r w:rsidR="00E556EB" w:rsidRPr="002F17B5">
        <w:rPr>
          <w:b w:val="0"/>
          <w:i w:val="0"/>
          <w:sz w:val="24"/>
          <w:szCs w:val="24"/>
        </w:rPr>
        <w:t xml:space="preserve"> residential and respite care, e</w:t>
      </w:r>
      <w:r w:rsidRPr="002F17B5">
        <w:rPr>
          <w:b w:val="0"/>
          <w:i w:val="0"/>
          <w:sz w:val="24"/>
          <w:szCs w:val="24"/>
        </w:rPr>
        <w:t>conomic development, Libraries regeneration, further development of Youth Zones, increasing employment opport</w:t>
      </w:r>
      <w:r w:rsidR="00E556EB" w:rsidRPr="002F17B5">
        <w:rPr>
          <w:b w:val="0"/>
          <w:i w:val="0"/>
          <w:sz w:val="24"/>
          <w:szCs w:val="24"/>
        </w:rPr>
        <w:t>unities and the development of a</w:t>
      </w:r>
      <w:r w:rsidRPr="002F17B5">
        <w:rPr>
          <w:b w:val="0"/>
          <w:i w:val="0"/>
          <w:sz w:val="24"/>
          <w:szCs w:val="24"/>
        </w:rPr>
        <w:t>pprenticeship programmes. The Strategic Investment Reserve will deliver the funding for this investment.</w:t>
      </w:r>
    </w:p>
    <w:p w:rsidR="00A31995" w:rsidRPr="002F17B5" w:rsidRDefault="00A31995" w:rsidP="00A31995">
      <w:pPr>
        <w:pStyle w:val="Heading3-numbered"/>
        <w:numPr>
          <w:ilvl w:val="0"/>
          <w:numId w:val="0"/>
        </w:numPr>
        <w:spacing w:after="0"/>
        <w:ind w:left="360" w:hanging="360"/>
        <w:rPr>
          <w:b w:val="0"/>
          <w:i w:val="0"/>
          <w:sz w:val="18"/>
        </w:rPr>
      </w:pPr>
    </w:p>
    <w:p w:rsidR="00E556EB" w:rsidRPr="002F17B5" w:rsidRDefault="00E556EB" w:rsidP="00E556EB">
      <w:pPr>
        <w:pStyle w:val="Heading3-numbered"/>
        <w:numPr>
          <w:ilvl w:val="0"/>
          <w:numId w:val="0"/>
        </w:numPr>
        <w:rPr>
          <w:i w:val="0"/>
          <w:sz w:val="25"/>
          <w:szCs w:val="25"/>
        </w:rPr>
      </w:pPr>
      <w:r w:rsidRPr="002F17B5">
        <w:rPr>
          <w:i w:val="0"/>
          <w:sz w:val="25"/>
          <w:szCs w:val="25"/>
        </w:rPr>
        <w:t>Reserves held to deliver organisational change:</w:t>
      </w:r>
    </w:p>
    <w:p w:rsidR="00E556EB" w:rsidRPr="002F17B5" w:rsidRDefault="00E556EB" w:rsidP="00D55D63">
      <w:pPr>
        <w:pStyle w:val="Heading3-numbered"/>
        <w:numPr>
          <w:ilvl w:val="1"/>
          <w:numId w:val="66"/>
        </w:numPr>
        <w:spacing w:after="0"/>
        <w:ind w:left="426"/>
        <w:rPr>
          <w:i w:val="0"/>
          <w:sz w:val="24"/>
        </w:rPr>
      </w:pPr>
      <w:r w:rsidRPr="002F17B5">
        <w:rPr>
          <w:i w:val="0"/>
          <w:sz w:val="24"/>
        </w:rPr>
        <w:t>Downsizing Reserve</w:t>
      </w:r>
    </w:p>
    <w:p w:rsidR="00E556EB" w:rsidRPr="002F17B5" w:rsidRDefault="00E556EB" w:rsidP="006728BA">
      <w:pPr>
        <w:pStyle w:val="Heading3-numbered"/>
        <w:numPr>
          <w:ilvl w:val="0"/>
          <w:numId w:val="0"/>
        </w:numPr>
        <w:spacing w:before="0" w:after="0"/>
        <w:ind w:left="426"/>
        <w:rPr>
          <w:b w:val="0"/>
          <w:i w:val="0"/>
          <w:sz w:val="24"/>
        </w:rPr>
      </w:pPr>
      <w:r w:rsidRPr="002F17B5">
        <w:rPr>
          <w:b w:val="0"/>
          <w:i w:val="0"/>
          <w:sz w:val="24"/>
        </w:rPr>
        <w:t>This reserve is set aside to support the county council as it continues to deliver its agreed savings in 2014/15, and develops its strategy to reduce costs over the following four years.</w:t>
      </w:r>
    </w:p>
    <w:p w:rsidR="00E556EB" w:rsidRPr="006728BA" w:rsidRDefault="00E556EB" w:rsidP="00E556EB">
      <w:pPr>
        <w:pStyle w:val="Heading3-numbered"/>
        <w:numPr>
          <w:ilvl w:val="0"/>
          <w:numId w:val="0"/>
        </w:numPr>
        <w:rPr>
          <w:i w:val="0"/>
          <w:sz w:val="2"/>
          <w:szCs w:val="25"/>
        </w:rPr>
      </w:pPr>
    </w:p>
    <w:p w:rsidR="00E556EB" w:rsidRPr="002F17B5" w:rsidRDefault="00E556EB" w:rsidP="00E556EB">
      <w:pPr>
        <w:pStyle w:val="Heading3-numbered"/>
        <w:numPr>
          <w:ilvl w:val="0"/>
          <w:numId w:val="0"/>
        </w:numPr>
        <w:rPr>
          <w:i w:val="0"/>
          <w:sz w:val="9"/>
          <w:szCs w:val="25"/>
        </w:rPr>
      </w:pPr>
    </w:p>
    <w:p w:rsidR="00E556EB" w:rsidRPr="002F17B5" w:rsidRDefault="00E556EB" w:rsidP="00E556EB">
      <w:pPr>
        <w:pStyle w:val="Heading3-numbered"/>
        <w:numPr>
          <w:ilvl w:val="0"/>
          <w:numId w:val="0"/>
        </w:numPr>
        <w:rPr>
          <w:i w:val="0"/>
          <w:sz w:val="25"/>
          <w:szCs w:val="25"/>
        </w:rPr>
      </w:pPr>
      <w:r w:rsidRPr="002F17B5">
        <w:rPr>
          <w:i w:val="0"/>
          <w:sz w:val="25"/>
          <w:szCs w:val="25"/>
        </w:rPr>
        <w:t>Reserves held to pay for expenditure commitments:</w:t>
      </w:r>
    </w:p>
    <w:p w:rsidR="00816A7D" w:rsidRPr="002F17B5" w:rsidRDefault="00E556EB" w:rsidP="00D55D63">
      <w:pPr>
        <w:pStyle w:val="Heading3-numbered"/>
        <w:numPr>
          <w:ilvl w:val="1"/>
          <w:numId w:val="66"/>
        </w:numPr>
        <w:spacing w:after="0"/>
        <w:ind w:left="426"/>
        <w:rPr>
          <w:i w:val="0"/>
          <w:sz w:val="20"/>
        </w:rPr>
      </w:pPr>
      <w:r w:rsidRPr="002F17B5">
        <w:rPr>
          <w:bCs w:val="0"/>
          <w:i w:val="0"/>
          <w:sz w:val="24"/>
          <w:lang w:eastAsia="en-GB"/>
        </w:rPr>
        <w:t>Funding of capital projects</w:t>
      </w:r>
    </w:p>
    <w:p w:rsidR="00816A7D" w:rsidRPr="002F17B5" w:rsidRDefault="00816A7D" w:rsidP="006728BA">
      <w:pPr>
        <w:pStyle w:val="Heading3-numbered"/>
        <w:numPr>
          <w:ilvl w:val="0"/>
          <w:numId w:val="0"/>
        </w:numPr>
        <w:spacing w:before="0" w:after="0"/>
        <w:ind w:left="426"/>
        <w:rPr>
          <w:b w:val="0"/>
          <w:i w:val="0"/>
          <w:sz w:val="24"/>
        </w:rPr>
      </w:pPr>
      <w:r w:rsidRPr="002F17B5">
        <w:rPr>
          <w:b w:val="0"/>
          <w:i w:val="0"/>
          <w:sz w:val="24"/>
        </w:rPr>
        <w:t xml:space="preserve">This reserve </w:t>
      </w:r>
      <w:r w:rsidR="00E556EB" w:rsidRPr="002F17B5">
        <w:rPr>
          <w:b w:val="0"/>
          <w:i w:val="0"/>
          <w:sz w:val="24"/>
        </w:rPr>
        <w:t>comprise</w:t>
      </w:r>
      <w:r w:rsidRPr="002F17B5">
        <w:rPr>
          <w:b w:val="0"/>
          <w:i w:val="0"/>
          <w:sz w:val="24"/>
        </w:rPr>
        <w:t xml:space="preserve"> of </w:t>
      </w:r>
      <w:r w:rsidR="00E556EB" w:rsidRPr="002F17B5">
        <w:rPr>
          <w:b w:val="0"/>
          <w:i w:val="0"/>
          <w:sz w:val="24"/>
        </w:rPr>
        <w:t>revenue monies earmarked to support committed capital projects in the county council capital programme</w:t>
      </w:r>
      <w:r w:rsidRPr="002F17B5">
        <w:rPr>
          <w:b w:val="0"/>
          <w:i w:val="0"/>
          <w:sz w:val="24"/>
        </w:rPr>
        <w:t>.</w:t>
      </w:r>
    </w:p>
    <w:p w:rsidR="00E556EB" w:rsidRPr="002F17B5" w:rsidRDefault="00E556EB" w:rsidP="00816A7D">
      <w:pPr>
        <w:pStyle w:val="Heading3-numbered"/>
        <w:numPr>
          <w:ilvl w:val="0"/>
          <w:numId w:val="0"/>
        </w:numPr>
        <w:spacing w:after="0"/>
        <w:ind w:left="426"/>
        <w:rPr>
          <w:b w:val="0"/>
          <w:i w:val="0"/>
          <w:sz w:val="14"/>
        </w:rPr>
      </w:pPr>
    </w:p>
    <w:p w:rsidR="00E556EB" w:rsidRPr="002F17B5" w:rsidRDefault="00E556EB" w:rsidP="008A24FD">
      <w:pPr>
        <w:pStyle w:val="Heading3-numbered"/>
        <w:numPr>
          <w:ilvl w:val="0"/>
          <w:numId w:val="0"/>
        </w:numPr>
        <w:spacing w:after="0"/>
        <w:ind w:left="360" w:hanging="360"/>
        <w:rPr>
          <w:i w:val="0"/>
          <w:sz w:val="24"/>
        </w:rPr>
      </w:pPr>
      <w:r w:rsidRPr="002F17B5">
        <w:rPr>
          <w:i w:val="0"/>
          <w:sz w:val="24"/>
        </w:rPr>
        <w:t>Schools Reserves</w:t>
      </w:r>
      <w:r w:rsidR="008A24FD" w:rsidRPr="002F17B5">
        <w:rPr>
          <w:i w:val="0"/>
          <w:sz w:val="24"/>
        </w:rPr>
        <w:t>:</w:t>
      </w:r>
    </w:p>
    <w:p w:rsidR="00E556EB" w:rsidRPr="002F17B5" w:rsidRDefault="00E556EB" w:rsidP="006728BA">
      <w:pPr>
        <w:pStyle w:val="Heading3-numbered"/>
        <w:numPr>
          <w:ilvl w:val="0"/>
          <w:numId w:val="0"/>
        </w:numPr>
        <w:spacing w:before="0" w:after="0"/>
        <w:ind w:left="426"/>
        <w:rPr>
          <w:b w:val="0"/>
          <w:i w:val="0"/>
          <w:sz w:val="24"/>
        </w:rPr>
      </w:pPr>
      <w:r w:rsidRPr="002F17B5">
        <w:rPr>
          <w:b w:val="0"/>
          <w:i w:val="0"/>
          <w:sz w:val="24"/>
        </w:rPr>
        <w:t>Under the Education Reform Act, schools are given most of their budgets to control.  If a school does not spend its entire budget, we hold it as a reserve for them to use in the future.  This reserve cannot be used for any other purpose.</w:t>
      </w:r>
    </w:p>
    <w:p w:rsidR="00E556EB" w:rsidRPr="002F17B5" w:rsidRDefault="00E556EB" w:rsidP="00E556EB">
      <w:pPr>
        <w:pStyle w:val="Heading3-numbered"/>
        <w:numPr>
          <w:ilvl w:val="0"/>
          <w:numId w:val="0"/>
        </w:numPr>
        <w:spacing w:after="0"/>
        <w:ind w:left="426"/>
        <w:rPr>
          <w:b w:val="0"/>
          <w:i w:val="0"/>
          <w:sz w:val="12"/>
        </w:rPr>
      </w:pPr>
    </w:p>
    <w:p w:rsidR="00E556EB" w:rsidRPr="002F17B5" w:rsidRDefault="00E556EB" w:rsidP="00E556EB">
      <w:pPr>
        <w:pStyle w:val="Heading3-numbered"/>
        <w:numPr>
          <w:ilvl w:val="0"/>
          <w:numId w:val="0"/>
        </w:numPr>
        <w:spacing w:after="0"/>
        <w:ind w:left="426"/>
        <w:rPr>
          <w:b w:val="0"/>
          <w:i w:val="0"/>
          <w:sz w:val="24"/>
        </w:rPr>
      </w:pPr>
      <w:r w:rsidRPr="002F17B5">
        <w:rPr>
          <w:b w:val="0"/>
          <w:i w:val="0"/>
          <w:sz w:val="24"/>
        </w:rPr>
        <w:t>During 2013/14 no schools converted to academies, 292 Schools had an in year deficit and 312 schools operated an in year surplus. At the 31st March 2014, 25 schools had deficit balances.</w:t>
      </w:r>
    </w:p>
    <w:p w:rsidR="006728BA" w:rsidRDefault="006728BA" w:rsidP="008A24FD">
      <w:pPr>
        <w:pStyle w:val="Heading3-numbered"/>
        <w:numPr>
          <w:ilvl w:val="0"/>
          <w:numId w:val="0"/>
        </w:numPr>
        <w:spacing w:after="0"/>
        <w:ind w:left="360" w:hanging="360"/>
        <w:rPr>
          <w:i w:val="0"/>
          <w:sz w:val="24"/>
        </w:rPr>
      </w:pPr>
    </w:p>
    <w:p w:rsidR="00E556EB" w:rsidRPr="002F17B5" w:rsidRDefault="00EC724B" w:rsidP="008A24FD">
      <w:pPr>
        <w:pStyle w:val="Heading3-numbered"/>
        <w:numPr>
          <w:ilvl w:val="0"/>
          <w:numId w:val="0"/>
        </w:numPr>
        <w:spacing w:after="0"/>
        <w:ind w:left="360" w:hanging="360"/>
        <w:rPr>
          <w:i w:val="0"/>
          <w:sz w:val="24"/>
        </w:rPr>
      </w:pPr>
      <w:r w:rsidRPr="002F17B5">
        <w:rPr>
          <w:i w:val="0"/>
          <w:sz w:val="24"/>
        </w:rPr>
        <w:t>Reserves held to meet service priorities (</w:t>
      </w:r>
      <w:r w:rsidR="00E556EB" w:rsidRPr="002F17B5">
        <w:rPr>
          <w:i w:val="0"/>
          <w:sz w:val="24"/>
        </w:rPr>
        <w:t>Directorate Reserves</w:t>
      </w:r>
      <w:r w:rsidRPr="002F17B5">
        <w:rPr>
          <w:i w:val="0"/>
          <w:sz w:val="24"/>
        </w:rPr>
        <w:t>)</w:t>
      </w:r>
      <w:r w:rsidR="008A24FD" w:rsidRPr="002F17B5">
        <w:rPr>
          <w:i w:val="0"/>
          <w:sz w:val="24"/>
        </w:rPr>
        <w:t>:</w:t>
      </w:r>
    </w:p>
    <w:p w:rsidR="00E556EB" w:rsidRDefault="00E556EB" w:rsidP="00E556EB">
      <w:pPr>
        <w:pStyle w:val="Heading3-numbered"/>
        <w:numPr>
          <w:ilvl w:val="0"/>
          <w:numId w:val="0"/>
        </w:numPr>
        <w:spacing w:after="0"/>
        <w:ind w:left="360" w:hanging="360"/>
        <w:rPr>
          <w:b w:val="0"/>
          <w:i w:val="0"/>
          <w:sz w:val="24"/>
        </w:rPr>
      </w:pPr>
      <w:r w:rsidRPr="002F17B5">
        <w:rPr>
          <w:b w:val="0"/>
          <w:i w:val="0"/>
          <w:sz w:val="24"/>
        </w:rPr>
        <w:tab/>
      </w:r>
      <w:r w:rsidRPr="002F17B5">
        <w:rPr>
          <w:b w:val="0"/>
          <w:i w:val="0"/>
          <w:sz w:val="24"/>
        </w:rPr>
        <w:tab/>
        <w:t>These earmarked reserves consist of amounts carried forward for specifically agreed projects within directorates.</w:t>
      </w:r>
      <w:r w:rsidR="00162FBD">
        <w:rPr>
          <w:b w:val="0"/>
          <w:i w:val="0"/>
          <w:sz w:val="24"/>
        </w:rPr>
        <w:t xml:space="preserve"> This includes trading operations reserve which funds one off revenue costs associated with trading activities</w:t>
      </w:r>
    </w:p>
    <w:p w:rsidR="00C63B87" w:rsidRDefault="00C63B87" w:rsidP="00E556EB">
      <w:pPr>
        <w:pStyle w:val="Heading3-numbered"/>
        <w:numPr>
          <w:ilvl w:val="0"/>
          <w:numId w:val="0"/>
        </w:numPr>
        <w:spacing w:after="0"/>
        <w:ind w:left="360" w:hanging="360"/>
        <w:rPr>
          <w:b w:val="0"/>
          <w:i w:val="0"/>
          <w:sz w:val="24"/>
        </w:rPr>
      </w:pPr>
    </w:p>
    <w:p w:rsidR="00E95ED7" w:rsidRPr="00451658" w:rsidRDefault="00286D86" w:rsidP="00630928">
      <w:pPr>
        <w:pStyle w:val="Heading3-numbered"/>
        <w:rPr>
          <w:i w:val="0"/>
          <w:sz w:val="24"/>
          <w:szCs w:val="24"/>
        </w:rPr>
      </w:pPr>
      <w:r w:rsidRPr="00451658">
        <w:rPr>
          <w:i w:val="0"/>
          <w:sz w:val="24"/>
          <w:szCs w:val="24"/>
        </w:rPr>
        <w:t>Other Operating Expenditure</w:t>
      </w:r>
    </w:p>
    <w:tbl>
      <w:tblPr>
        <w:tblpPr w:leftFromText="180" w:rightFromText="180" w:vertAnchor="text" w:horzAnchor="page" w:tblpX="890" w:tblpY="12"/>
        <w:tblW w:w="9498" w:type="dxa"/>
        <w:tblLook w:val="04A0" w:firstRow="1" w:lastRow="0" w:firstColumn="1" w:lastColumn="0" w:noHBand="0" w:noVBand="1"/>
      </w:tblPr>
      <w:tblGrid>
        <w:gridCol w:w="2806"/>
        <w:gridCol w:w="1852"/>
        <w:gridCol w:w="1438"/>
        <w:gridCol w:w="1843"/>
        <w:gridCol w:w="1559"/>
      </w:tblGrid>
      <w:tr w:rsidR="00A44D8C" w:rsidRPr="002F17B5" w:rsidTr="00AE1475">
        <w:trPr>
          <w:trHeight w:val="315"/>
        </w:trPr>
        <w:tc>
          <w:tcPr>
            <w:tcW w:w="2806" w:type="dxa"/>
            <w:shd w:val="clear" w:color="auto" w:fill="FFFFFF" w:themeFill="background1"/>
            <w:noWrap/>
            <w:vAlign w:val="bottom"/>
            <w:hideMark/>
          </w:tcPr>
          <w:p w:rsidR="00A44D8C" w:rsidRPr="002F17B5" w:rsidRDefault="00A44D8C" w:rsidP="00E95ED7">
            <w:pPr>
              <w:autoSpaceDE/>
              <w:autoSpaceDN/>
              <w:adjustRightInd/>
              <w:spacing w:before="0" w:after="20"/>
              <w:jc w:val="left"/>
              <w:rPr>
                <w:rFonts w:ascii="Calibri" w:eastAsia="Times New Roman" w:hAnsi="Calibri" w:cs="Arial"/>
                <w:sz w:val="22"/>
                <w:szCs w:val="22"/>
                <w:lang w:eastAsia="en-GB"/>
              </w:rPr>
            </w:pPr>
          </w:p>
        </w:tc>
        <w:tc>
          <w:tcPr>
            <w:tcW w:w="1852" w:type="dxa"/>
            <w:shd w:val="clear" w:color="auto" w:fill="FFFFFF" w:themeFill="background1"/>
            <w:noWrap/>
            <w:vAlign w:val="bottom"/>
            <w:hideMark/>
          </w:tcPr>
          <w:p w:rsidR="00A44D8C" w:rsidRPr="002F17B5" w:rsidRDefault="00A44D8C" w:rsidP="00E95ED7">
            <w:pPr>
              <w:autoSpaceDE/>
              <w:autoSpaceDN/>
              <w:adjustRightInd/>
              <w:spacing w:before="0" w:after="20"/>
              <w:jc w:val="left"/>
              <w:rPr>
                <w:rFonts w:ascii="Calibri" w:eastAsia="Times New Roman" w:hAnsi="Calibri" w:cs="Arial"/>
                <w:sz w:val="22"/>
                <w:szCs w:val="22"/>
                <w:lang w:eastAsia="en-GB"/>
              </w:rPr>
            </w:pPr>
          </w:p>
        </w:tc>
        <w:tc>
          <w:tcPr>
            <w:tcW w:w="1438" w:type="dxa"/>
            <w:shd w:val="clear" w:color="auto" w:fill="FFFFFF" w:themeFill="background1"/>
            <w:noWrap/>
            <w:vAlign w:val="bottom"/>
            <w:hideMark/>
          </w:tcPr>
          <w:p w:rsidR="00A44D8C" w:rsidRPr="002F17B5" w:rsidRDefault="00A44D8C" w:rsidP="00E95ED7">
            <w:pPr>
              <w:autoSpaceDE/>
              <w:autoSpaceDN/>
              <w:adjustRightInd/>
              <w:spacing w:before="0" w:after="20"/>
              <w:jc w:val="left"/>
              <w:rPr>
                <w:rFonts w:ascii="Calibri" w:eastAsia="Times New Roman" w:hAnsi="Calibri" w:cs="Arial"/>
                <w:sz w:val="22"/>
                <w:szCs w:val="22"/>
                <w:lang w:eastAsia="en-GB"/>
              </w:rPr>
            </w:pPr>
          </w:p>
        </w:tc>
        <w:tc>
          <w:tcPr>
            <w:tcW w:w="1843" w:type="dxa"/>
            <w:shd w:val="clear" w:color="auto" w:fill="FFFFFF" w:themeFill="background1"/>
            <w:vAlign w:val="bottom"/>
            <w:hideMark/>
          </w:tcPr>
          <w:p w:rsidR="00AE1475" w:rsidRPr="002F17B5" w:rsidRDefault="00CD4CF3" w:rsidP="00E95ED7">
            <w:pPr>
              <w:autoSpaceDE/>
              <w:autoSpaceDN/>
              <w:adjustRightInd/>
              <w:spacing w:before="0" w:after="20"/>
              <w:jc w:val="right"/>
              <w:rPr>
                <w:rFonts w:eastAsia="Times New Roman" w:cs="Arial"/>
                <w:b/>
                <w:bCs/>
                <w:lang w:eastAsia="en-GB"/>
              </w:rPr>
            </w:pPr>
            <w:r w:rsidRPr="002F17B5">
              <w:rPr>
                <w:rFonts w:eastAsia="Times New Roman" w:cs="Arial"/>
                <w:b/>
                <w:bCs/>
                <w:lang w:eastAsia="en-GB"/>
              </w:rPr>
              <w:t>2013/14</w:t>
            </w:r>
            <w:r w:rsidR="00F311A3" w:rsidRPr="002F17B5">
              <w:rPr>
                <w:rFonts w:eastAsia="Times New Roman" w:cs="Arial"/>
                <w:b/>
                <w:bCs/>
                <w:lang w:eastAsia="en-GB"/>
              </w:rPr>
              <w:t xml:space="preserve"> </w:t>
            </w:r>
          </w:p>
          <w:p w:rsidR="00A44D8C" w:rsidRPr="002F17B5" w:rsidRDefault="00F311A3" w:rsidP="00E95ED7">
            <w:pPr>
              <w:autoSpaceDE/>
              <w:autoSpaceDN/>
              <w:adjustRightInd/>
              <w:spacing w:before="0" w:after="20"/>
              <w:jc w:val="right"/>
              <w:rPr>
                <w:rFonts w:eastAsia="Times New Roman" w:cs="Arial"/>
                <w:b/>
                <w:bCs/>
                <w:lang w:eastAsia="en-GB"/>
              </w:rPr>
            </w:pPr>
            <w:r w:rsidRPr="002F17B5">
              <w:rPr>
                <w:rFonts w:eastAsia="Times New Roman" w:cs="Arial"/>
                <w:b/>
                <w:bCs/>
                <w:lang w:eastAsia="en-GB"/>
              </w:rPr>
              <w:t>£m</w:t>
            </w:r>
          </w:p>
        </w:tc>
        <w:tc>
          <w:tcPr>
            <w:tcW w:w="1559" w:type="dxa"/>
            <w:shd w:val="clear" w:color="auto" w:fill="FFFFFF" w:themeFill="background1"/>
            <w:vAlign w:val="bottom"/>
            <w:hideMark/>
          </w:tcPr>
          <w:p w:rsidR="000068C0" w:rsidRPr="002F17B5" w:rsidRDefault="00CD4CF3" w:rsidP="00E95ED7">
            <w:pPr>
              <w:autoSpaceDE/>
              <w:autoSpaceDN/>
              <w:adjustRightInd/>
              <w:spacing w:before="0" w:after="20"/>
              <w:jc w:val="right"/>
              <w:rPr>
                <w:rFonts w:eastAsia="Times New Roman" w:cs="Arial"/>
                <w:b/>
                <w:bCs/>
                <w:lang w:eastAsia="en-GB"/>
              </w:rPr>
            </w:pPr>
            <w:r w:rsidRPr="002F17B5">
              <w:rPr>
                <w:rFonts w:eastAsia="Times New Roman" w:cs="Arial"/>
                <w:b/>
                <w:bCs/>
                <w:lang w:eastAsia="en-GB"/>
              </w:rPr>
              <w:t>2012/13</w:t>
            </w:r>
          </w:p>
          <w:p w:rsidR="00A44D8C" w:rsidRPr="002F17B5" w:rsidRDefault="00F311A3" w:rsidP="00E95ED7">
            <w:pPr>
              <w:autoSpaceDE/>
              <w:autoSpaceDN/>
              <w:adjustRightInd/>
              <w:spacing w:before="0" w:after="20"/>
              <w:jc w:val="right"/>
              <w:rPr>
                <w:rFonts w:eastAsia="Times New Roman" w:cs="Arial"/>
                <w:b/>
                <w:bCs/>
                <w:lang w:eastAsia="en-GB"/>
              </w:rPr>
            </w:pPr>
            <w:r w:rsidRPr="002F17B5">
              <w:rPr>
                <w:rFonts w:eastAsia="Times New Roman" w:cs="Arial"/>
                <w:b/>
                <w:bCs/>
                <w:lang w:eastAsia="en-GB"/>
              </w:rPr>
              <w:t xml:space="preserve"> £m</w:t>
            </w:r>
          </w:p>
        </w:tc>
      </w:tr>
      <w:tr w:rsidR="00A44D8C" w:rsidRPr="002F17B5" w:rsidTr="00AE1475">
        <w:trPr>
          <w:trHeight w:val="394"/>
        </w:trPr>
        <w:tc>
          <w:tcPr>
            <w:tcW w:w="6096" w:type="dxa"/>
            <w:gridSpan w:val="3"/>
            <w:shd w:val="clear" w:color="auto" w:fill="FFFFFF" w:themeFill="background1"/>
            <w:noWrap/>
            <w:vAlign w:val="bottom"/>
            <w:hideMark/>
          </w:tcPr>
          <w:p w:rsidR="00A44D8C" w:rsidRPr="002F17B5" w:rsidRDefault="00A44D8C" w:rsidP="00E95ED7">
            <w:pPr>
              <w:autoSpaceDE/>
              <w:autoSpaceDN/>
              <w:adjustRightInd/>
              <w:spacing w:before="0" w:after="20"/>
              <w:jc w:val="left"/>
              <w:rPr>
                <w:rFonts w:eastAsia="Times New Roman" w:cs="Arial"/>
                <w:lang w:eastAsia="en-GB"/>
              </w:rPr>
            </w:pPr>
            <w:r w:rsidRPr="002F17B5">
              <w:rPr>
                <w:rFonts w:eastAsia="Times New Roman" w:cs="Arial"/>
                <w:lang w:eastAsia="en-GB"/>
              </w:rPr>
              <w:t xml:space="preserve">Levies </w:t>
            </w:r>
            <w:r w:rsidR="00FB2E33" w:rsidRPr="002F17B5">
              <w:rPr>
                <w:rFonts w:eastAsia="Times New Roman" w:cs="Arial"/>
                <w:lang w:eastAsia="en-GB"/>
              </w:rPr>
              <w:t>for flood defences and inshore fisheries and conservation authorities</w:t>
            </w:r>
          </w:p>
        </w:tc>
        <w:tc>
          <w:tcPr>
            <w:tcW w:w="1843" w:type="dxa"/>
            <w:shd w:val="clear" w:color="auto" w:fill="FFFFFF" w:themeFill="background1"/>
            <w:vAlign w:val="bottom"/>
            <w:hideMark/>
          </w:tcPr>
          <w:p w:rsidR="00A44D8C" w:rsidRPr="002F17B5" w:rsidRDefault="00192F79" w:rsidP="00E95ED7">
            <w:pPr>
              <w:autoSpaceDE/>
              <w:autoSpaceDN/>
              <w:adjustRightInd/>
              <w:spacing w:before="0" w:after="20"/>
              <w:jc w:val="right"/>
              <w:rPr>
                <w:rFonts w:eastAsia="Times New Roman" w:cs="Arial"/>
                <w:lang w:eastAsia="en-GB"/>
              </w:rPr>
            </w:pPr>
            <w:r w:rsidRPr="002F17B5">
              <w:rPr>
                <w:rFonts w:eastAsia="Times New Roman" w:cs="Arial"/>
                <w:lang w:eastAsia="en-GB"/>
              </w:rPr>
              <w:t>0.8</w:t>
            </w:r>
          </w:p>
        </w:tc>
        <w:tc>
          <w:tcPr>
            <w:tcW w:w="1559" w:type="dxa"/>
            <w:shd w:val="clear" w:color="auto" w:fill="FFFFFF" w:themeFill="background1"/>
            <w:vAlign w:val="bottom"/>
            <w:hideMark/>
          </w:tcPr>
          <w:p w:rsidR="00A44D8C" w:rsidRPr="002F17B5" w:rsidRDefault="00A44D8C" w:rsidP="00E95ED7">
            <w:pPr>
              <w:autoSpaceDE/>
              <w:autoSpaceDN/>
              <w:adjustRightInd/>
              <w:spacing w:before="0" w:after="20"/>
              <w:jc w:val="right"/>
              <w:rPr>
                <w:rFonts w:eastAsia="Times New Roman" w:cs="Arial"/>
                <w:lang w:eastAsia="en-GB"/>
              </w:rPr>
            </w:pPr>
            <w:r w:rsidRPr="002F17B5">
              <w:rPr>
                <w:rFonts w:eastAsia="Times New Roman" w:cs="Arial"/>
                <w:lang w:eastAsia="en-GB"/>
              </w:rPr>
              <w:t>0.8</w:t>
            </w:r>
          </w:p>
        </w:tc>
      </w:tr>
      <w:tr w:rsidR="00A44D8C" w:rsidRPr="002F17B5" w:rsidTr="00E95ED7">
        <w:trPr>
          <w:trHeight w:val="546"/>
        </w:trPr>
        <w:tc>
          <w:tcPr>
            <w:tcW w:w="6096" w:type="dxa"/>
            <w:gridSpan w:val="3"/>
            <w:shd w:val="clear" w:color="auto" w:fill="FFFFFF" w:themeFill="background1"/>
            <w:noWrap/>
            <w:vAlign w:val="center"/>
            <w:hideMark/>
          </w:tcPr>
          <w:p w:rsidR="00A44D8C" w:rsidRPr="002F17B5" w:rsidRDefault="00A44D8C" w:rsidP="00E95ED7">
            <w:pPr>
              <w:autoSpaceDE/>
              <w:autoSpaceDN/>
              <w:adjustRightInd/>
              <w:spacing w:before="0" w:after="20"/>
              <w:jc w:val="left"/>
              <w:rPr>
                <w:rFonts w:eastAsia="Times New Roman" w:cs="Arial"/>
                <w:lang w:eastAsia="en-GB"/>
              </w:rPr>
            </w:pPr>
            <w:r w:rsidRPr="002F17B5">
              <w:rPr>
                <w:rFonts w:eastAsia="Times New Roman" w:cs="Arial"/>
                <w:lang w:eastAsia="en-GB"/>
              </w:rPr>
              <w:t>(Gains)/losses on the disposal of non current assets</w:t>
            </w:r>
          </w:p>
        </w:tc>
        <w:tc>
          <w:tcPr>
            <w:tcW w:w="1843" w:type="dxa"/>
            <w:tcBorders>
              <w:bottom w:val="single" w:sz="4" w:space="0" w:color="auto"/>
            </w:tcBorders>
            <w:shd w:val="clear" w:color="auto" w:fill="FFFFFF" w:themeFill="background1"/>
            <w:vAlign w:val="center"/>
            <w:hideMark/>
          </w:tcPr>
          <w:p w:rsidR="00A44D8C" w:rsidRPr="002F17B5" w:rsidRDefault="00192F79" w:rsidP="00E95ED7">
            <w:pPr>
              <w:autoSpaceDE/>
              <w:autoSpaceDN/>
              <w:adjustRightInd/>
              <w:spacing w:before="0" w:after="20"/>
              <w:jc w:val="right"/>
              <w:rPr>
                <w:rFonts w:eastAsia="Times New Roman" w:cs="Arial"/>
                <w:lang w:eastAsia="en-GB"/>
              </w:rPr>
            </w:pPr>
            <w:r w:rsidRPr="002F17B5">
              <w:rPr>
                <w:rFonts w:eastAsia="Times New Roman" w:cs="Arial"/>
                <w:lang w:eastAsia="en-GB"/>
              </w:rPr>
              <w:t>31.3</w:t>
            </w:r>
          </w:p>
        </w:tc>
        <w:tc>
          <w:tcPr>
            <w:tcW w:w="1559" w:type="dxa"/>
            <w:tcBorders>
              <w:bottom w:val="single" w:sz="4" w:space="0" w:color="auto"/>
            </w:tcBorders>
            <w:shd w:val="clear" w:color="auto" w:fill="FFFFFF" w:themeFill="background1"/>
            <w:vAlign w:val="center"/>
            <w:hideMark/>
          </w:tcPr>
          <w:p w:rsidR="00A44D8C" w:rsidRPr="002F17B5" w:rsidRDefault="000B4357" w:rsidP="00E95ED7">
            <w:pPr>
              <w:autoSpaceDE/>
              <w:autoSpaceDN/>
              <w:adjustRightInd/>
              <w:spacing w:before="0" w:after="20"/>
              <w:jc w:val="right"/>
              <w:rPr>
                <w:rFonts w:eastAsia="Times New Roman" w:cs="Arial"/>
                <w:lang w:eastAsia="en-GB"/>
              </w:rPr>
            </w:pPr>
            <w:r w:rsidRPr="002F17B5">
              <w:rPr>
                <w:rFonts w:eastAsia="Times New Roman" w:cs="Arial"/>
                <w:lang w:eastAsia="en-GB"/>
              </w:rPr>
              <w:t>45.5</w:t>
            </w:r>
          </w:p>
        </w:tc>
      </w:tr>
      <w:tr w:rsidR="00A44D8C" w:rsidRPr="002F17B5" w:rsidTr="00CC24FD">
        <w:trPr>
          <w:trHeight w:val="520"/>
        </w:trPr>
        <w:tc>
          <w:tcPr>
            <w:tcW w:w="2806" w:type="dxa"/>
            <w:shd w:val="clear" w:color="auto" w:fill="FFFFFF" w:themeFill="background1"/>
            <w:noWrap/>
            <w:vAlign w:val="center"/>
            <w:hideMark/>
          </w:tcPr>
          <w:p w:rsidR="00A44D8C" w:rsidRPr="002F17B5" w:rsidRDefault="00A44D8C" w:rsidP="00E95ED7">
            <w:pPr>
              <w:autoSpaceDE/>
              <w:autoSpaceDN/>
              <w:adjustRightInd/>
              <w:spacing w:before="0" w:after="20"/>
              <w:jc w:val="left"/>
              <w:rPr>
                <w:rFonts w:eastAsia="Times New Roman" w:cs="Arial"/>
                <w:b/>
                <w:bCs/>
                <w:lang w:eastAsia="en-GB"/>
              </w:rPr>
            </w:pPr>
            <w:r w:rsidRPr="002F17B5">
              <w:rPr>
                <w:rFonts w:eastAsia="Times New Roman" w:cs="Arial"/>
                <w:b/>
                <w:bCs/>
                <w:lang w:eastAsia="en-GB"/>
              </w:rPr>
              <w:t>Total</w:t>
            </w:r>
          </w:p>
        </w:tc>
        <w:tc>
          <w:tcPr>
            <w:tcW w:w="1852" w:type="dxa"/>
            <w:shd w:val="clear" w:color="auto" w:fill="FFFFFF" w:themeFill="background1"/>
            <w:noWrap/>
            <w:vAlign w:val="center"/>
            <w:hideMark/>
          </w:tcPr>
          <w:p w:rsidR="00A44D8C" w:rsidRPr="002F17B5" w:rsidRDefault="00A44D8C" w:rsidP="00E95ED7">
            <w:pPr>
              <w:autoSpaceDE/>
              <w:autoSpaceDN/>
              <w:adjustRightInd/>
              <w:spacing w:before="0" w:after="20"/>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438" w:type="dxa"/>
            <w:shd w:val="clear" w:color="auto" w:fill="FFFFFF" w:themeFill="background1"/>
            <w:noWrap/>
            <w:vAlign w:val="center"/>
            <w:hideMark/>
          </w:tcPr>
          <w:p w:rsidR="00A44D8C" w:rsidRPr="002F17B5" w:rsidRDefault="00A44D8C" w:rsidP="00E95ED7">
            <w:pPr>
              <w:autoSpaceDE/>
              <w:autoSpaceDN/>
              <w:adjustRightInd/>
              <w:spacing w:before="0" w:after="20"/>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843" w:type="dxa"/>
            <w:tcBorders>
              <w:top w:val="single" w:sz="4" w:space="0" w:color="auto"/>
            </w:tcBorders>
            <w:shd w:val="clear" w:color="auto" w:fill="FFFFFF" w:themeFill="background1"/>
            <w:vAlign w:val="center"/>
            <w:hideMark/>
          </w:tcPr>
          <w:p w:rsidR="00A44D8C" w:rsidRPr="002F17B5" w:rsidRDefault="00192F79" w:rsidP="00E95ED7">
            <w:pPr>
              <w:autoSpaceDE/>
              <w:autoSpaceDN/>
              <w:adjustRightInd/>
              <w:spacing w:before="0" w:after="20"/>
              <w:jc w:val="right"/>
              <w:rPr>
                <w:rFonts w:eastAsia="Times New Roman" w:cs="Arial"/>
                <w:b/>
                <w:bCs/>
                <w:lang w:eastAsia="en-GB"/>
              </w:rPr>
            </w:pPr>
            <w:r w:rsidRPr="002F17B5">
              <w:rPr>
                <w:rFonts w:eastAsia="Times New Roman" w:cs="Arial"/>
                <w:b/>
                <w:bCs/>
                <w:lang w:eastAsia="en-GB"/>
              </w:rPr>
              <w:t>32.1</w:t>
            </w:r>
          </w:p>
        </w:tc>
        <w:tc>
          <w:tcPr>
            <w:tcW w:w="1559" w:type="dxa"/>
            <w:tcBorders>
              <w:top w:val="single" w:sz="4" w:space="0" w:color="auto"/>
            </w:tcBorders>
            <w:shd w:val="clear" w:color="auto" w:fill="FFFFFF" w:themeFill="background1"/>
            <w:vAlign w:val="center"/>
            <w:hideMark/>
          </w:tcPr>
          <w:p w:rsidR="00A44D8C" w:rsidRPr="002F17B5" w:rsidRDefault="000B4357" w:rsidP="00E95ED7">
            <w:pPr>
              <w:autoSpaceDE/>
              <w:autoSpaceDN/>
              <w:adjustRightInd/>
              <w:spacing w:before="0" w:after="20"/>
              <w:jc w:val="right"/>
              <w:rPr>
                <w:rFonts w:eastAsia="Times New Roman" w:cs="Arial"/>
                <w:b/>
                <w:bCs/>
                <w:lang w:eastAsia="en-GB"/>
              </w:rPr>
            </w:pPr>
            <w:r w:rsidRPr="002F17B5">
              <w:rPr>
                <w:rFonts w:eastAsia="Times New Roman" w:cs="Arial"/>
                <w:b/>
                <w:bCs/>
                <w:lang w:eastAsia="en-GB"/>
              </w:rPr>
              <w:t>46.3</w:t>
            </w:r>
          </w:p>
        </w:tc>
      </w:tr>
    </w:tbl>
    <w:p w:rsidR="00446068" w:rsidRPr="002F17B5" w:rsidRDefault="00446068" w:rsidP="00BF2ACB">
      <w:pPr>
        <w:pStyle w:val="Heading3-numbered"/>
        <w:numPr>
          <w:ilvl w:val="0"/>
          <w:numId w:val="0"/>
        </w:numPr>
        <w:rPr>
          <w:i w:val="0"/>
          <w:sz w:val="26"/>
        </w:rPr>
      </w:pPr>
    </w:p>
    <w:p w:rsidR="00446068" w:rsidRPr="002F17B5" w:rsidRDefault="00446068">
      <w:pPr>
        <w:pStyle w:val="Heading3-numbered"/>
        <w:numPr>
          <w:ilvl w:val="0"/>
          <w:numId w:val="0"/>
        </w:numPr>
        <w:ind w:left="360"/>
        <w:rPr>
          <w:i w:val="0"/>
          <w:sz w:val="26"/>
        </w:rPr>
      </w:pPr>
    </w:p>
    <w:p w:rsidR="00446068" w:rsidRPr="002F17B5" w:rsidRDefault="00446068">
      <w:pPr>
        <w:pStyle w:val="Heading3-numbered"/>
        <w:numPr>
          <w:ilvl w:val="0"/>
          <w:numId w:val="0"/>
        </w:numPr>
        <w:ind w:left="360"/>
        <w:rPr>
          <w:i w:val="0"/>
          <w:sz w:val="26"/>
        </w:rPr>
      </w:pPr>
    </w:p>
    <w:p w:rsidR="00446068" w:rsidRPr="002F17B5" w:rsidRDefault="00446068">
      <w:pPr>
        <w:pStyle w:val="Heading3-numbered"/>
        <w:numPr>
          <w:ilvl w:val="0"/>
          <w:numId w:val="0"/>
        </w:numPr>
        <w:ind w:left="360"/>
        <w:rPr>
          <w:i w:val="0"/>
          <w:sz w:val="26"/>
        </w:rPr>
      </w:pPr>
    </w:p>
    <w:p w:rsidR="00446068" w:rsidRPr="002F17B5" w:rsidRDefault="00446068">
      <w:pPr>
        <w:pStyle w:val="Heading3-numbered"/>
        <w:numPr>
          <w:ilvl w:val="0"/>
          <w:numId w:val="0"/>
        </w:numPr>
        <w:ind w:left="360"/>
        <w:rPr>
          <w:i w:val="0"/>
          <w:sz w:val="26"/>
        </w:rPr>
      </w:pPr>
    </w:p>
    <w:p w:rsidR="00D45934" w:rsidRPr="006728BA" w:rsidRDefault="00D45934">
      <w:pPr>
        <w:pStyle w:val="Heading3-numbered"/>
        <w:numPr>
          <w:ilvl w:val="0"/>
          <w:numId w:val="0"/>
        </w:numPr>
        <w:ind w:left="360"/>
        <w:rPr>
          <w:i w:val="0"/>
          <w:sz w:val="16"/>
        </w:rPr>
      </w:pPr>
    </w:p>
    <w:p w:rsidR="00446068" w:rsidRDefault="00446068" w:rsidP="00BF2ACB">
      <w:pPr>
        <w:pStyle w:val="Heading3-numbered"/>
        <w:numPr>
          <w:ilvl w:val="0"/>
          <w:numId w:val="0"/>
        </w:numPr>
        <w:rPr>
          <w:i w:val="0"/>
          <w:sz w:val="6"/>
        </w:rPr>
      </w:pPr>
    </w:p>
    <w:p w:rsidR="008F0E55" w:rsidRDefault="008F0E55" w:rsidP="00BF2ACB">
      <w:pPr>
        <w:pStyle w:val="Heading3-numbered"/>
        <w:numPr>
          <w:ilvl w:val="0"/>
          <w:numId w:val="0"/>
        </w:numPr>
        <w:rPr>
          <w:i w:val="0"/>
          <w:sz w:val="6"/>
        </w:rPr>
      </w:pPr>
    </w:p>
    <w:p w:rsidR="008F0E55" w:rsidRPr="002F17B5" w:rsidRDefault="008F0E55" w:rsidP="00BF2ACB">
      <w:pPr>
        <w:pStyle w:val="Heading3-numbered"/>
        <w:numPr>
          <w:ilvl w:val="0"/>
          <w:numId w:val="0"/>
        </w:numPr>
        <w:rPr>
          <w:i w:val="0"/>
          <w:sz w:val="6"/>
        </w:rPr>
      </w:pPr>
    </w:p>
    <w:p w:rsidR="00AB4059" w:rsidRPr="002F17B5" w:rsidRDefault="00FF079C" w:rsidP="006728BA">
      <w:pPr>
        <w:pStyle w:val="Heading3-numbered"/>
        <w:spacing w:after="0"/>
        <w:ind w:left="502" w:hanging="502"/>
        <w:rPr>
          <w:i w:val="0"/>
          <w:sz w:val="26"/>
        </w:rPr>
      </w:pPr>
      <w:r w:rsidRPr="002F17B5">
        <w:rPr>
          <w:i w:val="0"/>
          <w:sz w:val="26"/>
        </w:rPr>
        <w:t xml:space="preserve">  </w:t>
      </w:r>
      <w:r w:rsidR="00AB4059" w:rsidRPr="002F17B5">
        <w:rPr>
          <w:i w:val="0"/>
          <w:sz w:val="26"/>
        </w:rPr>
        <w:t xml:space="preserve">Financing and </w:t>
      </w:r>
      <w:r w:rsidR="00AB4059" w:rsidRPr="002F17B5">
        <w:rPr>
          <w:i w:val="0"/>
          <w:sz w:val="26"/>
          <w:szCs w:val="18"/>
        </w:rPr>
        <w:t>Investment</w:t>
      </w:r>
      <w:r w:rsidR="00AB4059" w:rsidRPr="002F17B5">
        <w:rPr>
          <w:i w:val="0"/>
          <w:sz w:val="26"/>
        </w:rPr>
        <w:t xml:space="preserve"> Income and Expenditure </w:t>
      </w:r>
    </w:p>
    <w:p w:rsidR="00446068" w:rsidRDefault="00B50B67">
      <w:pPr>
        <w:pStyle w:val="Heading3-numbered"/>
        <w:numPr>
          <w:ilvl w:val="0"/>
          <w:numId w:val="0"/>
        </w:numPr>
        <w:spacing w:after="0"/>
        <w:ind w:left="720"/>
        <w:rPr>
          <w:i w:val="0"/>
          <w:sz w:val="2"/>
        </w:rPr>
      </w:pPr>
      <w:r>
        <w:rPr>
          <w:i w:val="0"/>
          <w:sz w:val="2"/>
        </w:rPr>
        <w:tab/>
      </w:r>
      <w:r>
        <w:rPr>
          <w:i w:val="0"/>
          <w:sz w:val="2"/>
        </w:rPr>
        <w:tab/>
      </w:r>
    </w:p>
    <w:p w:rsidR="00B50B67" w:rsidRPr="002F17B5" w:rsidRDefault="00B50B67">
      <w:pPr>
        <w:pStyle w:val="Heading3-numbered"/>
        <w:numPr>
          <w:ilvl w:val="0"/>
          <w:numId w:val="0"/>
        </w:numPr>
        <w:spacing w:after="0"/>
        <w:ind w:left="720"/>
        <w:rPr>
          <w:i w:val="0"/>
          <w:sz w:val="2"/>
        </w:rPr>
      </w:pPr>
    </w:p>
    <w:tbl>
      <w:tblPr>
        <w:tblW w:w="4477" w:type="pct"/>
        <w:tblLayout w:type="fixed"/>
        <w:tblLook w:val="04A0" w:firstRow="1" w:lastRow="0" w:firstColumn="1" w:lastColumn="0" w:noHBand="0" w:noVBand="1"/>
      </w:tblPr>
      <w:tblGrid>
        <w:gridCol w:w="2184"/>
        <w:gridCol w:w="1770"/>
        <w:gridCol w:w="2143"/>
        <w:gridCol w:w="1844"/>
        <w:gridCol w:w="1624"/>
      </w:tblGrid>
      <w:tr w:rsidR="00BF6E9D" w:rsidRPr="002F17B5" w:rsidTr="00630928">
        <w:trPr>
          <w:trHeight w:val="454"/>
        </w:trPr>
        <w:tc>
          <w:tcPr>
            <w:tcW w:w="1142" w:type="pct"/>
            <w:shd w:val="clear" w:color="auto" w:fill="FFFFFF" w:themeFill="background1"/>
            <w:noWrap/>
            <w:hideMark/>
          </w:tcPr>
          <w:p w:rsidR="00531F2A" w:rsidRPr="002F17B5" w:rsidRDefault="00531F2A" w:rsidP="00D0307D">
            <w:pPr>
              <w:pStyle w:val="TableDataLeft"/>
              <w:ind w:left="720" w:hanging="493"/>
              <w:rPr>
                <w:sz w:val="24"/>
                <w:szCs w:val="24"/>
              </w:rPr>
            </w:pPr>
          </w:p>
        </w:tc>
        <w:tc>
          <w:tcPr>
            <w:tcW w:w="925" w:type="pct"/>
            <w:shd w:val="clear" w:color="auto" w:fill="FFFFFF" w:themeFill="background1"/>
            <w:noWrap/>
            <w:hideMark/>
          </w:tcPr>
          <w:p w:rsidR="00531F2A" w:rsidRPr="002F17B5" w:rsidRDefault="00531F2A" w:rsidP="00D0307D">
            <w:pPr>
              <w:pStyle w:val="TableHeadRight"/>
              <w:spacing w:after="20"/>
              <w:ind w:left="720" w:hanging="493"/>
              <w:rPr>
                <w:sz w:val="24"/>
                <w:szCs w:val="24"/>
              </w:rPr>
            </w:pPr>
          </w:p>
        </w:tc>
        <w:tc>
          <w:tcPr>
            <w:tcW w:w="1120" w:type="pct"/>
            <w:shd w:val="clear" w:color="auto" w:fill="FFFFFF" w:themeFill="background1"/>
            <w:noWrap/>
            <w:hideMark/>
          </w:tcPr>
          <w:p w:rsidR="00531F2A" w:rsidRPr="002F17B5" w:rsidRDefault="00531F2A" w:rsidP="00D0307D">
            <w:pPr>
              <w:pStyle w:val="TableHeadRight"/>
              <w:spacing w:after="20"/>
              <w:ind w:left="720" w:hanging="493"/>
              <w:rPr>
                <w:sz w:val="24"/>
                <w:szCs w:val="24"/>
              </w:rPr>
            </w:pPr>
          </w:p>
        </w:tc>
        <w:tc>
          <w:tcPr>
            <w:tcW w:w="964" w:type="pct"/>
            <w:shd w:val="clear" w:color="auto" w:fill="FFFFFF" w:themeFill="background1"/>
          </w:tcPr>
          <w:p w:rsidR="00B50B67" w:rsidRDefault="00B50B67" w:rsidP="00D0307D">
            <w:pPr>
              <w:pStyle w:val="TableHeadRight"/>
              <w:spacing w:after="20"/>
              <w:ind w:left="720" w:hanging="493"/>
              <w:rPr>
                <w:bCs/>
                <w:sz w:val="24"/>
                <w:szCs w:val="24"/>
              </w:rPr>
            </w:pPr>
          </w:p>
          <w:p w:rsidR="00AE1475" w:rsidRPr="002F17B5" w:rsidRDefault="00CD4CF3" w:rsidP="00D0307D">
            <w:pPr>
              <w:pStyle w:val="TableHeadRight"/>
              <w:spacing w:after="20"/>
              <w:ind w:left="720" w:hanging="493"/>
              <w:rPr>
                <w:bCs/>
                <w:sz w:val="24"/>
                <w:szCs w:val="24"/>
              </w:rPr>
            </w:pPr>
            <w:r w:rsidRPr="002F17B5">
              <w:rPr>
                <w:bCs/>
                <w:sz w:val="24"/>
                <w:szCs w:val="24"/>
              </w:rPr>
              <w:t>2013/14</w:t>
            </w:r>
          </w:p>
          <w:p w:rsidR="00531F2A" w:rsidRPr="002F17B5" w:rsidRDefault="00F311A3" w:rsidP="00D0307D">
            <w:pPr>
              <w:pStyle w:val="TableHeadRight"/>
              <w:spacing w:after="20"/>
              <w:ind w:left="720" w:hanging="493"/>
              <w:rPr>
                <w:bCs/>
                <w:sz w:val="24"/>
                <w:szCs w:val="24"/>
              </w:rPr>
            </w:pPr>
            <w:r w:rsidRPr="002F17B5">
              <w:rPr>
                <w:bCs/>
                <w:sz w:val="24"/>
                <w:szCs w:val="24"/>
              </w:rPr>
              <w:t xml:space="preserve"> £m</w:t>
            </w:r>
          </w:p>
        </w:tc>
        <w:tc>
          <w:tcPr>
            <w:tcW w:w="849" w:type="pct"/>
            <w:shd w:val="clear" w:color="auto" w:fill="FFFFFF" w:themeFill="background1"/>
          </w:tcPr>
          <w:p w:rsidR="00B50B67" w:rsidRDefault="00B50B67" w:rsidP="00D0307D">
            <w:pPr>
              <w:pStyle w:val="TableHeadRight"/>
              <w:spacing w:after="20"/>
              <w:ind w:left="720" w:right="34" w:hanging="493"/>
              <w:rPr>
                <w:bCs/>
                <w:sz w:val="24"/>
                <w:szCs w:val="24"/>
              </w:rPr>
            </w:pPr>
            <w:r>
              <w:rPr>
                <w:bCs/>
                <w:sz w:val="24"/>
                <w:szCs w:val="24"/>
              </w:rPr>
              <w:t>Restated</w:t>
            </w:r>
          </w:p>
          <w:p w:rsidR="00AE1475" w:rsidRPr="002F17B5" w:rsidRDefault="00CD4CF3" w:rsidP="00D0307D">
            <w:pPr>
              <w:pStyle w:val="TableHeadRight"/>
              <w:spacing w:after="20"/>
              <w:ind w:left="720" w:right="34" w:hanging="493"/>
              <w:rPr>
                <w:bCs/>
                <w:sz w:val="24"/>
                <w:szCs w:val="24"/>
              </w:rPr>
            </w:pPr>
            <w:r w:rsidRPr="002F17B5">
              <w:rPr>
                <w:bCs/>
                <w:sz w:val="24"/>
                <w:szCs w:val="24"/>
              </w:rPr>
              <w:t>2012/13</w:t>
            </w:r>
            <w:r w:rsidR="00F311A3" w:rsidRPr="002F17B5">
              <w:rPr>
                <w:bCs/>
                <w:sz w:val="24"/>
                <w:szCs w:val="24"/>
              </w:rPr>
              <w:t xml:space="preserve"> </w:t>
            </w:r>
          </w:p>
          <w:p w:rsidR="00531F2A" w:rsidRPr="002F17B5" w:rsidRDefault="00F311A3" w:rsidP="00D0307D">
            <w:pPr>
              <w:pStyle w:val="TableHeadRight"/>
              <w:spacing w:after="20"/>
              <w:ind w:left="720" w:right="34" w:hanging="493"/>
              <w:rPr>
                <w:bCs/>
                <w:sz w:val="24"/>
                <w:szCs w:val="24"/>
              </w:rPr>
            </w:pPr>
            <w:r w:rsidRPr="002F17B5">
              <w:rPr>
                <w:bCs/>
                <w:sz w:val="24"/>
                <w:szCs w:val="24"/>
              </w:rPr>
              <w:t>£m</w:t>
            </w:r>
          </w:p>
        </w:tc>
      </w:tr>
      <w:tr w:rsidR="000B4357" w:rsidRPr="002F17B5" w:rsidTr="00630928">
        <w:trPr>
          <w:trHeight w:val="282"/>
        </w:trPr>
        <w:tc>
          <w:tcPr>
            <w:tcW w:w="3187" w:type="pct"/>
            <w:gridSpan w:val="3"/>
            <w:shd w:val="clear" w:color="auto" w:fill="FFFFFF" w:themeFill="background1"/>
            <w:noWrap/>
            <w:hideMark/>
          </w:tcPr>
          <w:p w:rsidR="000B4357" w:rsidRPr="002F17B5" w:rsidRDefault="000B4357" w:rsidP="00D0307D">
            <w:pPr>
              <w:pStyle w:val="TableDataLeft"/>
              <w:ind w:left="720" w:hanging="493"/>
              <w:rPr>
                <w:sz w:val="24"/>
                <w:szCs w:val="24"/>
              </w:rPr>
            </w:pPr>
            <w:r w:rsidRPr="002F17B5">
              <w:rPr>
                <w:sz w:val="24"/>
                <w:szCs w:val="24"/>
              </w:rPr>
              <w:t>Interest payable and similar charges</w:t>
            </w:r>
          </w:p>
        </w:tc>
        <w:tc>
          <w:tcPr>
            <w:tcW w:w="964" w:type="pct"/>
            <w:shd w:val="clear" w:color="auto" w:fill="FFFFFF" w:themeFill="background1"/>
          </w:tcPr>
          <w:p w:rsidR="000B4357" w:rsidRPr="002F17B5" w:rsidRDefault="00780665">
            <w:pPr>
              <w:pStyle w:val="TableTextRight"/>
              <w:ind w:left="720" w:hanging="493"/>
              <w:rPr>
                <w:sz w:val="24"/>
                <w:szCs w:val="24"/>
              </w:rPr>
            </w:pPr>
            <w:r w:rsidRPr="002F17B5">
              <w:rPr>
                <w:sz w:val="24"/>
                <w:szCs w:val="24"/>
              </w:rPr>
              <w:t>17.</w:t>
            </w:r>
            <w:r w:rsidR="00C21DD0">
              <w:rPr>
                <w:sz w:val="24"/>
                <w:szCs w:val="24"/>
              </w:rPr>
              <w:t>1</w:t>
            </w:r>
          </w:p>
        </w:tc>
        <w:tc>
          <w:tcPr>
            <w:tcW w:w="849" w:type="pct"/>
            <w:shd w:val="clear" w:color="auto" w:fill="FFFFFF" w:themeFill="background1"/>
          </w:tcPr>
          <w:p w:rsidR="000B4357" w:rsidRPr="002F17B5" w:rsidRDefault="000B4357" w:rsidP="008E55A4">
            <w:pPr>
              <w:pStyle w:val="TableTextRight"/>
              <w:ind w:left="720" w:hanging="493"/>
              <w:rPr>
                <w:sz w:val="24"/>
                <w:szCs w:val="24"/>
              </w:rPr>
            </w:pPr>
            <w:r w:rsidRPr="002F17B5">
              <w:rPr>
                <w:sz w:val="24"/>
                <w:szCs w:val="24"/>
              </w:rPr>
              <w:t>16.0</w:t>
            </w:r>
          </w:p>
        </w:tc>
      </w:tr>
      <w:tr w:rsidR="000B4357" w:rsidRPr="002F17B5" w:rsidTr="00630928">
        <w:trPr>
          <w:trHeight w:val="278"/>
        </w:trPr>
        <w:tc>
          <w:tcPr>
            <w:tcW w:w="3187" w:type="pct"/>
            <w:gridSpan w:val="3"/>
            <w:shd w:val="clear" w:color="auto" w:fill="FFFFFF" w:themeFill="background1"/>
            <w:noWrap/>
            <w:hideMark/>
          </w:tcPr>
          <w:p w:rsidR="000B4357" w:rsidRPr="002F17B5" w:rsidRDefault="000B4357" w:rsidP="00D0307D">
            <w:pPr>
              <w:pStyle w:val="TableDataLeft"/>
              <w:ind w:left="720" w:hanging="493"/>
              <w:rPr>
                <w:sz w:val="24"/>
                <w:szCs w:val="24"/>
              </w:rPr>
            </w:pPr>
            <w:r w:rsidRPr="002F17B5">
              <w:rPr>
                <w:sz w:val="24"/>
                <w:szCs w:val="24"/>
              </w:rPr>
              <w:t>Interest payable on PFI unitary payments</w:t>
            </w:r>
          </w:p>
        </w:tc>
        <w:tc>
          <w:tcPr>
            <w:tcW w:w="964" w:type="pct"/>
            <w:shd w:val="clear" w:color="auto" w:fill="FFFFFF" w:themeFill="background1"/>
          </w:tcPr>
          <w:p w:rsidR="000B4357" w:rsidRPr="002F17B5" w:rsidRDefault="00780665" w:rsidP="008E55A4">
            <w:pPr>
              <w:pStyle w:val="TableTextRight"/>
              <w:ind w:left="720" w:hanging="493"/>
              <w:rPr>
                <w:sz w:val="24"/>
                <w:szCs w:val="24"/>
              </w:rPr>
            </w:pPr>
            <w:r w:rsidRPr="002F17B5">
              <w:rPr>
                <w:sz w:val="24"/>
                <w:szCs w:val="24"/>
              </w:rPr>
              <w:t>46.6</w:t>
            </w:r>
          </w:p>
        </w:tc>
        <w:tc>
          <w:tcPr>
            <w:tcW w:w="849" w:type="pct"/>
            <w:shd w:val="clear" w:color="auto" w:fill="FFFFFF" w:themeFill="background1"/>
          </w:tcPr>
          <w:p w:rsidR="000B4357" w:rsidRPr="002F17B5" w:rsidRDefault="000B4357" w:rsidP="008E55A4">
            <w:pPr>
              <w:pStyle w:val="TableTextRight"/>
              <w:ind w:left="720" w:hanging="493"/>
              <w:rPr>
                <w:sz w:val="24"/>
                <w:szCs w:val="24"/>
              </w:rPr>
            </w:pPr>
            <w:r w:rsidRPr="002F17B5">
              <w:rPr>
                <w:sz w:val="24"/>
                <w:szCs w:val="24"/>
              </w:rPr>
              <w:t>47.8</w:t>
            </w:r>
          </w:p>
        </w:tc>
      </w:tr>
      <w:tr w:rsidR="000B4357" w:rsidRPr="002F17B5" w:rsidTr="00630928">
        <w:trPr>
          <w:trHeight w:val="348"/>
        </w:trPr>
        <w:tc>
          <w:tcPr>
            <w:tcW w:w="3187" w:type="pct"/>
            <w:gridSpan w:val="3"/>
            <w:shd w:val="clear" w:color="auto" w:fill="FFFFFF" w:themeFill="background1"/>
            <w:hideMark/>
          </w:tcPr>
          <w:p w:rsidR="000B4357" w:rsidRPr="002F17B5" w:rsidRDefault="000B4357" w:rsidP="00D0307D">
            <w:pPr>
              <w:pStyle w:val="TableDataLeft"/>
              <w:ind w:left="720" w:hanging="493"/>
              <w:rPr>
                <w:sz w:val="24"/>
                <w:szCs w:val="24"/>
              </w:rPr>
            </w:pPr>
            <w:r w:rsidRPr="002F17B5">
              <w:rPr>
                <w:sz w:val="24"/>
                <w:szCs w:val="24"/>
              </w:rPr>
              <w:t>Reclassification</w:t>
            </w:r>
          </w:p>
        </w:tc>
        <w:tc>
          <w:tcPr>
            <w:tcW w:w="964" w:type="pct"/>
            <w:shd w:val="clear" w:color="auto" w:fill="FFFFFF" w:themeFill="background1"/>
          </w:tcPr>
          <w:p w:rsidR="000B4357" w:rsidRPr="002F17B5" w:rsidRDefault="00C87BDD" w:rsidP="008E55A4">
            <w:pPr>
              <w:pStyle w:val="TableTextRight"/>
              <w:ind w:left="720" w:hanging="493"/>
              <w:rPr>
                <w:sz w:val="24"/>
                <w:szCs w:val="24"/>
              </w:rPr>
            </w:pPr>
            <w:r w:rsidRPr="002F17B5">
              <w:rPr>
                <w:sz w:val="24"/>
                <w:szCs w:val="24"/>
              </w:rPr>
              <w:t>-</w:t>
            </w:r>
          </w:p>
        </w:tc>
        <w:tc>
          <w:tcPr>
            <w:tcW w:w="849" w:type="pct"/>
            <w:shd w:val="clear" w:color="auto" w:fill="FFFFFF" w:themeFill="background1"/>
          </w:tcPr>
          <w:p w:rsidR="000B4357" w:rsidRPr="002F17B5" w:rsidRDefault="000B4357" w:rsidP="008E55A4">
            <w:pPr>
              <w:pStyle w:val="TableTextRight"/>
              <w:ind w:left="720" w:hanging="493"/>
              <w:rPr>
                <w:sz w:val="24"/>
                <w:szCs w:val="24"/>
              </w:rPr>
            </w:pPr>
            <w:r w:rsidRPr="002F17B5">
              <w:rPr>
                <w:sz w:val="24"/>
                <w:szCs w:val="24"/>
              </w:rPr>
              <w:t>8.2</w:t>
            </w:r>
          </w:p>
        </w:tc>
      </w:tr>
      <w:tr w:rsidR="00A64CC3" w:rsidRPr="002F17B5" w:rsidTr="00630928">
        <w:trPr>
          <w:trHeight w:val="258"/>
        </w:trPr>
        <w:tc>
          <w:tcPr>
            <w:tcW w:w="3187" w:type="pct"/>
            <w:gridSpan w:val="3"/>
            <w:shd w:val="clear" w:color="auto" w:fill="FFFFFF" w:themeFill="background1"/>
          </w:tcPr>
          <w:p w:rsidR="00A64CC3" w:rsidRPr="002F17B5" w:rsidRDefault="008A5B37">
            <w:pPr>
              <w:pStyle w:val="TableDataLeft"/>
              <w:ind w:left="720" w:hanging="493"/>
              <w:rPr>
                <w:sz w:val="24"/>
                <w:szCs w:val="24"/>
              </w:rPr>
            </w:pPr>
            <w:r>
              <w:rPr>
                <w:sz w:val="24"/>
                <w:szCs w:val="24"/>
              </w:rPr>
              <w:t xml:space="preserve">Net </w:t>
            </w:r>
            <w:r w:rsidR="00A64CC3">
              <w:rPr>
                <w:sz w:val="24"/>
                <w:szCs w:val="24"/>
              </w:rPr>
              <w:t xml:space="preserve">interest </w:t>
            </w:r>
            <w:r>
              <w:rPr>
                <w:sz w:val="24"/>
                <w:szCs w:val="24"/>
              </w:rPr>
              <w:t>on the net defined benefit liability</w:t>
            </w:r>
            <w:r w:rsidR="00B50B67">
              <w:rPr>
                <w:sz w:val="24"/>
                <w:szCs w:val="24"/>
              </w:rPr>
              <w:t>*</w:t>
            </w:r>
          </w:p>
        </w:tc>
        <w:tc>
          <w:tcPr>
            <w:tcW w:w="964" w:type="pct"/>
            <w:shd w:val="clear" w:color="auto" w:fill="FFFFFF" w:themeFill="background1"/>
          </w:tcPr>
          <w:p w:rsidR="00A64CC3" w:rsidRPr="002F17B5" w:rsidRDefault="00A64CC3" w:rsidP="00A64CC3">
            <w:pPr>
              <w:pStyle w:val="TableTextRight"/>
              <w:ind w:left="720" w:hanging="493"/>
              <w:rPr>
                <w:sz w:val="24"/>
                <w:szCs w:val="24"/>
              </w:rPr>
            </w:pPr>
            <w:r>
              <w:rPr>
                <w:sz w:val="24"/>
                <w:szCs w:val="24"/>
              </w:rPr>
              <w:t>44.8</w:t>
            </w:r>
          </w:p>
        </w:tc>
        <w:tc>
          <w:tcPr>
            <w:tcW w:w="849" w:type="pct"/>
            <w:shd w:val="clear" w:color="auto" w:fill="FFFFFF" w:themeFill="background1"/>
          </w:tcPr>
          <w:p w:rsidR="00A64CC3" w:rsidRPr="002F17B5" w:rsidRDefault="00A64CC3" w:rsidP="00A64CC3">
            <w:pPr>
              <w:pStyle w:val="TableTextRight"/>
              <w:ind w:left="720" w:hanging="493"/>
              <w:rPr>
                <w:sz w:val="24"/>
                <w:szCs w:val="24"/>
              </w:rPr>
            </w:pPr>
            <w:r w:rsidRPr="002F17B5">
              <w:rPr>
                <w:sz w:val="24"/>
                <w:szCs w:val="24"/>
              </w:rPr>
              <w:t>31.5</w:t>
            </w:r>
          </w:p>
        </w:tc>
      </w:tr>
      <w:tr w:rsidR="00A64CC3" w:rsidRPr="002F17B5" w:rsidTr="00630928">
        <w:trPr>
          <w:trHeight w:val="258"/>
        </w:trPr>
        <w:tc>
          <w:tcPr>
            <w:tcW w:w="3187" w:type="pct"/>
            <w:gridSpan w:val="3"/>
            <w:shd w:val="clear" w:color="auto" w:fill="FFFFFF" w:themeFill="background1"/>
          </w:tcPr>
          <w:p w:rsidR="00A64CC3" w:rsidRPr="002F17B5" w:rsidRDefault="00A64CC3" w:rsidP="00A64CC3">
            <w:pPr>
              <w:pStyle w:val="TableDataLeft"/>
              <w:ind w:left="720" w:hanging="493"/>
              <w:rPr>
                <w:sz w:val="24"/>
                <w:szCs w:val="24"/>
              </w:rPr>
            </w:pPr>
            <w:r w:rsidRPr="002F17B5">
              <w:rPr>
                <w:sz w:val="24"/>
                <w:szCs w:val="24"/>
              </w:rPr>
              <w:t xml:space="preserve">Interest receivable and similar income </w:t>
            </w:r>
          </w:p>
        </w:tc>
        <w:tc>
          <w:tcPr>
            <w:tcW w:w="964" w:type="pct"/>
            <w:shd w:val="clear" w:color="auto" w:fill="FFFFFF" w:themeFill="background1"/>
          </w:tcPr>
          <w:p w:rsidR="00A64CC3" w:rsidRPr="002F17B5" w:rsidRDefault="00A64CC3" w:rsidP="00A64CC3">
            <w:pPr>
              <w:pStyle w:val="TableTextRight"/>
              <w:ind w:left="550" w:hanging="493"/>
              <w:rPr>
                <w:sz w:val="24"/>
                <w:szCs w:val="24"/>
              </w:rPr>
            </w:pPr>
            <w:r w:rsidRPr="002F17B5">
              <w:rPr>
                <w:sz w:val="24"/>
                <w:szCs w:val="24"/>
              </w:rPr>
              <w:t xml:space="preserve">  (19.5)</w:t>
            </w:r>
          </w:p>
        </w:tc>
        <w:tc>
          <w:tcPr>
            <w:tcW w:w="849" w:type="pct"/>
            <w:shd w:val="clear" w:color="auto" w:fill="FFFFFF" w:themeFill="background1"/>
          </w:tcPr>
          <w:p w:rsidR="00A64CC3" w:rsidRPr="002F17B5" w:rsidRDefault="00A64CC3" w:rsidP="00A64CC3">
            <w:pPr>
              <w:pStyle w:val="TableTextRight"/>
              <w:ind w:left="720" w:hanging="493"/>
              <w:rPr>
                <w:sz w:val="24"/>
                <w:szCs w:val="24"/>
              </w:rPr>
            </w:pPr>
            <w:r w:rsidRPr="002F17B5">
              <w:rPr>
                <w:sz w:val="24"/>
                <w:szCs w:val="24"/>
              </w:rPr>
              <w:t>(28.2)</w:t>
            </w:r>
          </w:p>
        </w:tc>
      </w:tr>
      <w:tr w:rsidR="00A64CC3" w:rsidRPr="002F17B5" w:rsidTr="00630928">
        <w:trPr>
          <w:trHeight w:val="258"/>
        </w:trPr>
        <w:tc>
          <w:tcPr>
            <w:tcW w:w="3187" w:type="pct"/>
            <w:gridSpan w:val="3"/>
            <w:shd w:val="clear" w:color="auto" w:fill="FFFFFF" w:themeFill="background1"/>
            <w:hideMark/>
          </w:tcPr>
          <w:p w:rsidR="00A64CC3" w:rsidRPr="002F17B5" w:rsidRDefault="00A64CC3" w:rsidP="00A64CC3">
            <w:pPr>
              <w:pStyle w:val="TableDataLeft"/>
              <w:ind w:left="720" w:hanging="493"/>
              <w:rPr>
                <w:sz w:val="24"/>
                <w:szCs w:val="24"/>
              </w:rPr>
            </w:pPr>
            <w:r w:rsidRPr="002F17B5">
              <w:rPr>
                <w:sz w:val="24"/>
                <w:szCs w:val="24"/>
              </w:rPr>
              <w:t>Changes in fair value of investment properties</w:t>
            </w:r>
          </w:p>
        </w:tc>
        <w:tc>
          <w:tcPr>
            <w:tcW w:w="964" w:type="pct"/>
            <w:shd w:val="clear" w:color="auto" w:fill="FFFFFF" w:themeFill="background1"/>
          </w:tcPr>
          <w:p w:rsidR="00A64CC3" w:rsidRPr="002F17B5" w:rsidRDefault="00A64CC3" w:rsidP="00A64CC3">
            <w:pPr>
              <w:pStyle w:val="TableTextRight"/>
              <w:ind w:left="550" w:hanging="493"/>
              <w:rPr>
                <w:sz w:val="24"/>
                <w:szCs w:val="24"/>
              </w:rPr>
            </w:pPr>
            <w:r w:rsidRPr="002F17B5">
              <w:rPr>
                <w:sz w:val="24"/>
                <w:szCs w:val="24"/>
              </w:rPr>
              <w:t>1.5</w:t>
            </w:r>
          </w:p>
        </w:tc>
        <w:tc>
          <w:tcPr>
            <w:tcW w:w="849" w:type="pct"/>
            <w:shd w:val="clear" w:color="auto" w:fill="FFFFFF" w:themeFill="background1"/>
          </w:tcPr>
          <w:p w:rsidR="00A64CC3" w:rsidRPr="002F17B5" w:rsidRDefault="00A64CC3" w:rsidP="00A64CC3">
            <w:pPr>
              <w:pStyle w:val="TableTextRight"/>
              <w:ind w:left="720" w:hanging="493"/>
              <w:rPr>
                <w:sz w:val="24"/>
                <w:szCs w:val="24"/>
              </w:rPr>
            </w:pPr>
            <w:r w:rsidRPr="002F17B5">
              <w:rPr>
                <w:sz w:val="24"/>
                <w:szCs w:val="24"/>
              </w:rPr>
              <w:t>0.2</w:t>
            </w:r>
          </w:p>
        </w:tc>
      </w:tr>
      <w:tr w:rsidR="00A64CC3" w:rsidRPr="002F17B5" w:rsidTr="00630928">
        <w:trPr>
          <w:trHeight w:val="377"/>
        </w:trPr>
        <w:tc>
          <w:tcPr>
            <w:tcW w:w="3187" w:type="pct"/>
            <w:gridSpan w:val="3"/>
            <w:shd w:val="clear" w:color="auto" w:fill="FFFFFF" w:themeFill="background1"/>
            <w:noWrap/>
            <w:hideMark/>
          </w:tcPr>
          <w:p w:rsidR="00A64CC3" w:rsidRDefault="00A64CC3" w:rsidP="00A64CC3">
            <w:pPr>
              <w:pStyle w:val="TableDataLeft"/>
              <w:ind w:left="720" w:hanging="493"/>
              <w:rPr>
                <w:sz w:val="24"/>
                <w:szCs w:val="24"/>
              </w:rPr>
            </w:pPr>
            <w:r w:rsidRPr="002F17B5">
              <w:rPr>
                <w:sz w:val="24"/>
                <w:szCs w:val="24"/>
              </w:rPr>
              <w:t>Gain/loss on trad</w:t>
            </w:r>
            <w:r>
              <w:rPr>
                <w:sz w:val="24"/>
                <w:szCs w:val="24"/>
              </w:rPr>
              <w:t xml:space="preserve">ing accounts </w:t>
            </w:r>
          </w:p>
          <w:p w:rsidR="00A64CC3" w:rsidRPr="002F17B5" w:rsidRDefault="00A64CC3" w:rsidP="00A64CC3">
            <w:pPr>
              <w:pStyle w:val="TableDataLeft"/>
              <w:ind w:left="720" w:hanging="493"/>
              <w:rPr>
                <w:sz w:val="24"/>
                <w:szCs w:val="24"/>
              </w:rPr>
            </w:pPr>
            <w:r>
              <w:rPr>
                <w:sz w:val="24"/>
                <w:szCs w:val="24"/>
              </w:rPr>
              <w:t xml:space="preserve">(not applicable to </w:t>
            </w:r>
            <w:r w:rsidRPr="002F17B5">
              <w:rPr>
                <w:sz w:val="24"/>
                <w:szCs w:val="24"/>
              </w:rPr>
              <w:t>services)</w:t>
            </w:r>
          </w:p>
        </w:tc>
        <w:tc>
          <w:tcPr>
            <w:tcW w:w="964" w:type="pct"/>
            <w:tcBorders>
              <w:bottom w:val="single" w:sz="4" w:space="0" w:color="auto"/>
            </w:tcBorders>
            <w:shd w:val="clear" w:color="auto" w:fill="FFFFFF" w:themeFill="background1"/>
          </w:tcPr>
          <w:p w:rsidR="00A64CC3" w:rsidRPr="002F17B5" w:rsidRDefault="00A64CC3" w:rsidP="00A64CC3">
            <w:pPr>
              <w:pStyle w:val="TableTextRight"/>
              <w:ind w:left="720" w:hanging="493"/>
              <w:rPr>
                <w:sz w:val="24"/>
                <w:szCs w:val="24"/>
              </w:rPr>
            </w:pPr>
            <w:r w:rsidRPr="002F17B5">
              <w:rPr>
                <w:sz w:val="24"/>
                <w:szCs w:val="24"/>
              </w:rPr>
              <w:t>0.1</w:t>
            </w:r>
          </w:p>
        </w:tc>
        <w:tc>
          <w:tcPr>
            <w:tcW w:w="849" w:type="pct"/>
            <w:tcBorders>
              <w:bottom w:val="single" w:sz="4" w:space="0" w:color="auto"/>
            </w:tcBorders>
            <w:shd w:val="clear" w:color="auto" w:fill="FFFFFF" w:themeFill="background1"/>
          </w:tcPr>
          <w:p w:rsidR="00A64CC3" w:rsidRPr="002F17B5" w:rsidRDefault="00A64CC3" w:rsidP="00A64CC3">
            <w:pPr>
              <w:pStyle w:val="TableTextRight"/>
              <w:ind w:left="720" w:hanging="493"/>
              <w:rPr>
                <w:sz w:val="24"/>
                <w:szCs w:val="24"/>
              </w:rPr>
            </w:pPr>
            <w:r w:rsidRPr="002F17B5">
              <w:rPr>
                <w:sz w:val="24"/>
                <w:szCs w:val="24"/>
              </w:rPr>
              <w:t>(0.5)</w:t>
            </w:r>
          </w:p>
        </w:tc>
      </w:tr>
      <w:tr w:rsidR="00A64CC3" w:rsidRPr="002F17B5" w:rsidTr="00630928">
        <w:trPr>
          <w:trHeight w:val="454"/>
        </w:trPr>
        <w:tc>
          <w:tcPr>
            <w:tcW w:w="1142" w:type="pct"/>
            <w:shd w:val="clear" w:color="auto" w:fill="FFFFFF" w:themeFill="background1"/>
            <w:noWrap/>
            <w:vAlign w:val="center"/>
            <w:hideMark/>
          </w:tcPr>
          <w:p w:rsidR="00A64CC3" w:rsidRPr="002F17B5" w:rsidRDefault="00A64CC3" w:rsidP="00A64CC3">
            <w:pPr>
              <w:pStyle w:val="TableDataLeft"/>
              <w:ind w:left="720" w:hanging="493"/>
              <w:rPr>
                <w:b/>
                <w:sz w:val="24"/>
                <w:szCs w:val="24"/>
              </w:rPr>
            </w:pPr>
            <w:r>
              <w:rPr>
                <w:b/>
                <w:sz w:val="24"/>
                <w:szCs w:val="24"/>
              </w:rPr>
              <w:t>Total</w:t>
            </w:r>
          </w:p>
        </w:tc>
        <w:tc>
          <w:tcPr>
            <w:tcW w:w="925" w:type="pct"/>
            <w:shd w:val="clear" w:color="auto" w:fill="FFFFFF" w:themeFill="background1"/>
            <w:noWrap/>
            <w:hideMark/>
          </w:tcPr>
          <w:p w:rsidR="00A64CC3" w:rsidRPr="002F17B5" w:rsidRDefault="00A64CC3" w:rsidP="00A64CC3">
            <w:pPr>
              <w:pStyle w:val="TableTextRight"/>
              <w:ind w:left="720" w:hanging="493"/>
              <w:rPr>
                <w:b/>
                <w:sz w:val="24"/>
                <w:szCs w:val="24"/>
              </w:rPr>
            </w:pPr>
          </w:p>
        </w:tc>
        <w:tc>
          <w:tcPr>
            <w:tcW w:w="1120" w:type="pct"/>
            <w:shd w:val="clear" w:color="auto" w:fill="FFFFFF" w:themeFill="background1"/>
            <w:noWrap/>
            <w:vAlign w:val="center"/>
            <w:hideMark/>
          </w:tcPr>
          <w:p w:rsidR="00A64CC3" w:rsidRPr="002F17B5" w:rsidRDefault="00A64CC3" w:rsidP="00A64CC3">
            <w:pPr>
              <w:pStyle w:val="TableTextRight"/>
              <w:ind w:left="720" w:hanging="493"/>
              <w:rPr>
                <w:b/>
                <w:sz w:val="24"/>
                <w:szCs w:val="24"/>
              </w:rPr>
            </w:pPr>
          </w:p>
        </w:tc>
        <w:tc>
          <w:tcPr>
            <w:tcW w:w="964" w:type="pct"/>
            <w:tcBorders>
              <w:top w:val="single" w:sz="4" w:space="0" w:color="auto"/>
              <w:bottom w:val="single" w:sz="4" w:space="0" w:color="auto"/>
            </w:tcBorders>
            <w:shd w:val="clear" w:color="auto" w:fill="FFFFFF" w:themeFill="background1"/>
            <w:vAlign w:val="center"/>
          </w:tcPr>
          <w:p w:rsidR="00A64CC3" w:rsidRPr="002F17B5" w:rsidRDefault="00A64CC3" w:rsidP="00A64CC3">
            <w:pPr>
              <w:pStyle w:val="TableTextRight"/>
              <w:ind w:left="720" w:hanging="493"/>
              <w:rPr>
                <w:b/>
                <w:sz w:val="24"/>
                <w:szCs w:val="24"/>
              </w:rPr>
            </w:pPr>
            <w:r w:rsidRPr="002F17B5">
              <w:rPr>
                <w:b/>
                <w:sz w:val="24"/>
                <w:szCs w:val="24"/>
              </w:rPr>
              <w:t>90.6</w:t>
            </w:r>
          </w:p>
        </w:tc>
        <w:tc>
          <w:tcPr>
            <w:tcW w:w="849" w:type="pct"/>
            <w:tcBorders>
              <w:top w:val="single" w:sz="4" w:space="0" w:color="auto"/>
              <w:bottom w:val="single" w:sz="4" w:space="0" w:color="auto"/>
            </w:tcBorders>
            <w:shd w:val="clear" w:color="auto" w:fill="FFFFFF" w:themeFill="background1"/>
            <w:vAlign w:val="center"/>
          </w:tcPr>
          <w:p w:rsidR="00A64CC3" w:rsidRPr="002F17B5" w:rsidRDefault="00A64CC3" w:rsidP="00A64CC3">
            <w:pPr>
              <w:pStyle w:val="TableTextRight"/>
              <w:ind w:left="720" w:right="34" w:hanging="493"/>
              <w:rPr>
                <w:b/>
                <w:sz w:val="24"/>
                <w:szCs w:val="24"/>
              </w:rPr>
            </w:pPr>
            <w:r w:rsidRPr="002F17B5">
              <w:rPr>
                <w:b/>
                <w:sz w:val="24"/>
                <w:szCs w:val="24"/>
              </w:rPr>
              <w:t>75.0</w:t>
            </w:r>
          </w:p>
        </w:tc>
      </w:tr>
    </w:tbl>
    <w:p w:rsidR="006425CB" w:rsidRPr="00B50B67" w:rsidRDefault="006425CB" w:rsidP="00630928">
      <w:pPr>
        <w:pStyle w:val="Heading3-numbered"/>
        <w:numPr>
          <w:ilvl w:val="0"/>
          <w:numId w:val="0"/>
        </w:numPr>
        <w:spacing w:after="80"/>
        <w:ind w:left="360" w:hanging="360"/>
        <w:rPr>
          <w:i w:val="0"/>
          <w:sz w:val="20"/>
          <w:szCs w:val="20"/>
        </w:rPr>
      </w:pPr>
    </w:p>
    <w:p w:rsidR="00B50B67" w:rsidRPr="00B50B67" w:rsidRDefault="00B50B67" w:rsidP="00B50B67">
      <w:pPr>
        <w:pStyle w:val="Heading3-numbered"/>
        <w:numPr>
          <w:ilvl w:val="0"/>
          <w:numId w:val="0"/>
        </w:numPr>
        <w:spacing w:after="80"/>
        <w:ind w:left="360" w:hanging="360"/>
        <w:rPr>
          <w:b w:val="0"/>
          <w:i w:val="0"/>
          <w:sz w:val="20"/>
          <w:szCs w:val="20"/>
        </w:rPr>
      </w:pPr>
      <w:r>
        <w:rPr>
          <w:b w:val="0"/>
          <w:i w:val="0"/>
          <w:sz w:val="20"/>
          <w:szCs w:val="20"/>
        </w:rPr>
        <w:t>*</w:t>
      </w:r>
      <w:r w:rsidRPr="00632A36">
        <w:rPr>
          <w:b w:val="0"/>
          <w:i w:val="0"/>
          <w:sz w:val="20"/>
          <w:szCs w:val="20"/>
        </w:rPr>
        <w:t xml:space="preserve">Comparatives relating to pension interest have been restated to reflect the changes to the </w:t>
      </w:r>
      <w:r w:rsidRPr="00632A36">
        <w:rPr>
          <w:b w:val="0"/>
          <w:i w:val="0"/>
          <w:iCs/>
          <w:sz w:val="20"/>
          <w:szCs w:val="20"/>
        </w:rPr>
        <w:t>IAS19 accounting standard</w:t>
      </w:r>
    </w:p>
    <w:p w:rsidR="008F0E55" w:rsidRPr="00630928" w:rsidRDefault="008F0E55" w:rsidP="00630928">
      <w:pPr>
        <w:pStyle w:val="Heading3-numbered"/>
        <w:numPr>
          <w:ilvl w:val="0"/>
          <w:numId w:val="0"/>
        </w:numPr>
        <w:spacing w:after="80"/>
        <w:ind w:left="360" w:hanging="360"/>
        <w:rPr>
          <w:i w:val="0"/>
          <w:sz w:val="24"/>
          <w:szCs w:val="24"/>
        </w:rPr>
      </w:pPr>
    </w:p>
    <w:p w:rsidR="00CB63EF" w:rsidRPr="002F17B5" w:rsidRDefault="005D3E0E" w:rsidP="006728BA">
      <w:pPr>
        <w:pStyle w:val="Heading3-numbered"/>
        <w:spacing w:after="80"/>
        <w:ind w:left="644" w:hanging="644"/>
        <w:rPr>
          <w:i w:val="0"/>
          <w:sz w:val="26"/>
        </w:rPr>
      </w:pPr>
      <w:r w:rsidRPr="002F17B5">
        <w:rPr>
          <w:i w:val="0"/>
          <w:sz w:val="26"/>
        </w:rPr>
        <w:t>Taxation and Non Specific Grants Income</w:t>
      </w:r>
    </w:p>
    <w:p w:rsidR="00132928" w:rsidRPr="002F17B5" w:rsidRDefault="008C017E" w:rsidP="00E373A4">
      <w:pPr>
        <w:pStyle w:val="Heading3-numbered"/>
        <w:numPr>
          <w:ilvl w:val="0"/>
          <w:numId w:val="0"/>
        </w:numPr>
        <w:spacing w:after="80"/>
        <w:ind w:left="113"/>
        <w:rPr>
          <w:b w:val="0"/>
          <w:i w:val="0"/>
          <w:sz w:val="24"/>
          <w:szCs w:val="24"/>
        </w:rPr>
      </w:pPr>
      <w:r w:rsidRPr="002F17B5">
        <w:rPr>
          <w:b w:val="0"/>
          <w:i w:val="0"/>
          <w:sz w:val="24"/>
          <w:szCs w:val="24"/>
        </w:rPr>
        <w:t xml:space="preserve">There have been significant changes to the local government finance system during 2013/14. These include the localisation of council tax and changes to the business rate system. </w:t>
      </w:r>
    </w:p>
    <w:p w:rsidR="00E95ED7" w:rsidRPr="002F17B5" w:rsidRDefault="00E95ED7" w:rsidP="00132928">
      <w:pPr>
        <w:pStyle w:val="Heading3-numbered"/>
        <w:numPr>
          <w:ilvl w:val="0"/>
          <w:numId w:val="0"/>
        </w:numPr>
        <w:spacing w:after="80"/>
        <w:ind w:left="360"/>
        <w:rPr>
          <w:b w:val="0"/>
          <w:i w:val="0"/>
          <w:sz w:val="2"/>
        </w:rPr>
      </w:pPr>
    </w:p>
    <w:tbl>
      <w:tblPr>
        <w:tblW w:w="4512" w:type="pct"/>
        <w:tblInd w:w="108" w:type="dxa"/>
        <w:tblLayout w:type="fixed"/>
        <w:tblLook w:val="04A0" w:firstRow="1" w:lastRow="0" w:firstColumn="1" w:lastColumn="0" w:noHBand="0" w:noVBand="1"/>
      </w:tblPr>
      <w:tblGrid>
        <w:gridCol w:w="6135"/>
        <w:gridCol w:w="1804"/>
        <w:gridCol w:w="1700"/>
      </w:tblGrid>
      <w:tr w:rsidR="00AE1475" w:rsidRPr="002F17B5" w:rsidTr="00E95ED7">
        <w:trPr>
          <w:trHeight w:val="315"/>
        </w:trPr>
        <w:tc>
          <w:tcPr>
            <w:tcW w:w="3182" w:type="pct"/>
            <w:shd w:val="clear" w:color="auto" w:fill="FFFFFF" w:themeFill="background1"/>
            <w:noWrap/>
            <w:vAlign w:val="bottom"/>
            <w:hideMark/>
          </w:tcPr>
          <w:p w:rsidR="00AE1475" w:rsidRPr="002F17B5" w:rsidRDefault="00AE1475" w:rsidP="00D0307D">
            <w:pPr>
              <w:pStyle w:val="TableHeadRight"/>
              <w:spacing w:after="20"/>
              <w:ind w:left="720" w:hanging="720"/>
              <w:rPr>
                <w:rFonts w:ascii="Calibri" w:hAnsi="Calibri" w:cs="Times New Roman"/>
                <w:sz w:val="23"/>
                <w:szCs w:val="23"/>
              </w:rPr>
            </w:pPr>
          </w:p>
        </w:tc>
        <w:tc>
          <w:tcPr>
            <w:tcW w:w="936" w:type="pct"/>
            <w:shd w:val="clear" w:color="auto" w:fill="FFFFFF" w:themeFill="background1"/>
            <w:vAlign w:val="bottom"/>
          </w:tcPr>
          <w:p w:rsidR="00AE1475" w:rsidRPr="002F17B5" w:rsidRDefault="00AE1475" w:rsidP="00D0307D">
            <w:pPr>
              <w:pStyle w:val="TableHeadRight"/>
              <w:spacing w:after="20"/>
              <w:ind w:left="720" w:hanging="720"/>
              <w:rPr>
                <w:bCs/>
                <w:sz w:val="23"/>
                <w:szCs w:val="23"/>
              </w:rPr>
            </w:pPr>
            <w:r w:rsidRPr="002F17B5">
              <w:rPr>
                <w:bCs/>
                <w:sz w:val="23"/>
                <w:szCs w:val="23"/>
              </w:rPr>
              <w:t xml:space="preserve">2013/14 </w:t>
            </w:r>
          </w:p>
          <w:p w:rsidR="00AE1475" w:rsidRPr="002F17B5" w:rsidRDefault="00AE1475" w:rsidP="00D0307D">
            <w:pPr>
              <w:pStyle w:val="TableHeadRight"/>
              <w:spacing w:after="20"/>
              <w:ind w:left="720" w:hanging="720"/>
              <w:rPr>
                <w:bCs/>
                <w:sz w:val="23"/>
                <w:szCs w:val="23"/>
              </w:rPr>
            </w:pPr>
            <w:r w:rsidRPr="002F17B5">
              <w:rPr>
                <w:bCs/>
                <w:sz w:val="23"/>
                <w:szCs w:val="23"/>
              </w:rPr>
              <w:t>£m</w:t>
            </w:r>
          </w:p>
        </w:tc>
        <w:tc>
          <w:tcPr>
            <w:tcW w:w="882" w:type="pct"/>
            <w:shd w:val="clear" w:color="auto" w:fill="FFFFFF" w:themeFill="background1"/>
            <w:vAlign w:val="bottom"/>
          </w:tcPr>
          <w:p w:rsidR="00AE1475" w:rsidRPr="002F17B5" w:rsidRDefault="00AE1475" w:rsidP="00D0307D">
            <w:pPr>
              <w:pStyle w:val="TableHeadRight"/>
              <w:spacing w:after="20"/>
              <w:ind w:left="720" w:hanging="720"/>
              <w:rPr>
                <w:bCs/>
                <w:sz w:val="23"/>
                <w:szCs w:val="23"/>
              </w:rPr>
            </w:pPr>
            <w:r w:rsidRPr="002F17B5">
              <w:rPr>
                <w:bCs/>
                <w:sz w:val="23"/>
                <w:szCs w:val="23"/>
              </w:rPr>
              <w:t>2012/13</w:t>
            </w:r>
          </w:p>
          <w:p w:rsidR="00AE1475" w:rsidRPr="002F17B5" w:rsidRDefault="00AE1475" w:rsidP="00D0307D">
            <w:pPr>
              <w:pStyle w:val="TableHeadRight"/>
              <w:spacing w:after="20"/>
              <w:ind w:left="720" w:hanging="720"/>
              <w:rPr>
                <w:bCs/>
                <w:sz w:val="23"/>
                <w:szCs w:val="23"/>
              </w:rPr>
            </w:pPr>
            <w:r w:rsidRPr="002F17B5">
              <w:rPr>
                <w:bCs/>
                <w:sz w:val="23"/>
                <w:szCs w:val="23"/>
              </w:rPr>
              <w:t xml:space="preserve"> £m</w:t>
            </w:r>
          </w:p>
        </w:tc>
      </w:tr>
      <w:tr w:rsidR="000B4357" w:rsidRPr="002F17B5" w:rsidTr="00E95ED7">
        <w:trPr>
          <w:trHeight w:val="315"/>
        </w:trPr>
        <w:tc>
          <w:tcPr>
            <w:tcW w:w="3182" w:type="pct"/>
            <w:shd w:val="clear" w:color="auto" w:fill="FFFFFF" w:themeFill="background1"/>
            <w:noWrap/>
            <w:vAlign w:val="bottom"/>
            <w:hideMark/>
          </w:tcPr>
          <w:p w:rsidR="000B4357" w:rsidRPr="002F17B5" w:rsidRDefault="000B4357" w:rsidP="00D0307D">
            <w:pPr>
              <w:pStyle w:val="TableDataLeft"/>
              <w:ind w:left="720" w:hanging="720"/>
              <w:rPr>
                <w:sz w:val="23"/>
                <w:szCs w:val="23"/>
              </w:rPr>
            </w:pPr>
            <w:r w:rsidRPr="002F17B5">
              <w:rPr>
                <w:sz w:val="23"/>
                <w:szCs w:val="23"/>
              </w:rPr>
              <w:t>Council Tax Income</w:t>
            </w:r>
          </w:p>
        </w:tc>
        <w:tc>
          <w:tcPr>
            <w:tcW w:w="936" w:type="pct"/>
            <w:shd w:val="clear" w:color="auto" w:fill="FFFFFF" w:themeFill="background1"/>
          </w:tcPr>
          <w:p w:rsidR="000B4357" w:rsidRPr="002F17B5" w:rsidRDefault="00020689" w:rsidP="00D0307D">
            <w:pPr>
              <w:pStyle w:val="TableTextRight"/>
              <w:ind w:left="720" w:hanging="720"/>
              <w:rPr>
                <w:sz w:val="23"/>
                <w:szCs w:val="23"/>
              </w:rPr>
            </w:pPr>
            <w:r w:rsidRPr="002F17B5">
              <w:rPr>
                <w:sz w:val="23"/>
                <w:szCs w:val="23"/>
              </w:rPr>
              <w:t>364.4</w:t>
            </w:r>
          </w:p>
        </w:tc>
        <w:tc>
          <w:tcPr>
            <w:tcW w:w="882" w:type="pct"/>
            <w:shd w:val="clear" w:color="auto" w:fill="FFFFFF" w:themeFill="background1"/>
          </w:tcPr>
          <w:p w:rsidR="000B4357" w:rsidRPr="002F17B5" w:rsidRDefault="000B4357" w:rsidP="00D0307D">
            <w:pPr>
              <w:pStyle w:val="TableTextRight"/>
              <w:ind w:left="720" w:hanging="720"/>
              <w:rPr>
                <w:sz w:val="23"/>
                <w:szCs w:val="23"/>
              </w:rPr>
            </w:pPr>
            <w:r w:rsidRPr="002F17B5">
              <w:rPr>
                <w:sz w:val="23"/>
                <w:szCs w:val="23"/>
              </w:rPr>
              <w:t>424.7</w:t>
            </w:r>
          </w:p>
        </w:tc>
      </w:tr>
      <w:tr w:rsidR="000B4357" w:rsidRPr="002F17B5" w:rsidTr="00E95ED7">
        <w:trPr>
          <w:trHeight w:val="315"/>
        </w:trPr>
        <w:tc>
          <w:tcPr>
            <w:tcW w:w="3182" w:type="pct"/>
            <w:shd w:val="clear" w:color="auto" w:fill="FFFFFF" w:themeFill="background1"/>
            <w:vAlign w:val="bottom"/>
            <w:hideMark/>
          </w:tcPr>
          <w:p w:rsidR="000B4357" w:rsidRPr="002F17B5" w:rsidRDefault="000B4357" w:rsidP="00D0307D">
            <w:pPr>
              <w:pStyle w:val="TableDataLeft"/>
              <w:ind w:left="720" w:hanging="720"/>
              <w:rPr>
                <w:sz w:val="23"/>
                <w:szCs w:val="23"/>
              </w:rPr>
            </w:pPr>
            <w:r w:rsidRPr="002F17B5">
              <w:rPr>
                <w:sz w:val="23"/>
                <w:szCs w:val="23"/>
              </w:rPr>
              <w:t>Non Domestic Rates</w:t>
            </w:r>
          </w:p>
        </w:tc>
        <w:tc>
          <w:tcPr>
            <w:tcW w:w="936" w:type="pct"/>
            <w:shd w:val="clear" w:color="auto" w:fill="FFFFFF" w:themeFill="background1"/>
          </w:tcPr>
          <w:p w:rsidR="000B4357" w:rsidRPr="002F17B5" w:rsidRDefault="00020689" w:rsidP="00D0307D">
            <w:pPr>
              <w:pStyle w:val="TableTextRight"/>
              <w:ind w:left="720" w:hanging="720"/>
              <w:rPr>
                <w:sz w:val="23"/>
                <w:szCs w:val="23"/>
              </w:rPr>
            </w:pPr>
            <w:r w:rsidRPr="002F17B5">
              <w:rPr>
                <w:sz w:val="23"/>
                <w:szCs w:val="23"/>
              </w:rPr>
              <w:t>165.5</w:t>
            </w:r>
          </w:p>
        </w:tc>
        <w:tc>
          <w:tcPr>
            <w:tcW w:w="882" w:type="pct"/>
            <w:shd w:val="clear" w:color="auto" w:fill="FFFFFF" w:themeFill="background1"/>
          </w:tcPr>
          <w:p w:rsidR="000B4357" w:rsidRPr="002F17B5" w:rsidRDefault="000B4357" w:rsidP="00D0307D">
            <w:pPr>
              <w:pStyle w:val="TableTextRight"/>
              <w:ind w:left="720" w:hanging="720"/>
              <w:rPr>
                <w:sz w:val="23"/>
                <w:szCs w:val="23"/>
              </w:rPr>
            </w:pPr>
            <w:r w:rsidRPr="002F17B5">
              <w:rPr>
                <w:sz w:val="23"/>
                <w:szCs w:val="23"/>
              </w:rPr>
              <w:t>310.9</w:t>
            </w:r>
          </w:p>
        </w:tc>
      </w:tr>
      <w:tr w:rsidR="000B4357" w:rsidRPr="002F17B5" w:rsidTr="00E95ED7">
        <w:trPr>
          <w:trHeight w:val="315"/>
        </w:trPr>
        <w:tc>
          <w:tcPr>
            <w:tcW w:w="3182" w:type="pct"/>
            <w:shd w:val="clear" w:color="auto" w:fill="FFFFFF" w:themeFill="background1"/>
            <w:noWrap/>
            <w:vAlign w:val="bottom"/>
            <w:hideMark/>
          </w:tcPr>
          <w:p w:rsidR="000B4357" w:rsidRPr="002F17B5" w:rsidRDefault="000B4357" w:rsidP="00D0307D">
            <w:pPr>
              <w:pStyle w:val="TableDataLeft"/>
              <w:ind w:left="720" w:hanging="720"/>
              <w:rPr>
                <w:sz w:val="23"/>
                <w:szCs w:val="23"/>
              </w:rPr>
            </w:pPr>
            <w:r w:rsidRPr="002F17B5">
              <w:rPr>
                <w:sz w:val="23"/>
                <w:szCs w:val="23"/>
              </w:rPr>
              <w:t>Revenue Support Grant</w:t>
            </w:r>
          </w:p>
        </w:tc>
        <w:tc>
          <w:tcPr>
            <w:tcW w:w="936" w:type="pct"/>
            <w:shd w:val="clear" w:color="auto" w:fill="FFFFFF" w:themeFill="background1"/>
          </w:tcPr>
          <w:p w:rsidR="000B4357" w:rsidRPr="002F17B5" w:rsidRDefault="00020689" w:rsidP="00D0307D">
            <w:pPr>
              <w:pStyle w:val="TableTextRight"/>
              <w:ind w:left="720" w:hanging="720"/>
              <w:rPr>
                <w:sz w:val="23"/>
                <w:szCs w:val="23"/>
              </w:rPr>
            </w:pPr>
            <w:r w:rsidRPr="002F17B5">
              <w:rPr>
                <w:sz w:val="23"/>
                <w:szCs w:val="23"/>
              </w:rPr>
              <w:t>256.9</w:t>
            </w:r>
          </w:p>
        </w:tc>
        <w:tc>
          <w:tcPr>
            <w:tcW w:w="882" w:type="pct"/>
            <w:shd w:val="clear" w:color="auto" w:fill="FFFFFF" w:themeFill="background1"/>
          </w:tcPr>
          <w:p w:rsidR="000B4357" w:rsidRPr="002F17B5" w:rsidRDefault="000B4357" w:rsidP="00D0307D">
            <w:pPr>
              <w:pStyle w:val="TableTextRight"/>
              <w:ind w:left="720" w:hanging="720"/>
              <w:rPr>
                <w:sz w:val="23"/>
                <w:szCs w:val="23"/>
              </w:rPr>
            </w:pPr>
            <w:r w:rsidRPr="002F17B5">
              <w:rPr>
                <w:sz w:val="23"/>
                <w:szCs w:val="23"/>
              </w:rPr>
              <w:t>7.0</w:t>
            </w:r>
          </w:p>
        </w:tc>
      </w:tr>
      <w:tr w:rsidR="000B4357" w:rsidRPr="002F17B5" w:rsidTr="00E95ED7">
        <w:trPr>
          <w:trHeight w:val="315"/>
        </w:trPr>
        <w:tc>
          <w:tcPr>
            <w:tcW w:w="3182" w:type="pct"/>
            <w:shd w:val="clear" w:color="auto" w:fill="FFFFFF" w:themeFill="background1"/>
            <w:noWrap/>
            <w:vAlign w:val="bottom"/>
            <w:hideMark/>
          </w:tcPr>
          <w:p w:rsidR="000B4357" w:rsidRPr="002F17B5" w:rsidRDefault="000B4357" w:rsidP="00D0307D">
            <w:pPr>
              <w:pStyle w:val="TableDataLeft"/>
              <w:ind w:left="720" w:hanging="720"/>
              <w:rPr>
                <w:sz w:val="23"/>
                <w:szCs w:val="23"/>
              </w:rPr>
            </w:pPr>
            <w:r w:rsidRPr="002F17B5">
              <w:rPr>
                <w:sz w:val="23"/>
                <w:szCs w:val="23"/>
              </w:rPr>
              <w:t>Early Intervention Grant</w:t>
            </w:r>
          </w:p>
        </w:tc>
        <w:tc>
          <w:tcPr>
            <w:tcW w:w="936" w:type="pct"/>
            <w:shd w:val="clear" w:color="auto" w:fill="FFFFFF" w:themeFill="background1"/>
          </w:tcPr>
          <w:p w:rsidR="000B4357" w:rsidRPr="002F17B5" w:rsidRDefault="00020689" w:rsidP="00D0307D">
            <w:pPr>
              <w:pStyle w:val="TableTextRight"/>
              <w:ind w:left="720" w:hanging="720"/>
              <w:rPr>
                <w:sz w:val="23"/>
                <w:szCs w:val="23"/>
              </w:rPr>
            </w:pPr>
            <w:r w:rsidRPr="002F17B5">
              <w:rPr>
                <w:sz w:val="23"/>
                <w:szCs w:val="23"/>
              </w:rPr>
              <w:t>-</w:t>
            </w:r>
          </w:p>
        </w:tc>
        <w:tc>
          <w:tcPr>
            <w:tcW w:w="882" w:type="pct"/>
            <w:shd w:val="clear" w:color="auto" w:fill="FFFFFF" w:themeFill="background1"/>
          </w:tcPr>
          <w:p w:rsidR="000B4357" w:rsidRPr="002F17B5" w:rsidRDefault="000B4357" w:rsidP="00D0307D">
            <w:pPr>
              <w:pStyle w:val="TableTextRight"/>
              <w:ind w:left="720" w:hanging="720"/>
              <w:rPr>
                <w:sz w:val="23"/>
                <w:szCs w:val="23"/>
              </w:rPr>
            </w:pPr>
            <w:r w:rsidRPr="002F17B5">
              <w:rPr>
                <w:sz w:val="23"/>
                <w:szCs w:val="23"/>
              </w:rPr>
              <w:t>49.6</w:t>
            </w:r>
          </w:p>
        </w:tc>
      </w:tr>
      <w:tr w:rsidR="00020689" w:rsidRPr="002F17B5" w:rsidTr="00E95ED7">
        <w:trPr>
          <w:trHeight w:val="315"/>
        </w:trPr>
        <w:tc>
          <w:tcPr>
            <w:tcW w:w="3182" w:type="pct"/>
            <w:shd w:val="clear" w:color="auto" w:fill="FFFFFF" w:themeFill="background1"/>
            <w:noWrap/>
            <w:vAlign w:val="bottom"/>
            <w:hideMark/>
          </w:tcPr>
          <w:p w:rsidR="00020689" w:rsidRPr="002F17B5" w:rsidRDefault="00020689" w:rsidP="00D0307D">
            <w:pPr>
              <w:pStyle w:val="TableDataLeft"/>
              <w:ind w:left="720" w:hanging="720"/>
              <w:rPr>
                <w:sz w:val="23"/>
                <w:szCs w:val="23"/>
              </w:rPr>
            </w:pPr>
            <w:r w:rsidRPr="002F17B5">
              <w:rPr>
                <w:sz w:val="23"/>
                <w:szCs w:val="23"/>
              </w:rPr>
              <w:t>Council Tax Freeze Grant</w:t>
            </w:r>
          </w:p>
        </w:tc>
        <w:tc>
          <w:tcPr>
            <w:tcW w:w="936" w:type="pct"/>
            <w:shd w:val="clear" w:color="auto" w:fill="FFFFFF" w:themeFill="background1"/>
          </w:tcPr>
          <w:p w:rsidR="00020689" w:rsidRPr="002F17B5" w:rsidRDefault="00020689" w:rsidP="00D0307D">
            <w:pPr>
              <w:pStyle w:val="TableTextRight"/>
              <w:ind w:left="720" w:hanging="720"/>
              <w:rPr>
                <w:sz w:val="23"/>
                <w:szCs w:val="23"/>
              </w:rPr>
            </w:pPr>
            <w:r w:rsidRPr="002F17B5">
              <w:rPr>
                <w:sz w:val="23"/>
                <w:szCs w:val="23"/>
              </w:rPr>
              <w:t>5.1</w:t>
            </w:r>
          </w:p>
        </w:tc>
        <w:tc>
          <w:tcPr>
            <w:tcW w:w="882" w:type="pct"/>
            <w:shd w:val="clear" w:color="auto" w:fill="FFFFFF" w:themeFill="background1"/>
          </w:tcPr>
          <w:p w:rsidR="00020689" w:rsidRPr="002F17B5" w:rsidRDefault="00020689" w:rsidP="00D0307D">
            <w:pPr>
              <w:pStyle w:val="TableTextRight"/>
              <w:ind w:left="720" w:hanging="720"/>
              <w:rPr>
                <w:sz w:val="23"/>
                <w:szCs w:val="23"/>
              </w:rPr>
            </w:pPr>
            <w:r w:rsidRPr="002F17B5">
              <w:rPr>
                <w:sz w:val="23"/>
                <w:szCs w:val="23"/>
              </w:rPr>
              <w:t>10.6</w:t>
            </w:r>
          </w:p>
        </w:tc>
      </w:tr>
      <w:tr w:rsidR="00020689" w:rsidRPr="002F17B5" w:rsidTr="00E95ED7">
        <w:trPr>
          <w:trHeight w:val="315"/>
        </w:trPr>
        <w:tc>
          <w:tcPr>
            <w:tcW w:w="3182" w:type="pct"/>
            <w:shd w:val="clear" w:color="auto" w:fill="FFFFFF" w:themeFill="background1"/>
            <w:noWrap/>
            <w:vAlign w:val="bottom"/>
            <w:hideMark/>
          </w:tcPr>
          <w:p w:rsidR="00020689" w:rsidRPr="002F17B5" w:rsidRDefault="00020689" w:rsidP="00D0307D">
            <w:pPr>
              <w:pStyle w:val="TableDataLeft"/>
              <w:ind w:left="720" w:hanging="720"/>
              <w:rPr>
                <w:sz w:val="23"/>
                <w:szCs w:val="23"/>
              </w:rPr>
            </w:pPr>
            <w:r w:rsidRPr="002F17B5">
              <w:rPr>
                <w:sz w:val="23"/>
                <w:szCs w:val="23"/>
              </w:rPr>
              <w:t>Recognised Capital Grants and Contributions</w:t>
            </w:r>
          </w:p>
        </w:tc>
        <w:tc>
          <w:tcPr>
            <w:tcW w:w="936" w:type="pct"/>
            <w:tcBorders>
              <w:bottom w:val="single" w:sz="4" w:space="0" w:color="auto"/>
            </w:tcBorders>
            <w:shd w:val="clear" w:color="auto" w:fill="FFFFFF" w:themeFill="background1"/>
          </w:tcPr>
          <w:p w:rsidR="00020689" w:rsidRPr="002F17B5" w:rsidRDefault="00020689" w:rsidP="00D0307D">
            <w:pPr>
              <w:pStyle w:val="TableTextRight"/>
              <w:ind w:left="720" w:hanging="720"/>
              <w:rPr>
                <w:sz w:val="23"/>
                <w:szCs w:val="23"/>
              </w:rPr>
            </w:pPr>
            <w:r w:rsidRPr="002F17B5">
              <w:rPr>
                <w:sz w:val="23"/>
                <w:szCs w:val="23"/>
              </w:rPr>
              <w:t>98.1</w:t>
            </w:r>
          </w:p>
        </w:tc>
        <w:tc>
          <w:tcPr>
            <w:tcW w:w="882" w:type="pct"/>
            <w:tcBorders>
              <w:bottom w:val="single" w:sz="4" w:space="0" w:color="auto"/>
            </w:tcBorders>
            <w:shd w:val="clear" w:color="auto" w:fill="FFFFFF" w:themeFill="background1"/>
          </w:tcPr>
          <w:p w:rsidR="00020689" w:rsidRPr="002F17B5" w:rsidRDefault="00020689" w:rsidP="00D0307D">
            <w:pPr>
              <w:pStyle w:val="TableTextRight"/>
              <w:ind w:left="720" w:hanging="720"/>
              <w:rPr>
                <w:sz w:val="23"/>
                <w:szCs w:val="23"/>
              </w:rPr>
            </w:pPr>
            <w:r w:rsidRPr="002F17B5">
              <w:rPr>
                <w:sz w:val="23"/>
                <w:szCs w:val="23"/>
              </w:rPr>
              <w:t>82.4</w:t>
            </w:r>
          </w:p>
        </w:tc>
      </w:tr>
      <w:tr w:rsidR="00020689" w:rsidRPr="002F17B5" w:rsidTr="006728BA">
        <w:trPr>
          <w:trHeight w:val="315"/>
        </w:trPr>
        <w:tc>
          <w:tcPr>
            <w:tcW w:w="3182" w:type="pct"/>
            <w:shd w:val="clear" w:color="auto" w:fill="FFFFFF" w:themeFill="background1"/>
            <w:noWrap/>
            <w:vAlign w:val="bottom"/>
            <w:hideMark/>
          </w:tcPr>
          <w:p w:rsidR="00020689" w:rsidRPr="002F17B5" w:rsidRDefault="00020689" w:rsidP="00D0307D">
            <w:pPr>
              <w:pStyle w:val="TableDataLeft"/>
              <w:spacing w:before="120"/>
              <w:ind w:left="720" w:hanging="720"/>
              <w:rPr>
                <w:b/>
                <w:sz w:val="23"/>
                <w:szCs w:val="23"/>
              </w:rPr>
            </w:pPr>
            <w:r w:rsidRPr="002F17B5">
              <w:rPr>
                <w:b/>
                <w:sz w:val="23"/>
                <w:szCs w:val="23"/>
              </w:rPr>
              <w:t>Total</w:t>
            </w:r>
          </w:p>
        </w:tc>
        <w:tc>
          <w:tcPr>
            <w:tcW w:w="936" w:type="pct"/>
            <w:tcBorders>
              <w:top w:val="single" w:sz="4" w:space="0" w:color="auto"/>
            </w:tcBorders>
            <w:shd w:val="clear" w:color="auto" w:fill="FFFFFF" w:themeFill="background1"/>
          </w:tcPr>
          <w:p w:rsidR="00020689" w:rsidRPr="002F17B5" w:rsidRDefault="00020689" w:rsidP="00D0307D">
            <w:pPr>
              <w:pStyle w:val="TableTextRight"/>
              <w:spacing w:before="120"/>
              <w:ind w:left="720" w:hanging="720"/>
              <w:rPr>
                <w:b/>
                <w:sz w:val="23"/>
                <w:szCs w:val="23"/>
              </w:rPr>
            </w:pPr>
            <w:r w:rsidRPr="002F17B5">
              <w:rPr>
                <w:b/>
                <w:sz w:val="23"/>
                <w:szCs w:val="23"/>
              </w:rPr>
              <w:t>890.0</w:t>
            </w:r>
          </w:p>
        </w:tc>
        <w:tc>
          <w:tcPr>
            <w:tcW w:w="882" w:type="pct"/>
            <w:tcBorders>
              <w:top w:val="single" w:sz="4" w:space="0" w:color="auto"/>
            </w:tcBorders>
            <w:shd w:val="clear" w:color="auto" w:fill="FFFFFF" w:themeFill="background1"/>
          </w:tcPr>
          <w:p w:rsidR="00020689" w:rsidRPr="002F17B5" w:rsidRDefault="00020689" w:rsidP="00D0307D">
            <w:pPr>
              <w:pStyle w:val="TableTextRight"/>
              <w:spacing w:before="120"/>
              <w:ind w:left="720" w:hanging="720"/>
              <w:rPr>
                <w:b/>
                <w:sz w:val="23"/>
                <w:szCs w:val="23"/>
              </w:rPr>
            </w:pPr>
            <w:r w:rsidRPr="002F17B5">
              <w:rPr>
                <w:b/>
                <w:sz w:val="23"/>
                <w:szCs w:val="23"/>
              </w:rPr>
              <w:t>885.2</w:t>
            </w:r>
          </w:p>
        </w:tc>
      </w:tr>
    </w:tbl>
    <w:p w:rsidR="00991D5C" w:rsidRPr="002F17B5" w:rsidRDefault="00A803D1" w:rsidP="00991D5C">
      <w:pPr>
        <w:pStyle w:val="Heading3-numbered"/>
        <w:ind w:hanging="644"/>
        <w:rPr>
          <w:i w:val="0"/>
          <w:color w:val="FF0000"/>
          <w:sz w:val="26"/>
        </w:rPr>
      </w:pPr>
      <w:r w:rsidRPr="002F17B5">
        <w:rPr>
          <w:i w:val="0"/>
          <w:sz w:val="26"/>
        </w:rPr>
        <w:lastRenderedPageBreak/>
        <w:t xml:space="preserve"> </w:t>
      </w:r>
      <w:r w:rsidR="00991D5C" w:rsidRPr="002F17B5">
        <w:rPr>
          <w:i w:val="0"/>
          <w:sz w:val="26"/>
        </w:rPr>
        <w:t xml:space="preserve">Amounts Reported for Resource Allocation Decisions </w:t>
      </w:r>
    </w:p>
    <w:p w:rsidR="00991D5C" w:rsidRPr="002F17B5" w:rsidRDefault="00991D5C" w:rsidP="00991D5C">
      <w:pPr>
        <w:rPr>
          <w:bCs/>
        </w:rPr>
      </w:pPr>
      <w:r w:rsidRPr="002F17B5">
        <w:rPr>
          <w:bCs/>
        </w:rPr>
        <w:t>The analysis of income and expenditure by service on the face of the Comprehensive Income and Expenditure Statement is that specified by</w:t>
      </w:r>
      <w:r w:rsidRPr="002F17B5">
        <w:t xml:space="preserve"> Service Reporting Code of Practice.</w:t>
      </w:r>
      <w:r w:rsidRPr="002F17B5">
        <w:rPr>
          <w:bCs/>
        </w:rPr>
        <w:t xml:space="preserve">  However, decisions about resource allocation are taken on the basis of budget reports analysed across directorates.  These reports are prepared on a different basis from the accounting policies used in the financial statements.</w:t>
      </w:r>
    </w:p>
    <w:p w:rsidR="00991D5C" w:rsidRPr="002F17B5" w:rsidRDefault="00991D5C" w:rsidP="00991D5C">
      <w:pPr>
        <w:rPr>
          <w:bCs/>
          <w:sz w:val="6"/>
        </w:rPr>
      </w:pPr>
    </w:p>
    <w:p w:rsidR="00991D5C" w:rsidRPr="002F17B5" w:rsidRDefault="00991D5C" w:rsidP="00991D5C">
      <w:pPr>
        <w:pStyle w:val="BodyText10"/>
      </w:pPr>
      <w:r w:rsidRPr="002F17B5">
        <w:t>The income and expenditure of the council's principal directorates recorded in the budget reports for the year is detailed in the table on the following page:</w:t>
      </w:r>
    </w:p>
    <w:tbl>
      <w:tblPr>
        <w:tblW w:w="10357" w:type="dxa"/>
        <w:jc w:val="center"/>
        <w:tblLayout w:type="fixed"/>
        <w:tblLook w:val="04A0" w:firstRow="1" w:lastRow="0" w:firstColumn="1" w:lastColumn="0" w:noHBand="0" w:noVBand="1"/>
      </w:tblPr>
      <w:tblGrid>
        <w:gridCol w:w="2594"/>
        <w:gridCol w:w="1560"/>
        <w:gridCol w:w="1525"/>
        <w:gridCol w:w="1701"/>
        <w:gridCol w:w="1701"/>
        <w:gridCol w:w="1276"/>
      </w:tblGrid>
      <w:tr w:rsidR="00991D5C" w:rsidRPr="002F17B5" w:rsidTr="005853E2">
        <w:trPr>
          <w:trHeight w:val="945"/>
          <w:jc w:val="center"/>
        </w:trPr>
        <w:tc>
          <w:tcPr>
            <w:tcW w:w="2594" w:type="dxa"/>
            <w:shd w:val="clear" w:color="auto" w:fill="FFFFFF" w:themeFill="background1"/>
            <w:noWrap/>
            <w:vAlign w:val="center"/>
            <w:hideMark/>
          </w:tcPr>
          <w:p w:rsidR="00991D5C" w:rsidRPr="002F17B5" w:rsidRDefault="00991D5C" w:rsidP="005853E2">
            <w:pPr>
              <w:jc w:val="left"/>
            </w:pPr>
            <w:r w:rsidRPr="002F17B5">
              <w:rPr>
                <w:b/>
                <w:bCs/>
                <w:u w:val="single"/>
              </w:rPr>
              <w:t>2013/14</w:t>
            </w:r>
          </w:p>
        </w:tc>
        <w:tc>
          <w:tcPr>
            <w:tcW w:w="1560" w:type="dxa"/>
            <w:shd w:val="clear" w:color="auto" w:fill="FFFFFF" w:themeFill="background1"/>
            <w:vAlign w:val="center"/>
          </w:tcPr>
          <w:p w:rsidR="00991D5C" w:rsidRPr="002F17B5" w:rsidRDefault="00A26824" w:rsidP="005853E2">
            <w:pPr>
              <w:jc w:val="right"/>
              <w:rPr>
                <w:b/>
                <w:bCs/>
              </w:rPr>
            </w:pPr>
            <w:r w:rsidRPr="002F17B5">
              <w:rPr>
                <w:b/>
                <w:bCs/>
              </w:rPr>
              <w:t>***</w:t>
            </w:r>
            <w:r w:rsidR="00240E9F" w:rsidRPr="002F17B5">
              <w:rPr>
                <w:b/>
                <w:bCs/>
              </w:rPr>
              <w:t>Adult, Social, Health &amp; Wellbeing</w:t>
            </w:r>
          </w:p>
        </w:tc>
        <w:tc>
          <w:tcPr>
            <w:tcW w:w="1525" w:type="dxa"/>
            <w:shd w:val="clear" w:color="auto" w:fill="FFFFFF" w:themeFill="background1"/>
            <w:vAlign w:val="center"/>
            <w:hideMark/>
          </w:tcPr>
          <w:p w:rsidR="00991D5C" w:rsidRPr="002F17B5" w:rsidRDefault="00991D5C" w:rsidP="005853E2">
            <w:pPr>
              <w:jc w:val="right"/>
              <w:rPr>
                <w:b/>
                <w:bCs/>
              </w:rPr>
            </w:pPr>
            <w:r w:rsidRPr="002F17B5">
              <w:rPr>
                <w:b/>
                <w:bCs/>
              </w:rPr>
              <w:t>Children &amp; Young People</w:t>
            </w:r>
          </w:p>
        </w:tc>
        <w:tc>
          <w:tcPr>
            <w:tcW w:w="1701" w:type="dxa"/>
            <w:shd w:val="clear" w:color="auto" w:fill="FFFFFF" w:themeFill="background1"/>
            <w:vAlign w:val="center"/>
            <w:hideMark/>
          </w:tcPr>
          <w:p w:rsidR="00991D5C" w:rsidRPr="002F17B5" w:rsidRDefault="00991D5C" w:rsidP="005853E2">
            <w:pPr>
              <w:jc w:val="right"/>
              <w:rPr>
                <w:b/>
                <w:bCs/>
              </w:rPr>
            </w:pPr>
            <w:r w:rsidRPr="002F17B5">
              <w:rPr>
                <w:b/>
                <w:bCs/>
              </w:rPr>
              <w:t xml:space="preserve">Environment </w:t>
            </w:r>
          </w:p>
        </w:tc>
        <w:tc>
          <w:tcPr>
            <w:tcW w:w="1701" w:type="dxa"/>
            <w:shd w:val="clear" w:color="auto" w:fill="FFFFFF" w:themeFill="background1"/>
            <w:vAlign w:val="center"/>
            <w:hideMark/>
          </w:tcPr>
          <w:p w:rsidR="00991D5C" w:rsidRPr="002F17B5" w:rsidRDefault="00991D5C" w:rsidP="005853E2">
            <w:pPr>
              <w:jc w:val="right"/>
              <w:rPr>
                <w:b/>
                <w:bCs/>
              </w:rPr>
            </w:pPr>
            <w:r w:rsidRPr="002F17B5">
              <w:rPr>
                <w:b/>
                <w:bCs/>
              </w:rPr>
              <w:t>Other Directorates</w:t>
            </w:r>
          </w:p>
        </w:tc>
        <w:tc>
          <w:tcPr>
            <w:tcW w:w="1276" w:type="dxa"/>
            <w:shd w:val="clear" w:color="auto" w:fill="FFFFFF" w:themeFill="background1"/>
            <w:vAlign w:val="center"/>
            <w:hideMark/>
          </w:tcPr>
          <w:p w:rsidR="00991D5C" w:rsidRPr="002F17B5" w:rsidRDefault="00991D5C" w:rsidP="005853E2">
            <w:pPr>
              <w:jc w:val="right"/>
              <w:rPr>
                <w:b/>
                <w:bCs/>
              </w:rPr>
            </w:pPr>
            <w:r w:rsidRPr="002F17B5">
              <w:rPr>
                <w:b/>
                <w:bCs/>
              </w:rPr>
              <w:t>Total</w:t>
            </w:r>
          </w:p>
        </w:tc>
      </w:tr>
      <w:tr w:rsidR="00991D5C" w:rsidRPr="002F17B5" w:rsidTr="005853E2">
        <w:trPr>
          <w:trHeight w:val="315"/>
          <w:jc w:val="center"/>
        </w:trPr>
        <w:tc>
          <w:tcPr>
            <w:tcW w:w="2594" w:type="dxa"/>
            <w:shd w:val="clear" w:color="auto" w:fill="FFFFFF" w:themeFill="background1"/>
            <w:noWrap/>
            <w:vAlign w:val="bottom"/>
            <w:hideMark/>
          </w:tcPr>
          <w:p w:rsidR="00991D5C" w:rsidRPr="002F17B5" w:rsidRDefault="00991D5C" w:rsidP="005853E2">
            <w:pPr>
              <w:rPr>
                <w:b/>
                <w:bCs/>
                <w:sz w:val="20"/>
                <w:u w:val="single"/>
              </w:rPr>
            </w:pPr>
          </w:p>
        </w:tc>
        <w:tc>
          <w:tcPr>
            <w:tcW w:w="1560" w:type="dxa"/>
            <w:shd w:val="clear" w:color="auto" w:fill="FFFFFF" w:themeFill="background1"/>
            <w:vAlign w:val="center"/>
          </w:tcPr>
          <w:p w:rsidR="00991D5C" w:rsidRPr="002F17B5" w:rsidRDefault="00991D5C" w:rsidP="005853E2">
            <w:pPr>
              <w:jc w:val="right"/>
              <w:rPr>
                <w:b/>
                <w:bCs/>
              </w:rPr>
            </w:pPr>
            <w:r w:rsidRPr="002F17B5">
              <w:rPr>
                <w:b/>
                <w:bCs/>
              </w:rPr>
              <w:t>£m</w:t>
            </w:r>
          </w:p>
        </w:tc>
        <w:tc>
          <w:tcPr>
            <w:tcW w:w="1525" w:type="dxa"/>
            <w:shd w:val="clear" w:color="auto" w:fill="FFFFFF" w:themeFill="background1"/>
            <w:noWrap/>
            <w:vAlign w:val="center"/>
            <w:hideMark/>
          </w:tcPr>
          <w:p w:rsidR="00991D5C" w:rsidRPr="002F17B5" w:rsidRDefault="00991D5C" w:rsidP="005853E2">
            <w:pPr>
              <w:jc w:val="right"/>
              <w:rPr>
                <w:b/>
                <w:bCs/>
              </w:rPr>
            </w:pPr>
            <w:r w:rsidRPr="002F17B5">
              <w:rPr>
                <w:b/>
                <w:bCs/>
              </w:rPr>
              <w:t>£m</w:t>
            </w:r>
          </w:p>
        </w:tc>
        <w:tc>
          <w:tcPr>
            <w:tcW w:w="1701" w:type="dxa"/>
            <w:shd w:val="clear" w:color="auto" w:fill="FFFFFF" w:themeFill="background1"/>
            <w:noWrap/>
            <w:vAlign w:val="center"/>
            <w:hideMark/>
          </w:tcPr>
          <w:p w:rsidR="00991D5C" w:rsidRPr="002F17B5" w:rsidRDefault="00991D5C" w:rsidP="005853E2">
            <w:pPr>
              <w:jc w:val="right"/>
              <w:rPr>
                <w:b/>
                <w:bCs/>
              </w:rPr>
            </w:pPr>
            <w:r w:rsidRPr="002F17B5">
              <w:rPr>
                <w:b/>
                <w:bCs/>
              </w:rPr>
              <w:t>£m</w:t>
            </w:r>
          </w:p>
        </w:tc>
        <w:tc>
          <w:tcPr>
            <w:tcW w:w="1701" w:type="dxa"/>
            <w:shd w:val="clear" w:color="auto" w:fill="FFFFFF" w:themeFill="background1"/>
            <w:noWrap/>
            <w:vAlign w:val="center"/>
            <w:hideMark/>
          </w:tcPr>
          <w:p w:rsidR="00991D5C" w:rsidRPr="002F17B5" w:rsidRDefault="00991D5C" w:rsidP="005853E2">
            <w:pPr>
              <w:jc w:val="right"/>
              <w:rPr>
                <w:b/>
                <w:bCs/>
              </w:rPr>
            </w:pPr>
            <w:r w:rsidRPr="002F17B5">
              <w:rPr>
                <w:b/>
                <w:bCs/>
              </w:rPr>
              <w:t>£m</w:t>
            </w:r>
          </w:p>
        </w:tc>
        <w:tc>
          <w:tcPr>
            <w:tcW w:w="1276" w:type="dxa"/>
            <w:shd w:val="clear" w:color="auto" w:fill="FFFFFF" w:themeFill="background1"/>
            <w:noWrap/>
            <w:vAlign w:val="bottom"/>
            <w:hideMark/>
          </w:tcPr>
          <w:p w:rsidR="00991D5C" w:rsidRPr="002F17B5" w:rsidRDefault="00991D5C" w:rsidP="005853E2">
            <w:pPr>
              <w:jc w:val="right"/>
              <w:rPr>
                <w:sz w:val="22"/>
                <w:szCs w:val="22"/>
              </w:rPr>
            </w:pPr>
            <w:r w:rsidRPr="002F17B5">
              <w:rPr>
                <w:b/>
                <w:bCs/>
              </w:rPr>
              <w:t>£m</w:t>
            </w:r>
          </w:p>
        </w:tc>
      </w:tr>
      <w:tr w:rsidR="00991D5C" w:rsidRPr="002F17B5" w:rsidTr="00E95ED7">
        <w:trPr>
          <w:trHeight w:val="610"/>
          <w:jc w:val="center"/>
        </w:trPr>
        <w:tc>
          <w:tcPr>
            <w:tcW w:w="2594" w:type="dxa"/>
            <w:shd w:val="clear" w:color="auto" w:fill="FFFFFF" w:themeFill="background1"/>
            <w:noWrap/>
            <w:vAlign w:val="bottom"/>
            <w:hideMark/>
          </w:tcPr>
          <w:p w:rsidR="00991D5C" w:rsidRPr="002F17B5" w:rsidRDefault="00991D5C" w:rsidP="005853E2">
            <w:pPr>
              <w:jc w:val="left"/>
            </w:pPr>
            <w:r w:rsidRPr="002F17B5">
              <w:t>Fees, charges &amp; other service income</w:t>
            </w:r>
          </w:p>
        </w:tc>
        <w:tc>
          <w:tcPr>
            <w:tcW w:w="1560" w:type="dxa"/>
            <w:shd w:val="clear" w:color="auto" w:fill="FFFFFF" w:themeFill="background1"/>
            <w:vAlign w:val="bottom"/>
          </w:tcPr>
          <w:p w:rsidR="00991D5C" w:rsidRPr="002F17B5" w:rsidRDefault="00991D5C" w:rsidP="001C1AA2">
            <w:pPr>
              <w:jc w:val="right"/>
              <w:rPr>
                <w:rFonts w:cs="Arial"/>
              </w:rPr>
            </w:pPr>
            <w:r w:rsidRPr="002F17B5">
              <w:rPr>
                <w:rFonts w:cs="Arial"/>
              </w:rPr>
              <w:t>83.8</w:t>
            </w:r>
          </w:p>
        </w:tc>
        <w:tc>
          <w:tcPr>
            <w:tcW w:w="1525" w:type="dxa"/>
            <w:shd w:val="clear" w:color="auto" w:fill="FFFFFF" w:themeFill="background1"/>
            <w:noWrap/>
            <w:vAlign w:val="bottom"/>
            <w:hideMark/>
          </w:tcPr>
          <w:p w:rsidR="00991D5C" w:rsidRPr="002F17B5" w:rsidRDefault="00991D5C" w:rsidP="001D73DF">
            <w:pPr>
              <w:jc w:val="right"/>
              <w:rPr>
                <w:rFonts w:cs="Arial"/>
              </w:rPr>
            </w:pPr>
            <w:r w:rsidRPr="002F17B5">
              <w:rPr>
                <w:rFonts w:cs="Arial"/>
              </w:rPr>
              <w:t>6</w:t>
            </w:r>
            <w:r w:rsidR="00F627DD">
              <w:rPr>
                <w:rFonts w:cs="Arial"/>
              </w:rPr>
              <w:t>2.1</w:t>
            </w:r>
          </w:p>
        </w:tc>
        <w:tc>
          <w:tcPr>
            <w:tcW w:w="1701" w:type="dxa"/>
            <w:shd w:val="clear" w:color="auto" w:fill="FFFFFF" w:themeFill="background1"/>
            <w:noWrap/>
            <w:vAlign w:val="bottom"/>
            <w:hideMark/>
          </w:tcPr>
          <w:p w:rsidR="001D73DF" w:rsidRPr="002F17B5" w:rsidRDefault="00991D5C">
            <w:pPr>
              <w:jc w:val="right"/>
              <w:rPr>
                <w:rFonts w:cs="Arial"/>
              </w:rPr>
            </w:pPr>
            <w:r w:rsidRPr="002F17B5">
              <w:rPr>
                <w:rFonts w:cs="Arial"/>
              </w:rPr>
              <w:t>56.9</w:t>
            </w:r>
          </w:p>
        </w:tc>
        <w:tc>
          <w:tcPr>
            <w:tcW w:w="1701" w:type="dxa"/>
            <w:shd w:val="clear" w:color="auto" w:fill="FFFFFF" w:themeFill="background1"/>
            <w:noWrap/>
            <w:vAlign w:val="bottom"/>
            <w:hideMark/>
          </w:tcPr>
          <w:p w:rsidR="001D73DF" w:rsidRPr="002F17B5" w:rsidRDefault="00991D5C">
            <w:pPr>
              <w:jc w:val="right"/>
              <w:rPr>
                <w:rFonts w:cs="Arial"/>
              </w:rPr>
            </w:pPr>
            <w:r w:rsidRPr="002F17B5">
              <w:rPr>
                <w:rFonts w:cs="Arial"/>
              </w:rPr>
              <w:t>90.5</w:t>
            </w:r>
          </w:p>
        </w:tc>
        <w:tc>
          <w:tcPr>
            <w:tcW w:w="1276" w:type="dxa"/>
            <w:shd w:val="clear" w:color="auto" w:fill="FFFFFF" w:themeFill="background1"/>
            <w:noWrap/>
            <w:vAlign w:val="bottom"/>
            <w:hideMark/>
          </w:tcPr>
          <w:p w:rsidR="001D73DF" w:rsidRPr="002F17B5" w:rsidRDefault="00991D5C">
            <w:pPr>
              <w:jc w:val="right"/>
              <w:rPr>
                <w:rFonts w:cs="Arial"/>
              </w:rPr>
            </w:pPr>
            <w:r w:rsidRPr="002F17B5">
              <w:rPr>
                <w:rFonts w:cs="Arial"/>
              </w:rPr>
              <w:t>29</w:t>
            </w:r>
            <w:r w:rsidR="0062676D" w:rsidRPr="002F17B5">
              <w:rPr>
                <w:rFonts w:cs="Arial"/>
              </w:rPr>
              <w:t>3.</w:t>
            </w:r>
            <w:r w:rsidR="00F627DD">
              <w:rPr>
                <w:rFonts w:cs="Arial"/>
              </w:rPr>
              <w:t>3</w:t>
            </w:r>
          </w:p>
        </w:tc>
      </w:tr>
      <w:tr w:rsidR="00991D5C" w:rsidRPr="002F17B5" w:rsidTr="005853E2">
        <w:trPr>
          <w:trHeight w:val="315"/>
          <w:jc w:val="center"/>
        </w:trPr>
        <w:tc>
          <w:tcPr>
            <w:tcW w:w="2594" w:type="dxa"/>
            <w:shd w:val="clear" w:color="auto" w:fill="FFFFFF" w:themeFill="background1"/>
            <w:noWrap/>
            <w:vAlign w:val="bottom"/>
            <w:hideMark/>
          </w:tcPr>
          <w:p w:rsidR="00991D5C" w:rsidRPr="002F17B5" w:rsidRDefault="00991D5C" w:rsidP="005853E2">
            <w:pPr>
              <w:jc w:val="left"/>
            </w:pPr>
            <w:r w:rsidRPr="002F17B5">
              <w:t>Government grants</w:t>
            </w:r>
          </w:p>
        </w:tc>
        <w:tc>
          <w:tcPr>
            <w:tcW w:w="1560" w:type="dxa"/>
            <w:tcBorders>
              <w:bottom w:val="single" w:sz="4" w:space="0" w:color="auto"/>
            </w:tcBorders>
            <w:shd w:val="clear" w:color="auto" w:fill="FFFFFF" w:themeFill="background1"/>
            <w:vAlign w:val="bottom"/>
          </w:tcPr>
          <w:p w:rsidR="00991D5C" w:rsidRPr="002F17B5" w:rsidRDefault="00991D5C" w:rsidP="001C1AA2">
            <w:pPr>
              <w:jc w:val="right"/>
              <w:rPr>
                <w:rFonts w:cs="Arial"/>
              </w:rPr>
            </w:pPr>
            <w:r w:rsidRPr="002F17B5">
              <w:rPr>
                <w:rFonts w:cs="Arial"/>
              </w:rPr>
              <w:t>107.2</w:t>
            </w:r>
          </w:p>
        </w:tc>
        <w:tc>
          <w:tcPr>
            <w:tcW w:w="1525" w:type="dxa"/>
            <w:tcBorders>
              <w:bottom w:val="single" w:sz="4" w:space="0" w:color="auto"/>
            </w:tcBorders>
            <w:shd w:val="clear" w:color="auto" w:fill="FFFFFF" w:themeFill="background1"/>
            <w:noWrap/>
            <w:vAlign w:val="bottom"/>
            <w:hideMark/>
          </w:tcPr>
          <w:p w:rsidR="00991D5C" w:rsidRPr="002F17B5" w:rsidRDefault="00991D5C" w:rsidP="001C1AA2">
            <w:pPr>
              <w:jc w:val="right"/>
              <w:rPr>
                <w:rFonts w:cs="Arial"/>
              </w:rPr>
            </w:pPr>
            <w:r w:rsidRPr="002F17B5">
              <w:rPr>
                <w:rFonts w:cs="Arial"/>
              </w:rPr>
              <w:t>896.6</w:t>
            </w:r>
          </w:p>
        </w:tc>
        <w:tc>
          <w:tcPr>
            <w:tcW w:w="1701" w:type="dxa"/>
            <w:tcBorders>
              <w:bottom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14.7</w:t>
            </w:r>
          </w:p>
        </w:tc>
        <w:tc>
          <w:tcPr>
            <w:tcW w:w="1701" w:type="dxa"/>
            <w:tcBorders>
              <w:bottom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45.4</w:t>
            </w:r>
          </w:p>
        </w:tc>
        <w:tc>
          <w:tcPr>
            <w:tcW w:w="1276" w:type="dxa"/>
            <w:tcBorders>
              <w:bottom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1,063.9</w:t>
            </w:r>
          </w:p>
        </w:tc>
      </w:tr>
      <w:tr w:rsidR="00991D5C" w:rsidRPr="002F17B5" w:rsidTr="005853E2">
        <w:trPr>
          <w:trHeight w:val="315"/>
          <w:jc w:val="center"/>
        </w:trPr>
        <w:tc>
          <w:tcPr>
            <w:tcW w:w="2594" w:type="dxa"/>
            <w:shd w:val="clear" w:color="auto" w:fill="FFFFFF" w:themeFill="background1"/>
            <w:noWrap/>
            <w:vAlign w:val="bottom"/>
            <w:hideMark/>
          </w:tcPr>
          <w:p w:rsidR="00991D5C" w:rsidRPr="002F17B5" w:rsidRDefault="00991D5C" w:rsidP="005853E2">
            <w:pPr>
              <w:jc w:val="left"/>
              <w:rPr>
                <w:b/>
                <w:bCs/>
              </w:rPr>
            </w:pPr>
            <w:r w:rsidRPr="002F17B5">
              <w:rPr>
                <w:b/>
                <w:bCs/>
              </w:rPr>
              <w:t>Total Income</w:t>
            </w:r>
          </w:p>
        </w:tc>
        <w:tc>
          <w:tcPr>
            <w:tcW w:w="1560" w:type="dxa"/>
            <w:tcBorders>
              <w:top w:val="single" w:sz="4" w:space="0" w:color="auto"/>
            </w:tcBorders>
            <w:shd w:val="clear" w:color="auto" w:fill="FFFFFF" w:themeFill="background1"/>
            <w:vAlign w:val="bottom"/>
          </w:tcPr>
          <w:p w:rsidR="00991D5C" w:rsidRPr="002F17B5" w:rsidRDefault="00991D5C" w:rsidP="001C1AA2">
            <w:pPr>
              <w:jc w:val="right"/>
              <w:rPr>
                <w:rFonts w:cs="Arial"/>
              </w:rPr>
            </w:pPr>
            <w:r w:rsidRPr="002F17B5">
              <w:rPr>
                <w:rFonts w:cs="Arial"/>
              </w:rPr>
              <w:t>191.0</w:t>
            </w:r>
          </w:p>
        </w:tc>
        <w:tc>
          <w:tcPr>
            <w:tcW w:w="1525" w:type="dxa"/>
            <w:tcBorders>
              <w:top w:val="single" w:sz="4" w:space="0" w:color="auto"/>
            </w:tcBorders>
            <w:shd w:val="clear" w:color="auto" w:fill="FFFFFF" w:themeFill="background1"/>
            <w:noWrap/>
            <w:vAlign w:val="bottom"/>
            <w:hideMark/>
          </w:tcPr>
          <w:p w:rsidR="00991D5C" w:rsidRPr="002F17B5" w:rsidRDefault="00991D5C" w:rsidP="001C1AA2">
            <w:pPr>
              <w:jc w:val="right"/>
              <w:rPr>
                <w:rFonts w:cs="Arial"/>
              </w:rPr>
            </w:pPr>
            <w:r w:rsidRPr="002F17B5">
              <w:rPr>
                <w:rFonts w:cs="Arial"/>
              </w:rPr>
              <w:t>958.</w:t>
            </w:r>
            <w:r w:rsidR="008955D6">
              <w:rPr>
                <w:rFonts w:cs="Arial"/>
              </w:rPr>
              <w:t>7</w:t>
            </w:r>
          </w:p>
        </w:tc>
        <w:tc>
          <w:tcPr>
            <w:tcW w:w="1701" w:type="dxa"/>
            <w:tcBorders>
              <w:top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71.6</w:t>
            </w:r>
          </w:p>
        </w:tc>
        <w:tc>
          <w:tcPr>
            <w:tcW w:w="1701" w:type="dxa"/>
            <w:tcBorders>
              <w:top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135.9</w:t>
            </w:r>
          </w:p>
        </w:tc>
        <w:tc>
          <w:tcPr>
            <w:tcW w:w="1276" w:type="dxa"/>
            <w:tcBorders>
              <w:top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1,3</w:t>
            </w:r>
            <w:r w:rsidR="0062676D" w:rsidRPr="002F17B5">
              <w:rPr>
                <w:rFonts w:cs="Arial"/>
              </w:rPr>
              <w:t>57.</w:t>
            </w:r>
            <w:r w:rsidR="00F627DD">
              <w:rPr>
                <w:rFonts w:cs="Arial"/>
              </w:rPr>
              <w:t>2</w:t>
            </w:r>
          </w:p>
        </w:tc>
      </w:tr>
      <w:tr w:rsidR="00991D5C" w:rsidRPr="002F17B5" w:rsidTr="00E95ED7">
        <w:trPr>
          <w:trHeight w:val="207"/>
          <w:jc w:val="center"/>
        </w:trPr>
        <w:tc>
          <w:tcPr>
            <w:tcW w:w="2594" w:type="dxa"/>
            <w:shd w:val="clear" w:color="auto" w:fill="FFFFFF" w:themeFill="background1"/>
            <w:noWrap/>
            <w:vAlign w:val="bottom"/>
            <w:hideMark/>
          </w:tcPr>
          <w:p w:rsidR="00991D5C" w:rsidRPr="002F17B5" w:rsidRDefault="00991D5C" w:rsidP="005853E2">
            <w:pPr>
              <w:jc w:val="left"/>
              <w:rPr>
                <w:b/>
                <w:bCs/>
                <w:sz w:val="12"/>
              </w:rPr>
            </w:pPr>
          </w:p>
        </w:tc>
        <w:tc>
          <w:tcPr>
            <w:tcW w:w="1560" w:type="dxa"/>
            <w:shd w:val="clear" w:color="auto" w:fill="FFFFFF" w:themeFill="background1"/>
            <w:vAlign w:val="bottom"/>
          </w:tcPr>
          <w:p w:rsidR="001D73DF" w:rsidRPr="002F17B5" w:rsidRDefault="001D73DF">
            <w:pPr>
              <w:jc w:val="right"/>
              <w:rPr>
                <w:sz w:val="12"/>
              </w:rPr>
            </w:pPr>
          </w:p>
        </w:tc>
        <w:tc>
          <w:tcPr>
            <w:tcW w:w="1525" w:type="dxa"/>
            <w:shd w:val="clear" w:color="auto" w:fill="FFFFFF" w:themeFill="background1"/>
            <w:noWrap/>
            <w:vAlign w:val="bottom"/>
            <w:hideMark/>
          </w:tcPr>
          <w:p w:rsidR="001D73DF" w:rsidRPr="002F17B5" w:rsidRDefault="001D73DF">
            <w:pPr>
              <w:jc w:val="right"/>
              <w:rPr>
                <w:sz w:val="12"/>
              </w:rPr>
            </w:pPr>
          </w:p>
        </w:tc>
        <w:tc>
          <w:tcPr>
            <w:tcW w:w="1701" w:type="dxa"/>
            <w:shd w:val="clear" w:color="auto" w:fill="FFFFFF" w:themeFill="background1"/>
            <w:noWrap/>
            <w:vAlign w:val="bottom"/>
            <w:hideMark/>
          </w:tcPr>
          <w:p w:rsidR="001D73DF" w:rsidRPr="002F17B5" w:rsidRDefault="001D73DF">
            <w:pPr>
              <w:jc w:val="right"/>
              <w:rPr>
                <w:sz w:val="12"/>
              </w:rPr>
            </w:pPr>
          </w:p>
        </w:tc>
        <w:tc>
          <w:tcPr>
            <w:tcW w:w="1701" w:type="dxa"/>
            <w:shd w:val="clear" w:color="auto" w:fill="FFFFFF" w:themeFill="background1"/>
            <w:noWrap/>
            <w:vAlign w:val="bottom"/>
            <w:hideMark/>
          </w:tcPr>
          <w:p w:rsidR="001D73DF" w:rsidRPr="002F17B5" w:rsidRDefault="001D73DF">
            <w:pPr>
              <w:jc w:val="right"/>
              <w:rPr>
                <w:sz w:val="12"/>
              </w:rPr>
            </w:pPr>
          </w:p>
        </w:tc>
        <w:tc>
          <w:tcPr>
            <w:tcW w:w="1276" w:type="dxa"/>
            <w:shd w:val="clear" w:color="auto" w:fill="FFFFFF" w:themeFill="background1"/>
            <w:noWrap/>
            <w:vAlign w:val="bottom"/>
            <w:hideMark/>
          </w:tcPr>
          <w:p w:rsidR="001D73DF" w:rsidRPr="002F17B5" w:rsidRDefault="001D73DF">
            <w:pPr>
              <w:jc w:val="right"/>
              <w:rPr>
                <w:b/>
                <w:sz w:val="12"/>
              </w:rPr>
            </w:pPr>
          </w:p>
        </w:tc>
      </w:tr>
      <w:tr w:rsidR="00991D5C" w:rsidRPr="002F17B5" w:rsidTr="00E95ED7">
        <w:trPr>
          <w:trHeight w:val="352"/>
          <w:jc w:val="center"/>
        </w:trPr>
        <w:tc>
          <w:tcPr>
            <w:tcW w:w="2594" w:type="dxa"/>
            <w:shd w:val="clear" w:color="auto" w:fill="FFFFFF" w:themeFill="background1"/>
            <w:noWrap/>
            <w:vAlign w:val="bottom"/>
            <w:hideMark/>
          </w:tcPr>
          <w:p w:rsidR="00991D5C" w:rsidRPr="002F17B5" w:rsidRDefault="00991D5C" w:rsidP="005853E2">
            <w:pPr>
              <w:jc w:val="left"/>
            </w:pPr>
            <w:r w:rsidRPr="002F17B5">
              <w:t>Employee expenses</w:t>
            </w:r>
          </w:p>
        </w:tc>
        <w:tc>
          <w:tcPr>
            <w:tcW w:w="1560" w:type="dxa"/>
            <w:shd w:val="clear" w:color="auto" w:fill="FFFFFF" w:themeFill="background1"/>
            <w:vAlign w:val="bottom"/>
          </w:tcPr>
          <w:p w:rsidR="00991D5C" w:rsidRPr="002F17B5" w:rsidRDefault="00991D5C" w:rsidP="001C1AA2">
            <w:pPr>
              <w:jc w:val="right"/>
              <w:rPr>
                <w:rFonts w:cs="Arial"/>
              </w:rPr>
            </w:pPr>
            <w:r w:rsidRPr="002F17B5">
              <w:rPr>
                <w:rFonts w:cs="Arial"/>
              </w:rPr>
              <w:t>98.8</w:t>
            </w:r>
          </w:p>
        </w:tc>
        <w:tc>
          <w:tcPr>
            <w:tcW w:w="1525" w:type="dxa"/>
            <w:shd w:val="clear" w:color="auto" w:fill="FFFFFF" w:themeFill="background1"/>
            <w:noWrap/>
            <w:vAlign w:val="bottom"/>
            <w:hideMark/>
          </w:tcPr>
          <w:p w:rsidR="00991D5C" w:rsidRPr="002F17B5" w:rsidRDefault="00991D5C" w:rsidP="001C1AA2">
            <w:pPr>
              <w:jc w:val="right"/>
              <w:rPr>
                <w:rFonts w:cs="Arial"/>
              </w:rPr>
            </w:pPr>
            <w:r w:rsidRPr="002F17B5">
              <w:rPr>
                <w:rFonts w:cs="Arial"/>
              </w:rPr>
              <w:t>694.7</w:t>
            </w:r>
          </w:p>
        </w:tc>
        <w:tc>
          <w:tcPr>
            <w:tcW w:w="1701" w:type="dxa"/>
            <w:shd w:val="clear" w:color="auto" w:fill="FFFFFF" w:themeFill="background1"/>
            <w:noWrap/>
            <w:vAlign w:val="bottom"/>
            <w:hideMark/>
          </w:tcPr>
          <w:p w:rsidR="001D73DF" w:rsidRPr="002F17B5" w:rsidRDefault="00991D5C">
            <w:pPr>
              <w:jc w:val="right"/>
              <w:rPr>
                <w:rFonts w:cs="Arial"/>
              </w:rPr>
            </w:pPr>
            <w:r w:rsidRPr="002F17B5">
              <w:rPr>
                <w:rFonts w:cs="Arial"/>
              </w:rPr>
              <w:t>52.6</w:t>
            </w:r>
          </w:p>
        </w:tc>
        <w:tc>
          <w:tcPr>
            <w:tcW w:w="1701" w:type="dxa"/>
            <w:shd w:val="clear" w:color="auto" w:fill="FFFFFF" w:themeFill="background1"/>
            <w:noWrap/>
            <w:vAlign w:val="bottom"/>
            <w:hideMark/>
          </w:tcPr>
          <w:p w:rsidR="001D73DF" w:rsidRPr="002F17B5" w:rsidRDefault="00991D5C">
            <w:pPr>
              <w:jc w:val="right"/>
              <w:rPr>
                <w:rFonts w:cs="Arial"/>
              </w:rPr>
            </w:pPr>
            <w:r w:rsidRPr="002F17B5">
              <w:rPr>
                <w:rFonts w:cs="Arial"/>
              </w:rPr>
              <w:t>79.0</w:t>
            </w:r>
          </w:p>
        </w:tc>
        <w:tc>
          <w:tcPr>
            <w:tcW w:w="1276" w:type="dxa"/>
            <w:shd w:val="clear" w:color="auto" w:fill="FFFFFF" w:themeFill="background1"/>
            <w:noWrap/>
            <w:vAlign w:val="bottom"/>
            <w:hideMark/>
          </w:tcPr>
          <w:p w:rsidR="001D73DF" w:rsidRPr="002F17B5" w:rsidRDefault="00991D5C">
            <w:pPr>
              <w:jc w:val="right"/>
              <w:rPr>
                <w:rFonts w:cs="Arial"/>
              </w:rPr>
            </w:pPr>
            <w:r w:rsidRPr="002F17B5">
              <w:rPr>
                <w:rFonts w:cs="Arial"/>
              </w:rPr>
              <w:t>925.1</w:t>
            </w:r>
          </w:p>
        </w:tc>
      </w:tr>
      <w:tr w:rsidR="00991D5C" w:rsidRPr="002F17B5" w:rsidTr="00E95ED7">
        <w:trPr>
          <w:trHeight w:val="642"/>
          <w:jc w:val="center"/>
        </w:trPr>
        <w:tc>
          <w:tcPr>
            <w:tcW w:w="2594" w:type="dxa"/>
            <w:shd w:val="clear" w:color="auto" w:fill="FFFFFF" w:themeFill="background1"/>
            <w:noWrap/>
            <w:vAlign w:val="bottom"/>
            <w:hideMark/>
          </w:tcPr>
          <w:p w:rsidR="00991D5C" w:rsidRPr="002F17B5" w:rsidRDefault="00991D5C" w:rsidP="005853E2">
            <w:pPr>
              <w:jc w:val="left"/>
            </w:pPr>
            <w:r w:rsidRPr="002F17B5">
              <w:t>Other service expenses</w:t>
            </w:r>
          </w:p>
        </w:tc>
        <w:tc>
          <w:tcPr>
            <w:tcW w:w="1560" w:type="dxa"/>
            <w:shd w:val="clear" w:color="auto" w:fill="FFFFFF" w:themeFill="background1"/>
            <w:vAlign w:val="bottom"/>
          </w:tcPr>
          <w:p w:rsidR="00991D5C" w:rsidRPr="002F17B5" w:rsidRDefault="00991D5C" w:rsidP="001C1AA2">
            <w:pPr>
              <w:jc w:val="right"/>
              <w:rPr>
                <w:rFonts w:cs="Arial"/>
              </w:rPr>
            </w:pPr>
            <w:r w:rsidRPr="002F17B5">
              <w:rPr>
                <w:rFonts w:cs="Arial"/>
              </w:rPr>
              <w:t>426.6</w:t>
            </w:r>
          </w:p>
        </w:tc>
        <w:tc>
          <w:tcPr>
            <w:tcW w:w="1525" w:type="dxa"/>
            <w:shd w:val="clear" w:color="auto" w:fill="FFFFFF" w:themeFill="background1"/>
            <w:noWrap/>
            <w:vAlign w:val="bottom"/>
            <w:hideMark/>
          </w:tcPr>
          <w:p w:rsidR="00991D5C" w:rsidRPr="002F17B5" w:rsidRDefault="00991D5C">
            <w:pPr>
              <w:jc w:val="right"/>
              <w:rPr>
                <w:rFonts w:cs="Arial"/>
              </w:rPr>
            </w:pPr>
            <w:r w:rsidRPr="002F17B5">
              <w:rPr>
                <w:rFonts w:cs="Arial"/>
              </w:rPr>
              <w:t>354.</w:t>
            </w:r>
            <w:r w:rsidR="00F627DD">
              <w:rPr>
                <w:rFonts w:cs="Arial"/>
              </w:rPr>
              <w:t>9</w:t>
            </w:r>
          </w:p>
        </w:tc>
        <w:tc>
          <w:tcPr>
            <w:tcW w:w="1701" w:type="dxa"/>
            <w:shd w:val="clear" w:color="auto" w:fill="FFFFFF" w:themeFill="background1"/>
            <w:noWrap/>
            <w:vAlign w:val="bottom"/>
            <w:hideMark/>
          </w:tcPr>
          <w:p w:rsidR="001D73DF" w:rsidRPr="002F17B5" w:rsidRDefault="00991D5C">
            <w:pPr>
              <w:jc w:val="right"/>
              <w:rPr>
                <w:rFonts w:cs="Arial"/>
              </w:rPr>
            </w:pPr>
            <w:r w:rsidRPr="002F17B5">
              <w:rPr>
                <w:rFonts w:cs="Arial"/>
              </w:rPr>
              <w:t>213.1</w:t>
            </w:r>
          </w:p>
        </w:tc>
        <w:tc>
          <w:tcPr>
            <w:tcW w:w="1701" w:type="dxa"/>
            <w:shd w:val="clear" w:color="auto" w:fill="FFFFFF" w:themeFill="background1"/>
            <w:noWrap/>
            <w:vAlign w:val="bottom"/>
            <w:hideMark/>
          </w:tcPr>
          <w:p w:rsidR="001D73DF" w:rsidRPr="002F17B5" w:rsidRDefault="00991D5C">
            <w:pPr>
              <w:jc w:val="right"/>
              <w:rPr>
                <w:rFonts w:cs="Arial"/>
              </w:rPr>
            </w:pPr>
            <w:r w:rsidRPr="002F17B5">
              <w:rPr>
                <w:rFonts w:cs="Arial"/>
              </w:rPr>
              <w:t>151.6</w:t>
            </w:r>
          </w:p>
        </w:tc>
        <w:tc>
          <w:tcPr>
            <w:tcW w:w="1276" w:type="dxa"/>
            <w:shd w:val="clear" w:color="auto" w:fill="FFFFFF" w:themeFill="background1"/>
            <w:noWrap/>
            <w:vAlign w:val="bottom"/>
            <w:hideMark/>
          </w:tcPr>
          <w:p w:rsidR="001D73DF" w:rsidRPr="002F17B5" w:rsidRDefault="00991D5C">
            <w:pPr>
              <w:jc w:val="right"/>
              <w:rPr>
                <w:rFonts w:cs="Arial"/>
              </w:rPr>
            </w:pPr>
            <w:r w:rsidRPr="002F17B5">
              <w:rPr>
                <w:rFonts w:cs="Arial"/>
              </w:rPr>
              <w:t>1,14</w:t>
            </w:r>
            <w:r w:rsidR="00F627DD">
              <w:rPr>
                <w:rFonts w:cs="Arial"/>
              </w:rPr>
              <w:t>6.2</w:t>
            </w:r>
          </w:p>
        </w:tc>
      </w:tr>
      <w:tr w:rsidR="00991D5C" w:rsidRPr="002F17B5" w:rsidTr="005853E2">
        <w:trPr>
          <w:trHeight w:val="315"/>
          <w:jc w:val="center"/>
        </w:trPr>
        <w:tc>
          <w:tcPr>
            <w:tcW w:w="2594" w:type="dxa"/>
            <w:shd w:val="clear" w:color="auto" w:fill="FFFFFF" w:themeFill="background1"/>
            <w:noWrap/>
            <w:vAlign w:val="bottom"/>
            <w:hideMark/>
          </w:tcPr>
          <w:p w:rsidR="00991D5C" w:rsidRPr="002F17B5" w:rsidRDefault="00991D5C" w:rsidP="005853E2">
            <w:pPr>
              <w:jc w:val="left"/>
            </w:pPr>
            <w:r w:rsidRPr="002F17B5">
              <w:t>Support service recharges</w:t>
            </w:r>
          </w:p>
        </w:tc>
        <w:tc>
          <w:tcPr>
            <w:tcW w:w="1560" w:type="dxa"/>
            <w:tcBorders>
              <w:bottom w:val="single" w:sz="4" w:space="0" w:color="auto"/>
            </w:tcBorders>
            <w:shd w:val="clear" w:color="auto" w:fill="FFFFFF" w:themeFill="background1"/>
            <w:vAlign w:val="bottom"/>
          </w:tcPr>
          <w:p w:rsidR="00991D5C" w:rsidRPr="002F17B5" w:rsidRDefault="00991D5C" w:rsidP="001C1AA2">
            <w:pPr>
              <w:jc w:val="right"/>
              <w:rPr>
                <w:rFonts w:cs="Arial"/>
              </w:rPr>
            </w:pPr>
            <w:r w:rsidRPr="002F17B5">
              <w:rPr>
                <w:rFonts w:cs="Arial"/>
              </w:rPr>
              <w:t>4.5</w:t>
            </w:r>
          </w:p>
        </w:tc>
        <w:tc>
          <w:tcPr>
            <w:tcW w:w="1525" w:type="dxa"/>
            <w:tcBorders>
              <w:bottom w:val="single" w:sz="4" w:space="0" w:color="auto"/>
            </w:tcBorders>
            <w:shd w:val="clear" w:color="auto" w:fill="FFFFFF" w:themeFill="background1"/>
            <w:noWrap/>
            <w:vAlign w:val="bottom"/>
            <w:hideMark/>
          </w:tcPr>
          <w:p w:rsidR="00991D5C" w:rsidRPr="002F17B5" w:rsidRDefault="00991D5C" w:rsidP="001C1AA2">
            <w:pPr>
              <w:jc w:val="right"/>
              <w:rPr>
                <w:rFonts w:cs="Arial"/>
              </w:rPr>
            </w:pPr>
            <w:r w:rsidRPr="002F17B5">
              <w:rPr>
                <w:rFonts w:cs="Arial"/>
              </w:rPr>
              <w:t>49.0</w:t>
            </w:r>
          </w:p>
        </w:tc>
        <w:tc>
          <w:tcPr>
            <w:tcW w:w="1701" w:type="dxa"/>
            <w:tcBorders>
              <w:bottom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(42.8)</w:t>
            </w:r>
          </w:p>
        </w:tc>
        <w:tc>
          <w:tcPr>
            <w:tcW w:w="1701" w:type="dxa"/>
            <w:tcBorders>
              <w:bottom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(22.1)</w:t>
            </w:r>
          </w:p>
        </w:tc>
        <w:tc>
          <w:tcPr>
            <w:tcW w:w="1276" w:type="dxa"/>
            <w:tcBorders>
              <w:bottom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(11.4)</w:t>
            </w:r>
          </w:p>
        </w:tc>
      </w:tr>
      <w:tr w:rsidR="00991D5C" w:rsidRPr="002F17B5" w:rsidTr="005853E2">
        <w:trPr>
          <w:trHeight w:val="315"/>
          <w:jc w:val="center"/>
        </w:trPr>
        <w:tc>
          <w:tcPr>
            <w:tcW w:w="2594" w:type="dxa"/>
            <w:shd w:val="clear" w:color="auto" w:fill="FFFFFF" w:themeFill="background1"/>
            <w:noWrap/>
            <w:vAlign w:val="bottom"/>
            <w:hideMark/>
          </w:tcPr>
          <w:p w:rsidR="00991D5C" w:rsidRPr="002F17B5" w:rsidRDefault="00991D5C" w:rsidP="005853E2">
            <w:pPr>
              <w:jc w:val="left"/>
              <w:rPr>
                <w:b/>
                <w:bCs/>
              </w:rPr>
            </w:pPr>
            <w:r w:rsidRPr="002F17B5">
              <w:rPr>
                <w:b/>
                <w:bCs/>
              </w:rPr>
              <w:t>Total Expenditure</w:t>
            </w:r>
          </w:p>
        </w:tc>
        <w:tc>
          <w:tcPr>
            <w:tcW w:w="1560" w:type="dxa"/>
            <w:tcBorders>
              <w:top w:val="single" w:sz="4" w:space="0" w:color="auto"/>
            </w:tcBorders>
            <w:shd w:val="clear" w:color="auto" w:fill="FFFFFF" w:themeFill="background1"/>
            <w:vAlign w:val="bottom"/>
          </w:tcPr>
          <w:p w:rsidR="00991D5C" w:rsidRPr="002F17B5" w:rsidRDefault="00991D5C" w:rsidP="001C1AA2">
            <w:pPr>
              <w:jc w:val="right"/>
              <w:rPr>
                <w:rFonts w:cs="Arial"/>
              </w:rPr>
            </w:pPr>
            <w:r w:rsidRPr="002F17B5">
              <w:rPr>
                <w:rFonts w:cs="Arial"/>
              </w:rPr>
              <w:t>529.9</w:t>
            </w:r>
          </w:p>
        </w:tc>
        <w:tc>
          <w:tcPr>
            <w:tcW w:w="1525" w:type="dxa"/>
            <w:tcBorders>
              <w:top w:val="single" w:sz="4" w:space="0" w:color="auto"/>
            </w:tcBorders>
            <w:shd w:val="clear" w:color="auto" w:fill="FFFFFF" w:themeFill="background1"/>
            <w:noWrap/>
            <w:vAlign w:val="bottom"/>
            <w:hideMark/>
          </w:tcPr>
          <w:p w:rsidR="00991D5C" w:rsidRPr="002F17B5" w:rsidRDefault="00991D5C">
            <w:pPr>
              <w:jc w:val="right"/>
              <w:rPr>
                <w:rFonts w:cs="Arial"/>
              </w:rPr>
            </w:pPr>
            <w:r w:rsidRPr="002F17B5">
              <w:rPr>
                <w:rFonts w:cs="Arial"/>
              </w:rPr>
              <w:t>1,098.</w:t>
            </w:r>
            <w:r w:rsidR="00F627DD">
              <w:rPr>
                <w:rFonts w:cs="Arial"/>
              </w:rPr>
              <w:t>6</w:t>
            </w:r>
          </w:p>
        </w:tc>
        <w:tc>
          <w:tcPr>
            <w:tcW w:w="1701" w:type="dxa"/>
            <w:tcBorders>
              <w:top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222.9</w:t>
            </w:r>
          </w:p>
        </w:tc>
        <w:tc>
          <w:tcPr>
            <w:tcW w:w="1701" w:type="dxa"/>
            <w:tcBorders>
              <w:top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208.5</w:t>
            </w:r>
          </w:p>
        </w:tc>
        <w:tc>
          <w:tcPr>
            <w:tcW w:w="1276" w:type="dxa"/>
            <w:tcBorders>
              <w:top w:val="single" w:sz="4" w:space="0" w:color="auto"/>
            </w:tcBorders>
            <w:shd w:val="clear" w:color="auto" w:fill="FFFFFF" w:themeFill="background1"/>
            <w:noWrap/>
            <w:vAlign w:val="bottom"/>
            <w:hideMark/>
          </w:tcPr>
          <w:p w:rsidR="001D73DF" w:rsidRPr="002F17B5" w:rsidRDefault="00991D5C">
            <w:pPr>
              <w:jc w:val="right"/>
              <w:rPr>
                <w:rFonts w:cs="Arial"/>
              </w:rPr>
            </w:pPr>
            <w:r w:rsidRPr="002F17B5">
              <w:rPr>
                <w:rFonts w:cs="Arial"/>
              </w:rPr>
              <w:t>2,059.</w:t>
            </w:r>
            <w:r w:rsidR="00F627DD">
              <w:rPr>
                <w:rFonts w:cs="Arial"/>
              </w:rPr>
              <w:t>9</w:t>
            </w:r>
          </w:p>
        </w:tc>
      </w:tr>
      <w:tr w:rsidR="00991D5C" w:rsidRPr="002F17B5" w:rsidTr="005853E2">
        <w:trPr>
          <w:trHeight w:val="162"/>
          <w:jc w:val="center"/>
        </w:trPr>
        <w:tc>
          <w:tcPr>
            <w:tcW w:w="2594" w:type="dxa"/>
            <w:shd w:val="clear" w:color="auto" w:fill="FFFFFF" w:themeFill="background1"/>
            <w:noWrap/>
            <w:vAlign w:val="bottom"/>
            <w:hideMark/>
          </w:tcPr>
          <w:p w:rsidR="00991D5C" w:rsidRPr="002F17B5" w:rsidRDefault="00991D5C" w:rsidP="005853E2">
            <w:pPr>
              <w:jc w:val="left"/>
              <w:rPr>
                <w:sz w:val="8"/>
              </w:rPr>
            </w:pPr>
          </w:p>
        </w:tc>
        <w:tc>
          <w:tcPr>
            <w:tcW w:w="1560" w:type="dxa"/>
            <w:tcBorders>
              <w:bottom w:val="single" w:sz="4" w:space="0" w:color="auto"/>
            </w:tcBorders>
            <w:shd w:val="clear" w:color="auto" w:fill="FFFFFF" w:themeFill="background1"/>
            <w:vAlign w:val="bottom"/>
          </w:tcPr>
          <w:p w:rsidR="00991D5C" w:rsidRPr="002F17B5" w:rsidRDefault="00991D5C" w:rsidP="005853E2">
            <w:pPr>
              <w:rPr>
                <w:sz w:val="2"/>
              </w:rPr>
            </w:pPr>
          </w:p>
        </w:tc>
        <w:tc>
          <w:tcPr>
            <w:tcW w:w="1525" w:type="dxa"/>
            <w:tcBorders>
              <w:bottom w:val="single" w:sz="4" w:space="0" w:color="auto"/>
            </w:tcBorders>
            <w:shd w:val="clear" w:color="auto" w:fill="FFFFFF" w:themeFill="background1"/>
            <w:noWrap/>
            <w:vAlign w:val="bottom"/>
            <w:hideMark/>
          </w:tcPr>
          <w:p w:rsidR="00991D5C" w:rsidRPr="002F17B5" w:rsidRDefault="00991D5C" w:rsidP="005853E2">
            <w:pPr>
              <w:rPr>
                <w:sz w:val="2"/>
              </w:rPr>
            </w:pPr>
          </w:p>
        </w:tc>
        <w:tc>
          <w:tcPr>
            <w:tcW w:w="1701" w:type="dxa"/>
            <w:tcBorders>
              <w:bottom w:val="single" w:sz="4" w:space="0" w:color="auto"/>
            </w:tcBorders>
            <w:shd w:val="clear" w:color="auto" w:fill="FFFFFF" w:themeFill="background1"/>
            <w:noWrap/>
            <w:vAlign w:val="bottom"/>
            <w:hideMark/>
          </w:tcPr>
          <w:p w:rsidR="00991D5C" w:rsidRPr="002F17B5" w:rsidRDefault="00991D5C" w:rsidP="005853E2">
            <w:pPr>
              <w:rPr>
                <w:sz w:val="2"/>
              </w:rPr>
            </w:pPr>
          </w:p>
        </w:tc>
        <w:tc>
          <w:tcPr>
            <w:tcW w:w="1701" w:type="dxa"/>
            <w:tcBorders>
              <w:bottom w:val="single" w:sz="4" w:space="0" w:color="auto"/>
            </w:tcBorders>
            <w:shd w:val="clear" w:color="auto" w:fill="FFFFFF" w:themeFill="background1"/>
            <w:noWrap/>
            <w:vAlign w:val="bottom"/>
            <w:hideMark/>
          </w:tcPr>
          <w:p w:rsidR="00991D5C" w:rsidRPr="002F17B5" w:rsidRDefault="00991D5C" w:rsidP="005853E2">
            <w:pPr>
              <w:rPr>
                <w:sz w:val="2"/>
              </w:rPr>
            </w:pPr>
          </w:p>
        </w:tc>
        <w:tc>
          <w:tcPr>
            <w:tcW w:w="1276" w:type="dxa"/>
            <w:tcBorders>
              <w:bottom w:val="single" w:sz="4" w:space="0" w:color="auto"/>
            </w:tcBorders>
            <w:shd w:val="clear" w:color="auto" w:fill="FFFFFF" w:themeFill="background1"/>
            <w:noWrap/>
            <w:vAlign w:val="bottom"/>
            <w:hideMark/>
          </w:tcPr>
          <w:p w:rsidR="00991D5C" w:rsidRPr="002F17B5" w:rsidRDefault="00991D5C" w:rsidP="005853E2">
            <w:pPr>
              <w:rPr>
                <w:b/>
                <w:sz w:val="2"/>
              </w:rPr>
            </w:pPr>
          </w:p>
        </w:tc>
      </w:tr>
      <w:tr w:rsidR="00991D5C" w:rsidRPr="002F17B5" w:rsidTr="005853E2">
        <w:trPr>
          <w:trHeight w:val="330"/>
          <w:jc w:val="center"/>
        </w:trPr>
        <w:tc>
          <w:tcPr>
            <w:tcW w:w="2594" w:type="dxa"/>
            <w:shd w:val="clear" w:color="auto" w:fill="FFFFFF" w:themeFill="background1"/>
            <w:noWrap/>
            <w:vAlign w:val="bottom"/>
            <w:hideMark/>
          </w:tcPr>
          <w:p w:rsidR="00991D5C" w:rsidRPr="002F17B5" w:rsidRDefault="00991D5C" w:rsidP="005853E2">
            <w:pPr>
              <w:jc w:val="left"/>
              <w:rPr>
                <w:b/>
                <w:bCs/>
              </w:rPr>
            </w:pPr>
            <w:r w:rsidRPr="002F17B5">
              <w:rPr>
                <w:b/>
                <w:bCs/>
              </w:rPr>
              <w:t>Net Expenditure</w:t>
            </w:r>
          </w:p>
        </w:tc>
        <w:tc>
          <w:tcPr>
            <w:tcW w:w="1560" w:type="dxa"/>
            <w:tcBorders>
              <w:top w:val="single" w:sz="4" w:space="0" w:color="auto"/>
            </w:tcBorders>
            <w:shd w:val="clear" w:color="auto" w:fill="FFFFFF" w:themeFill="background1"/>
            <w:vAlign w:val="bottom"/>
          </w:tcPr>
          <w:p w:rsidR="00991D5C" w:rsidRPr="002F17B5" w:rsidRDefault="00991D5C" w:rsidP="005853E2">
            <w:pPr>
              <w:jc w:val="right"/>
              <w:rPr>
                <w:rFonts w:cs="Arial"/>
                <w:b/>
                <w:bCs/>
              </w:rPr>
            </w:pPr>
            <w:r w:rsidRPr="002F17B5">
              <w:rPr>
                <w:rFonts w:cs="Arial"/>
                <w:b/>
                <w:bCs/>
              </w:rPr>
              <w:t>338.9</w:t>
            </w:r>
          </w:p>
        </w:tc>
        <w:tc>
          <w:tcPr>
            <w:tcW w:w="1525" w:type="dxa"/>
            <w:tcBorders>
              <w:top w:val="single" w:sz="4" w:space="0" w:color="auto"/>
            </w:tcBorders>
            <w:shd w:val="clear" w:color="auto" w:fill="FFFFFF" w:themeFill="background1"/>
            <w:noWrap/>
            <w:vAlign w:val="bottom"/>
            <w:hideMark/>
          </w:tcPr>
          <w:p w:rsidR="00991D5C" w:rsidRPr="002F17B5" w:rsidRDefault="001D73DF" w:rsidP="005853E2">
            <w:pPr>
              <w:jc w:val="right"/>
              <w:rPr>
                <w:rFonts w:cs="Arial"/>
                <w:b/>
                <w:bCs/>
              </w:rPr>
            </w:pPr>
            <w:r w:rsidRPr="002F17B5">
              <w:rPr>
                <w:rFonts w:cs="Arial"/>
                <w:b/>
                <w:bCs/>
              </w:rPr>
              <w:t>139.</w:t>
            </w:r>
            <w:r w:rsidR="00F627DD">
              <w:rPr>
                <w:rFonts w:cs="Arial"/>
                <w:b/>
                <w:bCs/>
              </w:rPr>
              <w:t>9</w:t>
            </w:r>
          </w:p>
        </w:tc>
        <w:tc>
          <w:tcPr>
            <w:tcW w:w="1701" w:type="dxa"/>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b/>
                <w:bCs/>
              </w:rPr>
            </w:pPr>
            <w:r w:rsidRPr="002F17B5">
              <w:rPr>
                <w:rFonts w:cs="Arial"/>
                <w:b/>
                <w:bCs/>
              </w:rPr>
              <w:t>151.3</w:t>
            </w:r>
          </w:p>
        </w:tc>
        <w:tc>
          <w:tcPr>
            <w:tcW w:w="1701" w:type="dxa"/>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b/>
                <w:bCs/>
              </w:rPr>
            </w:pPr>
            <w:r w:rsidRPr="002F17B5">
              <w:rPr>
                <w:rFonts w:cs="Arial"/>
                <w:b/>
                <w:bCs/>
              </w:rPr>
              <w:t>72.6</w:t>
            </w:r>
          </w:p>
        </w:tc>
        <w:tc>
          <w:tcPr>
            <w:tcW w:w="1276" w:type="dxa"/>
            <w:tcBorders>
              <w:top w:val="single" w:sz="4" w:space="0" w:color="auto"/>
            </w:tcBorders>
            <w:shd w:val="clear" w:color="auto" w:fill="FFFFFF" w:themeFill="background1"/>
            <w:noWrap/>
            <w:vAlign w:val="bottom"/>
            <w:hideMark/>
          </w:tcPr>
          <w:p w:rsidR="00991D5C" w:rsidRPr="002F17B5" w:rsidRDefault="00991D5C" w:rsidP="001D73DF">
            <w:pPr>
              <w:jc w:val="right"/>
              <w:rPr>
                <w:rFonts w:cs="Arial"/>
                <w:b/>
                <w:bCs/>
              </w:rPr>
            </w:pPr>
            <w:r w:rsidRPr="002F17B5">
              <w:rPr>
                <w:rFonts w:cs="Arial"/>
                <w:b/>
                <w:bCs/>
              </w:rPr>
              <w:t>702.</w:t>
            </w:r>
            <w:r w:rsidR="00F627DD">
              <w:rPr>
                <w:rFonts w:cs="Arial"/>
                <w:b/>
                <w:bCs/>
              </w:rPr>
              <w:t>7</w:t>
            </w:r>
          </w:p>
        </w:tc>
      </w:tr>
    </w:tbl>
    <w:p w:rsidR="00240E9F" w:rsidRPr="006728BA" w:rsidRDefault="00240E9F" w:rsidP="00E95ED7">
      <w:pPr>
        <w:autoSpaceDE/>
        <w:autoSpaceDN/>
        <w:adjustRightInd/>
        <w:spacing w:before="0" w:after="0"/>
        <w:ind w:left="170"/>
        <w:jc w:val="left"/>
        <w:rPr>
          <w:rFonts w:eastAsia="Times New Roman" w:cs="Arial"/>
          <w:color w:val="auto"/>
          <w:sz w:val="22"/>
          <w:szCs w:val="20"/>
          <w:lang w:eastAsia="en-GB"/>
        </w:rPr>
      </w:pPr>
      <w:r w:rsidRPr="006728BA">
        <w:rPr>
          <w:rFonts w:eastAsia="Times New Roman" w:cs="Arial"/>
          <w:color w:val="auto"/>
          <w:sz w:val="22"/>
          <w:szCs w:val="20"/>
          <w:lang w:eastAsia="en-GB"/>
        </w:rPr>
        <w:t xml:space="preserve">*** Heading </w:t>
      </w:r>
      <w:r w:rsidR="00C80F30" w:rsidRPr="006728BA">
        <w:rPr>
          <w:rFonts w:eastAsia="Times New Roman" w:cs="Arial"/>
          <w:color w:val="auto"/>
          <w:sz w:val="22"/>
          <w:szCs w:val="20"/>
          <w:lang w:eastAsia="en-GB"/>
        </w:rPr>
        <w:t>h</w:t>
      </w:r>
      <w:r w:rsidRPr="006728BA">
        <w:rPr>
          <w:rFonts w:eastAsia="Times New Roman" w:cs="Arial"/>
          <w:color w:val="auto"/>
          <w:sz w:val="22"/>
          <w:szCs w:val="20"/>
          <w:lang w:eastAsia="en-GB"/>
        </w:rPr>
        <w:t>as been changed to include public health in 2013-14</w:t>
      </w:r>
    </w:p>
    <w:p w:rsidR="000068C0" w:rsidRPr="002F17B5" w:rsidRDefault="000068C0" w:rsidP="00240E9F">
      <w:pPr>
        <w:autoSpaceDE/>
        <w:autoSpaceDN/>
        <w:adjustRightInd/>
        <w:spacing w:before="0" w:after="0"/>
        <w:jc w:val="left"/>
        <w:rPr>
          <w:rFonts w:eastAsia="Times New Roman" w:cs="Arial"/>
          <w:color w:val="auto"/>
          <w:sz w:val="20"/>
          <w:szCs w:val="20"/>
          <w:lang w:eastAsia="en-GB"/>
        </w:rPr>
      </w:pPr>
    </w:p>
    <w:p w:rsidR="00E95ED7" w:rsidRPr="002F17B5" w:rsidRDefault="00E95ED7" w:rsidP="00240E9F">
      <w:pPr>
        <w:autoSpaceDE/>
        <w:autoSpaceDN/>
        <w:adjustRightInd/>
        <w:spacing w:before="0" w:after="0"/>
        <w:jc w:val="left"/>
        <w:rPr>
          <w:rFonts w:eastAsia="Times New Roman" w:cs="Arial"/>
          <w:color w:val="auto"/>
          <w:sz w:val="20"/>
          <w:szCs w:val="20"/>
          <w:lang w:eastAsia="en-GB"/>
        </w:rPr>
      </w:pPr>
    </w:p>
    <w:p w:rsidR="00991D5C" w:rsidRPr="002F17B5" w:rsidRDefault="00991D5C" w:rsidP="00991D5C">
      <w:pPr>
        <w:jc w:val="left"/>
        <w:rPr>
          <w:b/>
          <w:bCs/>
          <w:sz w:val="23"/>
          <w:szCs w:val="23"/>
        </w:rPr>
      </w:pPr>
      <w:r w:rsidRPr="002F17B5">
        <w:rPr>
          <w:b/>
          <w:bCs/>
          <w:sz w:val="23"/>
          <w:szCs w:val="23"/>
        </w:rPr>
        <w:t>Reconciliation to Net Cost of Services in Comprehensive Income and Expenditure Statement</w:t>
      </w:r>
    </w:p>
    <w:tbl>
      <w:tblPr>
        <w:tblW w:w="9072" w:type="dxa"/>
        <w:tblInd w:w="108" w:type="dxa"/>
        <w:tblLayout w:type="fixed"/>
        <w:tblLook w:val="04A0" w:firstRow="1" w:lastRow="0" w:firstColumn="1" w:lastColumn="0" w:noHBand="0" w:noVBand="1"/>
      </w:tblPr>
      <w:tblGrid>
        <w:gridCol w:w="7513"/>
        <w:gridCol w:w="1559"/>
      </w:tblGrid>
      <w:tr w:rsidR="00991D5C" w:rsidRPr="002F17B5" w:rsidTr="005853E2">
        <w:trPr>
          <w:trHeight w:val="300"/>
        </w:trPr>
        <w:tc>
          <w:tcPr>
            <w:tcW w:w="7513" w:type="dxa"/>
            <w:shd w:val="clear" w:color="auto" w:fill="FFFFFF" w:themeFill="background1"/>
          </w:tcPr>
          <w:p w:rsidR="00991D5C" w:rsidRPr="002F17B5" w:rsidRDefault="00991D5C" w:rsidP="005853E2">
            <w:pPr>
              <w:jc w:val="left"/>
              <w:rPr>
                <w:b/>
                <w:bCs/>
              </w:rPr>
            </w:pPr>
          </w:p>
        </w:tc>
        <w:tc>
          <w:tcPr>
            <w:tcW w:w="1559" w:type="dxa"/>
            <w:shd w:val="clear" w:color="auto" w:fill="FFFFFF" w:themeFill="background1"/>
            <w:noWrap/>
            <w:hideMark/>
          </w:tcPr>
          <w:p w:rsidR="00991D5C" w:rsidRPr="002F17B5" w:rsidRDefault="00991D5C" w:rsidP="005853E2">
            <w:pPr>
              <w:jc w:val="right"/>
              <w:rPr>
                <w:b/>
                <w:bCs/>
              </w:rPr>
            </w:pPr>
            <w:r w:rsidRPr="002F17B5">
              <w:rPr>
                <w:b/>
                <w:bCs/>
              </w:rPr>
              <w:t>£m</w:t>
            </w:r>
          </w:p>
        </w:tc>
      </w:tr>
      <w:tr w:rsidR="00991D5C" w:rsidRPr="002F17B5" w:rsidTr="005853E2">
        <w:trPr>
          <w:trHeight w:val="300"/>
        </w:trPr>
        <w:tc>
          <w:tcPr>
            <w:tcW w:w="7513" w:type="dxa"/>
            <w:shd w:val="clear" w:color="auto" w:fill="FFFFFF" w:themeFill="background1"/>
            <w:vAlign w:val="bottom"/>
          </w:tcPr>
          <w:p w:rsidR="00991D5C" w:rsidRPr="002F17B5" w:rsidRDefault="00991D5C" w:rsidP="005853E2">
            <w:pPr>
              <w:jc w:val="left"/>
              <w:rPr>
                <w:rFonts w:cs="Arial"/>
              </w:rPr>
            </w:pPr>
            <w:r w:rsidRPr="002F17B5">
              <w:rPr>
                <w:rFonts w:cs="Arial"/>
              </w:rPr>
              <w:t>Cost of Services in Service Analysis</w:t>
            </w:r>
          </w:p>
        </w:tc>
        <w:tc>
          <w:tcPr>
            <w:tcW w:w="1559" w:type="dxa"/>
            <w:shd w:val="clear" w:color="auto" w:fill="FFFFFF" w:themeFill="background1"/>
            <w:noWrap/>
            <w:vAlign w:val="bottom"/>
            <w:hideMark/>
          </w:tcPr>
          <w:p w:rsidR="00991D5C" w:rsidRPr="002F17B5" w:rsidRDefault="00991D5C" w:rsidP="005853E2">
            <w:pPr>
              <w:jc w:val="right"/>
              <w:rPr>
                <w:b/>
                <w:bCs/>
              </w:rPr>
            </w:pPr>
            <w:r w:rsidRPr="002F17B5">
              <w:rPr>
                <w:b/>
                <w:bCs/>
              </w:rPr>
              <w:t>702.</w:t>
            </w:r>
            <w:r w:rsidR="00F627DD">
              <w:rPr>
                <w:b/>
                <w:bCs/>
              </w:rPr>
              <w:t>7</w:t>
            </w:r>
          </w:p>
        </w:tc>
      </w:tr>
      <w:tr w:rsidR="00991D5C" w:rsidRPr="002F17B5" w:rsidTr="005853E2">
        <w:trPr>
          <w:trHeight w:val="274"/>
        </w:trPr>
        <w:tc>
          <w:tcPr>
            <w:tcW w:w="7513" w:type="dxa"/>
            <w:shd w:val="clear" w:color="auto" w:fill="FFFFFF" w:themeFill="background1"/>
            <w:vAlign w:val="bottom"/>
          </w:tcPr>
          <w:p w:rsidR="00991D5C" w:rsidRPr="002F17B5" w:rsidRDefault="00991D5C" w:rsidP="005853E2">
            <w:pPr>
              <w:jc w:val="left"/>
              <w:rPr>
                <w:rFonts w:cs="Arial"/>
              </w:rPr>
            </w:pPr>
            <w:r w:rsidRPr="002F17B5">
              <w:rPr>
                <w:rFonts w:cs="Arial"/>
              </w:rPr>
              <w:t>Add services not included in main analysis</w:t>
            </w:r>
          </w:p>
        </w:tc>
        <w:tc>
          <w:tcPr>
            <w:tcW w:w="1559" w:type="dxa"/>
            <w:shd w:val="clear" w:color="auto" w:fill="FFFFFF" w:themeFill="background1"/>
            <w:noWrap/>
            <w:vAlign w:val="bottom"/>
            <w:hideMark/>
          </w:tcPr>
          <w:p w:rsidR="00991D5C" w:rsidRPr="002F17B5" w:rsidRDefault="00991D5C" w:rsidP="001D73DF">
            <w:pPr>
              <w:jc w:val="right"/>
            </w:pPr>
            <w:r w:rsidRPr="002F17B5">
              <w:t>(</w:t>
            </w:r>
            <w:r w:rsidR="0062676D" w:rsidRPr="002F17B5">
              <w:t>8.8</w:t>
            </w:r>
            <w:r w:rsidRPr="002F17B5">
              <w:t>)</w:t>
            </w:r>
          </w:p>
        </w:tc>
      </w:tr>
      <w:tr w:rsidR="00991D5C" w:rsidRPr="002F17B5" w:rsidTr="005853E2">
        <w:trPr>
          <w:trHeight w:val="300"/>
        </w:trPr>
        <w:tc>
          <w:tcPr>
            <w:tcW w:w="7513" w:type="dxa"/>
            <w:shd w:val="clear" w:color="auto" w:fill="FFFFFF" w:themeFill="background1"/>
            <w:vAlign w:val="bottom"/>
          </w:tcPr>
          <w:p w:rsidR="00991D5C" w:rsidRPr="002F17B5" w:rsidRDefault="00991D5C" w:rsidP="005853E2">
            <w:pPr>
              <w:jc w:val="left"/>
              <w:rPr>
                <w:rFonts w:cs="Arial"/>
              </w:rPr>
            </w:pPr>
            <w:r w:rsidRPr="002F17B5">
              <w:rPr>
                <w:rFonts w:cs="Arial"/>
              </w:rPr>
              <w:t>Add amounts not reported to management</w:t>
            </w:r>
          </w:p>
        </w:tc>
        <w:tc>
          <w:tcPr>
            <w:tcW w:w="1559" w:type="dxa"/>
            <w:shd w:val="clear" w:color="auto" w:fill="FFFFFF" w:themeFill="background1"/>
            <w:noWrap/>
            <w:vAlign w:val="bottom"/>
            <w:hideMark/>
          </w:tcPr>
          <w:p w:rsidR="00991D5C" w:rsidRPr="002F17B5" w:rsidRDefault="00991D5C" w:rsidP="005853E2">
            <w:pPr>
              <w:jc w:val="right"/>
            </w:pPr>
            <w:r w:rsidRPr="002F17B5">
              <w:t>100.1</w:t>
            </w:r>
          </w:p>
        </w:tc>
      </w:tr>
      <w:tr w:rsidR="00991D5C" w:rsidRPr="002F17B5" w:rsidTr="00CC24FD">
        <w:trPr>
          <w:trHeight w:val="300"/>
        </w:trPr>
        <w:tc>
          <w:tcPr>
            <w:tcW w:w="7513" w:type="dxa"/>
            <w:shd w:val="clear" w:color="auto" w:fill="FFFFFF" w:themeFill="background1"/>
            <w:vAlign w:val="bottom"/>
          </w:tcPr>
          <w:p w:rsidR="00991D5C" w:rsidRPr="002F17B5" w:rsidRDefault="00991D5C" w:rsidP="005853E2">
            <w:pPr>
              <w:jc w:val="left"/>
              <w:rPr>
                <w:rFonts w:cs="Arial"/>
              </w:rPr>
            </w:pPr>
            <w:r w:rsidRPr="002F17B5">
              <w:rPr>
                <w:rFonts w:cs="Arial"/>
              </w:rPr>
              <w:t>Remove amounts reported to management not included in Comprehensive Income and Expenditure Statement</w:t>
            </w:r>
          </w:p>
        </w:tc>
        <w:tc>
          <w:tcPr>
            <w:tcW w:w="1559" w:type="dxa"/>
            <w:tcBorders>
              <w:bottom w:val="single" w:sz="4" w:space="0" w:color="auto"/>
            </w:tcBorders>
            <w:shd w:val="clear" w:color="auto" w:fill="FFFFFF" w:themeFill="background1"/>
            <w:noWrap/>
            <w:vAlign w:val="bottom"/>
            <w:hideMark/>
          </w:tcPr>
          <w:p w:rsidR="00991D5C" w:rsidRPr="002F17B5" w:rsidRDefault="00991D5C" w:rsidP="005853E2">
            <w:pPr>
              <w:jc w:val="right"/>
            </w:pPr>
            <w:r w:rsidRPr="002F17B5">
              <w:t>(6.8)</w:t>
            </w:r>
          </w:p>
        </w:tc>
      </w:tr>
      <w:tr w:rsidR="00991D5C" w:rsidRPr="002F17B5" w:rsidTr="00CC24FD">
        <w:trPr>
          <w:trHeight w:val="300"/>
        </w:trPr>
        <w:tc>
          <w:tcPr>
            <w:tcW w:w="7513" w:type="dxa"/>
            <w:shd w:val="clear" w:color="auto" w:fill="FFFFFF" w:themeFill="background1"/>
            <w:vAlign w:val="bottom"/>
          </w:tcPr>
          <w:p w:rsidR="00991D5C" w:rsidRPr="002F17B5" w:rsidRDefault="00991D5C" w:rsidP="005853E2">
            <w:pPr>
              <w:jc w:val="left"/>
              <w:rPr>
                <w:rFonts w:cs="Arial"/>
                <w:b/>
                <w:bCs/>
              </w:rPr>
            </w:pPr>
            <w:r w:rsidRPr="002F17B5">
              <w:rPr>
                <w:rFonts w:cs="Arial"/>
                <w:b/>
                <w:bCs/>
              </w:rPr>
              <w:t>Net Cost of Services in Comprehensive Income and Expenditure Statement</w:t>
            </w:r>
          </w:p>
        </w:tc>
        <w:tc>
          <w:tcPr>
            <w:tcW w:w="1559" w:type="dxa"/>
            <w:tcBorders>
              <w:top w:val="single" w:sz="4" w:space="0" w:color="auto"/>
            </w:tcBorders>
            <w:shd w:val="clear" w:color="auto" w:fill="FFFFFF" w:themeFill="background1"/>
            <w:noWrap/>
            <w:vAlign w:val="center"/>
            <w:hideMark/>
          </w:tcPr>
          <w:p w:rsidR="00991D5C" w:rsidRPr="002F17B5" w:rsidRDefault="00991D5C" w:rsidP="001D73DF">
            <w:pPr>
              <w:jc w:val="right"/>
              <w:rPr>
                <w:b/>
                <w:bCs/>
              </w:rPr>
            </w:pPr>
            <w:r w:rsidRPr="002F17B5">
              <w:rPr>
                <w:b/>
                <w:bCs/>
              </w:rPr>
              <w:t>78</w:t>
            </w:r>
            <w:r w:rsidR="001D73DF" w:rsidRPr="002F17B5">
              <w:rPr>
                <w:b/>
                <w:bCs/>
              </w:rPr>
              <w:t>7</w:t>
            </w:r>
            <w:r w:rsidR="0062676D" w:rsidRPr="002F17B5">
              <w:rPr>
                <w:b/>
                <w:bCs/>
              </w:rPr>
              <w:t>.</w:t>
            </w:r>
            <w:r w:rsidR="00F627DD">
              <w:rPr>
                <w:b/>
                <w:bCs/>
              </w:rPr>
              <w:t>2</w:t>
            </w:r>
          </w:p>
        </w:tc>
      </w:tr>
    </w:tbl>
    <w:p w:rsidR="00991D5C" w:rsidRPr="002F17B5" w:rsidRDefault="00991D5C" w:rsidP="00991D5C">
      <w:pPr>
        <w:jc w:val="left"/>
        <w:rPr>
          <w:b/>
          <w:bCs/>
          <w:sz w:val="32"/>
          <w:szCs w:val="32"/>
        </w:rPr>
        <w:sectPr w:rsidR="00991D5C" w:rsidRPr="002F17B5" w:rsidSect="008E0F34">
          <w:headerReference w:type="even" r:id="rId35"/>
          <w:headerReference w:type="default" r:id="rId36"/>
          <w:footerReference w:type="default" r:id="rId37"/>
          <w:headerReference w:type="first" r:id="rId38"/>
          <w:pgSz w:w="11906" w:h="16838" w:code="9"/>
          <w:pgMar w:top="720" w:right="720" w:bottom="720" w:left="720" w:header="706" w:footer="706" w:gutter="0"/>
          <w:cols w:space="708"/>
          <w:docGrid w:linePitch="360"/>
        </w:sectPr>
      </w:pPr>
    </w:p>
    <w:tbl>
      <w:tblPr>
        <w:tblW w:w="15326" w:type="dxa"/>
        <w:jc w:val="center"/>
        <w:tblLook w:val="04A0" w:firstRow="1" w:lastRow="0" w:firstColumn="1" w:lastColumn="0" w:noHBand="0" w:noVBand="1"/>
      </w:tblPr>
      <w:tblGrid>
        <w:gridCol w:w="4723"/>
        <w:gridCol w:w="1431"/>
        <w:gridCol w:w="47"/>
        <w:gridCol w:w="1187"/>
        <w:gridCol w:w="373"/>
        <w:gridCol w:w="1612"/>
        <w:gridCol w:w="514"/>
        <w:gridCol w:w="1329"/>
        <w:gridCol w:w="283"/>
        <w:gridCol w:w="1134"/>
        <w:gridCol w:w="102"/>
        <w:gridCol w:w="1174"/>
        <w:gridCol w:w="142"/>
        <w:gridCol w:w="1275"/>
      </w:tblGrid>
      <w:tr w:rsidR="00991D5C" w:rsidRPr="002F17B5" w:rsidTr="005853E2">
        <w:trPr>
          <w:trHeight w:val="960"/>
          <w:jc w:val="center"/>
        </w:trPr>
        <w:tc>
          <w:tcPr>
            <w:tcW w:w="4723" w:type="dxa"/>
            <w:shd w:val="clear" w:color="auto" w:fill="FFFFFF" w:themeFill="background1"/>
            <w:vAlign w:val="center"/>
            <w:hideMark/>
          </w:tcPr>
          <w:p w:rsidR="00991D5C" w:rsidRPr="002F17B5" w:rsidRDefault="00991D5C" w:rsidP="005853E2">
            <w:pPr>
              <w:autoSpaceDE/>
              <w:autoSpaceDN/>
              <w:adjustRightInd/>
              <w:spacing w:before="0" w:after="0"/>
              <w:jc w:val="left"/>
              <w:rPr>
                <w:rFonts w:eastAsia="Times New Roman" w:cs="Arial"/>
                <w:b/>
                <w:bCs/>
                <w:u w:val="single"/>
                <w:lang w:eastAsia="en-GB"/>
              </w:rPr>
            </w:pPr>
            <w:r w:rsidRPr="002F17B5">
              <w:rPr>
                <w:rFonts w:eastAsia="Times New Roman" w:cs="Arial"/>
                <w:b/>
                <w:bCs/>
                <w:u w:val="single"/>
                <w:lang w:eastAsia="en-GB"/>
              </w:rPr>
              <w:lastRenderedPageBreak/>
              <w:t>2013/14</w:t>
            </w:r>
          </w:p>
        </w:tc>
        <w:tc>
          <w:tcPr>
            <w:tcW w:w="1431" w:type="dxa"/>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Directorate Analysis</w:t>
            </w:r>
          </w:p>
        </w:tc>
        <w:tc>
          <w:tcPr>
            <w:tcW w:w="1607" w:type="dxa"/>
            <w:gridSpan w:val="3"/>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Services &amp; Support Services not in analysis</w:t>
            </w:r>
          </w:p>
        </w:tc>
        <w:tc>
          <w:tcPr>
            <w:tcW w:w="2126"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Amounts not reported to management for decision making</w:t>
            </w:r>
          </w:p>
        </w:tc>
        <w:tc>
          <w:tcPr>
            <w:tcW w:w="1612"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Amounts not included in the I&amp;E</w:t>
            </w:r>
          </w:p>
        </w:tc>
        <w:tc>
          <w:tcPr>
            <w:tcW w:w="1236"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Cost of Services</w:t>
            </w:r>
          </w:p>
        </w:tc>
        <w:tc>
          <w:tcPr>
            <w:tcW w:w="1316"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Corporate Amounts</w:t>
            </w:r>
          </w:p>
        </w:tc>
        <w:tc>
          <w:tcPr>
            <w:tcW w:w="1275" w:type="dxa"/>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Total</w:t>
            </w:r>
          </w:p>
        </w:tc>
      </w:tr>
      <w:tr w:rsidR="00991D5C" w:rsidRPr="002F17B5" w:rsidTr="001C1AA2">
        <w:trPr>
          <w:trHeight w:val="315"/>
          <w:jc w:val="center"/>
        </w:trPr>
        <w:tc>
          <w:tcPr>
            <w:tcW w:w="4723" w:type="dxa"/>
            <w:shd w:val="clear" w:color="auto" w:fill="FFFFFF" w:themeFill="background1"/>
            <w:vAlign w:val="bottom"/>
            <w:hideMark/>
          </w:tcPr>
          <w:p w:rsidR="00991D5C" w:rsidRPr="002F17B5" w:rsidRDefault="00991D5C" w:rsidP="005853E2">
            <w:pPr>
              <w:autoSpaceDE/>
              <w:autoSpaceDN/>
              <w:adjustRightInd/>
              <w:spacing w:before="0" w:after="0"/>
              <w:jc w:val="left"/>
              <w:rPr>
                <w:rFonts w:ascii="Calibri" w:eastAsia="Times New Roman" w:hAnsi="Calibri" w:cs="Arial"/>
                <w:sz w:val="22"/>
                <w:szCs w:val="22"/>
                <w:lang w:eastAsia="en-GB"/>
              </w:rPr>
            </w:pPr>
          </w:p>
        </w:tc>
        <w:tc>
          <w:tcPr>
            <w:tcW w:w="1478"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187" w:type="dxa"/>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985"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843"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417"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276"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417"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r>
      <w:tr w:rsidR="00991D5C" w:rsidRPr="002F17B5" w:rsidTr="001C1AA2">
        <w:trPr>
          <w:trHeight w:val="300"/>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p>
        </w:tc>
        <w:tc>
          <w:tcPr>
            <w:tcW w:w="1478" w:type="dxa"/>
            <w:gridSpan w:val="2"/>
            <w:shd w:val="clear" w:color="auto" w:fill="FFFFFF" w:themeFill="background1"/>
            <w:noWrap/>
            <w:vAlign w:val="bottom"/>
            <w:hideMark/>
          </w:tcPr>
          <w:p w:rsidR="00991D5C" w:rsidRPr="002F17B5" w:rsidRDefault="00991D5C" w:rsidP="005853E2">
            <w:pPr>
              <w:jc w:val="right"/>
            </w:pPr>
          </w:p>
        </w:tc>
        <w:tc>
          <w:tcPr>
            <w:tcW w:w="1187" w:type="dxa"/>
            <w:shd w:val="clear" w:color="auto" w:fill="FFFFFF" w:themeFill="background1"/>
            <w:noWrap/>
            <w:vAlign w:val="bottom"/>
            <w:hideMark/>
          </w:tcPr>
          <w:p w:rsidR="00991D5C" w:rsidRPr="002F17B5" w:rsidRDefault="00991D5C" w:rsidP="005853E2">
            <w:pPr>
              <w:jc w:val="right"/>
            </w:pPr>
          </w:p>
        </w:tc>
        <w:tc>
          <w:tcPr>
            <w:tcW w:w="1985" w:type="dxa"/>
            <w:gridSpan w:val="2"/>
            <w:shd w:val="clear" w:color="auto" w:fill="FFFFFF" w:themeFill="background1"/>
            <w:noWrap/>
            <w:vAlign w:val="bottom"/>
            <w:hideMark/>
          </w:tcPr>
          <w:p w:rsidR="00991D5C" w:rsidRPr="002F17B5" w:rsidRDefault="00991D5C" w:rsidP="005853E2">
            <w:pPr>
              <w:jc w:val="right"/>
            </w:pPr>
          </w:p>
        </w:tc>
        <w:tc>
          <w:tcPr>
            <w:tcW w:w="1843" w:type="dxa"/>
            <w:gridSpan w:val="2"/>
            <w:shd w:val="clear" w:color="auto" w:fill="FFFFFF" w:themeFill="background1"/>
            <w:noWrap/>
            <w:vAlign w:val="bottom"/>
            <w:hideMark/>
          </w:tcPr>
          <w:p w:rsidR="00991D5C" w:rsidRPr="002F17B5" w:rsidRDefault="00991D5C" w:rsidP="005853E2">
            <w:pPr>
              <w:jc w:val="right"/>
            </w:pPr>
          </w:p>
        </w:tc>
        <w:tc>
          <w:tcPr>
            <w:tcW w:w="1417" w:type="dxa"/>
            <w:gridSpan w:val="2"/>
            <w:shd w:val="clear" w:color="auto" w:fill="FFFFFF" w:themeFill="background1"/>
            <w:noWrap/>
            <w:vAlign w:val="bottom"/>
            <w:hideMark/>
          </w:tcPr>
          <w:p w:rsidR="00991D5C" w:rsidRPr="002F17B5" w:rsidRDefault="00991D5C" w:rsidP="005853E2">
            <w:pPr>
              <w:jc w:val="right"/>
            </w:pPr>
          </w:p>
        </w:tc>
        <w:tc>
          <w:tcPr>
            <w:tcW w:w="1276" w:type="dxa"/>
            <w:gridSpan w:val="2"/>
            <w:shd w:val="clear" w:color="auto" w:fill="FFFFFF" w:themeFill="background1"/>
            <w:noWrap/>
            <w:vAlign w:val="bottom"/>
            <w:hideMark/>
          </w:tcPr>
          <w:p w:rsidR="00991D5C" w:rsidRPr="002F17B5" w:rsidRDefault="00991D5C" w:rsidP="005853E2">
            <w:pPr>
              <w:jc w:val="right"/>
            </w:pPr>
          </w:p>
        </w:tc>
        <w:tc>
          <w:tcPr>
            <w:tcW w:w="1417" w:type="dxa"/>
            <w:gridSpan w:val="2"/>
            <w:shd w:val="clear" w:color="auto" w:fill="FFFFFF" w:themeFill="background1"/>
            <w:noWrap/>
            <w:vAlign w:val="bottom"/>
            <w:hideMark/>
          </w:tcPr>
          <w:p w:rsidR="00991D5C" w:rsidRPr="002F17B5" w:rsidRDefault="00991D5C" w:rsidP="005853E2">
            <w:pPr>
              <w:jc w:val="right"/>
            </w:pPr>
          </w:p>
        </w:tc>
      </w:tr>
      <w:tr w:rsidR="00991D5C" w:rsidRPr="002F17B5" w:rsidTr="001C1AA2">
        <w:trPr>
          <w:trHeight w:val="300"/>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Fees, charges and other service income</w:t>
            </w:r>
          </w:p>
        </w:tc>
        <w:tc>
          <w:tcPr>
            <w:tcW w:w="1478" w:type="dxa"/>
            <w:gridSpan w:val="2"/>
            <w:shd w:val="clear" w:color="auto" w:fill="FFFFFF" w:themeFill="background1"/>
            <w:noWrap/>
            <w:vAlign w:val="bottom"/>
            <w:hideMark/>
          </w:tcPr>
          <w:p w:rsidR="00991D5C" w:rsidRPr="002F17B5" w:rsidRDefault="00991D5C" w:rsidP="001D73DF">
            <w:pPr>
              <w:jc w:val="right"/>
              <w:rPr>
                <w:rFonts w:cs="Arial"/>
              </w:rPr>
            </w:pPr>
            <w:r w:rsidRPr="002F17B5">
              <w:rPr>
                <w:rFonts w:cs="Arial"/>
              </w:rPr>
              <w:t>29</w:t>
            </w:r>
            <w:r w:rsidR="0062676D" w:rsidRPr="002F17B5">
              <w:rPr>
                <w:rFonts w:cs="Arial"/>
              </w:rPr>
              <w:t>3.</w:t>
            </w:r>
            <w:r w:rsidR="00F627DD">
              <w:rPr>
                <w:rFonts w:cs="Arial"/>
              </w:rPr>
              <w:t>3</w:t>
            </w:r>
          </w:p>
        </w:tc>
        <w:tc>
          <w:tcPr>
            <w:tcW w:w="1187" w:type="dxa"/>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985"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991D5C" w:rsidP="001D73DF">
            <w:pPr>
              <w:jc w:val="right"/>
              <w:rPr>
                <w:rFonts w:cs="Arial"/>
              </w:rPr>
            </w:pPr>
            <w:r w:rsidRPr="002F17B5">
              <w:rPr>
                <w:rFonts w:cs="Arial"/>
              </w:rPr>
              <w:t>29</w:t>
            </w:r>
            <w:r w:rsidR="0062676D" w:rsidRPr="002F17B5">
              <w:rPr>
                <w:rFonts w:cs="Arial"/>
              </w:rPr>
              <w:t>3.</w:t>
            </w:r>
            <w:r w:rsidR="00F627DD">
              <w:rPr>
                <w:rFonts w:cs="Arial"/>
              </w:rPr>
              <w:t>3</w:t>
            </w:r>
          </w:p>
        </w:tc>
        <w:tc>
          <w:tcPr>
            <w:tcW w:w="1276" w:type="dxa"/>
            <w:gridSpan w:val="2"/>
            <w:shd w:val="clear" w:color="auto" w:fill="FFFFFF" w:themeFill="background1"/>
            <w:noWrap/>
            <w:vAlign w:val="bottom"/>
            <w:hideMark/>
          </w:tcPr>
          <w:p w:rsidR="00991D5C" w:rsidRPr="002F17B5" w:rsidRDefault="00F70955" w:rsidP="005853E2">
            <w:pPr>
              <w:jc w:val="right"/>
              <w:rPr>
                <w:rFonts w:cs="Arial"/>
              </w:rPr>
            </w:pPr>
            <w:r w:rsidRPr="002F17B5">
              <w:rPr>
                <w:rFonts w:cs="Arial"/>
              </w:rPr>
              <w:t>14.1</w:t>
            </w:r>
          </w:p>
        </w:tc>
        <w:tc>
          <w:tcPr>
            <w:tcW w:w="1417" w:type="dxa"/>
            <w:gridSpan w:val="2"/>
            <w:shd w:val="clear" w:color="auto" w:fill="FFFFFF" w:themeFill="background1"/>
            <w:noWrap/>
            <w:vAlign w:val="bottom"/>
            <w:hideMark/>
          </w:tcPr>
          <w:p w:rsidR="00991D5C" w:rsidRPr="002F17B5" w:rsidRDefault="0062676D" w:rsidP="00F70955">
            <w:pPr>
              <w:jc w:val="right"/>
              <w:rPr>
                <w:rFonts w:cs="Arial"/>
              </w:rPr>
            </w:pPr>
            <w:r w:rsidRPr="002F17B5">
              <w:rPr>
                <w:rFonts w:cs="Arial"/>
              </w:rPr>
              <w:t>307.</w:t>
            </w:r>
            <w:r w:rsidR="00F627DD">
              <w:rPr>
                <w:rFonts w:cs="Arial"/>
              </w:rPr>
              <w:t>4</w:t>
            </w:r>
          </w:p>
        </w:tc>
      </w:tr>
      <w:tr w:rsidR="00991D5C" w:rsidRPr="002F17B5" w:rsidTr="001C1AA2">
        <w:trPr>
          <w:trHeight w:val="315"/>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Interest and investment income</w:t>
            </w:r>
          </w:p>
        </w:tc>
        <w:tc>
          <w:tcPr>
            <w:tcW w:w="1478"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187" w:type="dxa"/>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985"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276"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19.</w:t>
            </w:r>
            <w:r w:rsidR="0062676D" w:rsidRPr="002F17B5">
              <w:rPr>
                <w:rFonts w:cs="Arial"/>
              </w:rPr>
              <w:t>5</w:t>
            </w:r>
          </w:p>
        </w:tc>
        <w:tc>
          <w:tcPr>
            <w:tcW w:w="1417"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19.</w:t>
            </w:r>
            <w:r w:rsidR="0062676D" w:rsidRPr="002F17B5">
              <w:rPr>
                <w:rFonts w:cs="Arial"/>
              </w:rPr>
              <w:t>5</w:t>
            </w:r>
          </w:p>
        </w:tc>
      </w:tr>
      <w:tr w:rsidR="00991D5C" w:rsidRPr="002F17B5" w:rsidTr="001C1AA2">
        <w:trPr>
          <w:trHeight w:val="315"/>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Income from council tax</w:t>
            </w:r>
          </w:p>
        </w:tc>
        <w:tc>
          <w:tcPr>
            <w:tcW w:w="1478"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187" w:type="dxa"/>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985"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276" w:type="dxa"/>
            <w:gridSpan w:val="2"/>
            <w:shd w:val="clear" w:color="auto" w:fill="FFFFFF" w:themeFill="background1"/>
            <w:noWrap/>
            <w:vAlign w:val="bottom"/>
            <w:hideMark/>
          </w:tcPr>
          <w:p w:rsidR="00991D5C" w:rsidRPr="002F17B5" w:rsidRDefault="0062676D" w:rsidP="005853E2">
            <w:pPr>
              <w:jc w:val="right"/>
              <w:rPr>
                <w:rFonts w:cs="Arial"/>
              </w:rPr>
            </w:pPr>
            <w:r w:rsidRPr="002F17B5">
              <w:rPr>
                <w:rFonts w:cs="Arial"/>
              </w:rPr>
              <w:t>364.4</w:t>
            </w:r>
          </w:p>
        </w:tc>
        <w:tc>
          <w:tcPr>
            <w:tcW w:w="1417" w:type="dxa"/>
            <w:gridSpan w:val="2"/>
            <w:shd w:val="clear" w:color="auto" w:fill="FFFFFF" w:themeFill="background1"/>
            <w:noWrap/>
            <w:vAlign w:val="bottom"/>
            <w:hideMark/>
          </w:tcPr>
          <w:p w:rsidR="00991D5C" w:rsidRPr="002F17B5" w:rsidRDefault="0062676D" w:rsidP="005853E2">
            <w:pPr>
              <w:jc w:val="right"/>
              <w:rPr>
                <w:rFonts w:cs="Arial"/>
              </w:rPr>
            </w:pPr>
            <w:r w:rsidRPr="002F17B5">
              <w:rPr>
                <w:rFonts w:cs="Arial"/>
              </w:rPr>
              <w:t>364.4</w:t>
            </w:r>
          </w:p>
        </w:tc>
      </w:tr>
      <w:tr w:rsidR="00991D5C" w:rsidRPr="002F17B5" w:rsidTr="001C1AA2">
        <w:trPr>
          <w:trHeight w:val="315"/>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Government grants and contributions</w:t>
            </w:r>
          </w:p>
        </w:tc>
        <w:tc>
          <w:tcPr>
            <w:tcW w:w="1478"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1,063.9</w:t>
            </w:r>
          </w:p>
        </w:tc>
        <w:tc>
          <w:tcPr>
            <w:tcW w:w="1187" w:type="dxa"/>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1</w:t>
            </w:r>
            <w:r w:rsidR="0062676D" w:rsidRPr="002F17B5">
              <w:rPr>
                <w:rFonts w:cs="Arial"/>
              </w:rPr>
              <w:t>7.3</w:t>
            </w:r>
          </w:p>
        </w:tc>
        <w:tc>
          <w:tcPr>
            <w:tcW w:w="1985"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(91.5)</w:t>
            </w:r>
          </w:p>
        </w:tc>
        <w:tc>
          <w:tcPr>
            <w:tcW w:w="1417"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989.</w:t>
            </w:r>
            <w:r w:rsidR="0062676D" w:rsidRPr="002F17B5">
              <w:rPr>
                <w:rFonts w:cs="Arial"/>
              </w:rPr>
              <w:t>7</w:t>
            </w:r>
          </w:p>
        </w:tc>
        <w:tc>
          <w:tcPr>
            <w:tcW w:w="1276" w:type="dxa"/>
            <w:gridSpan w:val="2"/>
            <w:tcBorders>
              <w:bottom w:val="single" w:sz="4" w:space="0" w:color="auto"/>
            </w:tcBorders>
            <w:shd w:val="clear" w:color="auto" w:fill="FFFFFF" w:themeFill="background1"/>
            <w:noWrap/>
            <w:vAlign w:val="bottom"/>
            <w:hideMark/>
          </w:tcPr>
          <w:p w:rsidR="00991D5C" w:rsidRPr="002F17B5" w:rsidRDefault="0062676D" w:rsidP="005853E2">
            <w:pPr>
              <w:jc w:val="right"/>
              <w:rPr>
                <w:rFonts w:cs="Arial"/>
              </w:rPr>
            </w:pPr>
            <w:r w:rsidRPr="002F17B5">
              <w:rPr>
                <w:rFonts w:cs="Arial"/>
              </w:rPr>
              <w:t>525.6</w:t>
            </w:r>
          </w:p>
        </w:tc>
        <w:tc>
          <w:tcPr>
            <w:tcW w:w="1417"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1,5</w:t>
            </w:r>
            <w:r w:rsidR="0062676D" w:rsidRPr="002F17B5">
              <w:rPr>
                <w:rFonts w:cs="Arial"/>
              </w:rPr>
              <w:t>15</w:t>
            </w:r>
            <w:r w:rsidR="00240E9F" w:rsidRPr="002F17B5">
              <w:rPr>
                <w:rFonts w:cs="Arial"/>
              </w:rPr>
              <w:t>.</w:t>
            </w:r>
            <w:r w:rsidR="0062676D" w:rsidRPr="002F17B5">
              <w:rPr>
                <w:rFonts w:cs="Arial"/>
              </w:rPr>
              <w:t>3</w:t>
            </w:r>
          </w:p>
        </w:tc>
      </w:tr>
      <w:tr w:rsidR="00991D5C" w:rsidRPr="002F17B5" w:rsidTr="001C1AA2">
        <w:trPr>
          <w:trHeight w:val="315"/>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b/>
                <w:bCs/>
                <w:lang w:eastAsia="en-GB"/>
              </w:rPr>
            </w:pPr>
            <w:r w:rsidRPr="002F17B5">
              <w:rPr>
                <w:rFonts w:eastAsia="Times New Roman" w:cs="Arial"/>
                <w:b/>
                <w:bCs/>
                <w:lang w:eastAsia="en-GB"/>
              </w:rPr>
              <w:t>Total Income</w:t>
            </w:r>
          </w:p>
        </w:tc>
        <w:tc>
          <w:tcPr>
            <w:tcW w:w="1478" w:type="dxa"/>
            <w:gridSpan w:val="2"/>
            <w:tcBorders>
              <w:top w:val="single" w:sz="4" w:space="0" w:color="auto"/>
            </w:tcBorders>
            <w:shd w:val="clear" w:color="auto" w:fill="FFFFFF" w:themeFill="background1"/>
            <w:noWrap/>
            <w:vAlign w:val="bottom"/>
            <w:hideMark/>
          </w:tcPr>
          <w:p w:rsidR="00991D5C" w:rsidRPr="002F17B5" w:rsidRDefault="00991D5C">
            <w:pPr>
              <w:jc w:val="right"/>
              <w:rPr>
                <w:rFonts w:cs="Arial"/>
              </w:rPr>
            </w:pPr>
            <w:r w:rsidRPr="002F17B5">
              <w:rPr>
                <w:rFonts w:cs="Arial"/>
              </w:rPr>
              <w:t>1,35</w:t>
            </w:r>
            <w:r w:rsidR="0062676D" w:rsidRPr="002F17B5">
              <w:rPr>
                <w:rFonts w:cs="Arial"/>
              </w:rPr>
              <w:t>7.</w:t>
            </w:r>
            <w:r w:rsidR="00F627DD">
              <w:rPr>
                <w:rFonts w:cs="Arial"/>
              </w:rPr>
              <w:t>2</w:t>
            </w:r>
          </w:p>
        </w:tc>
        <w:tc>
          <w:tcPr>
            <w:tcW w:w="1187" w:type="dxa"/>
            <w:tcBorders>
              <w:top w:val="single" w:sz="4" w:space="0" w:color="auto"/>
            </w:tcBorders>
            <w:shd w:val="clear" w:color="auto" w:fill="FFFFFF" w:themeFill="background1"/>
            <w:noWrap/>
            <w:vAlign w:val="bottom"/>
            <w:hideMark/>
          </w:tcPr>
          <w:p w:rsidR="00991D5C" w:rsidRPr="002F17B5" w:rsidRDefault="0062676D" w:rsidP="005853E2">
            <w:pPr>
              <w:jc w:val="right"/>
              <w:rPr>
                <w:rFonts w:cs="Arial"/>
              </w:rPr>
            </w:pPr>
            <w:r w:rsidRPr="002F17B5">
              <w:rPr>
                <w:rFonts w:cs="Arial"/>
              </w:rPr>
              <w:t>17.3</w:t>
            </w:r>
          </w:p>
        </w:tc>
        <w:tc>
          <w:tcPr>
            <w:tcW w:w="1985" w:type="dxa"/>
            <w:gridSpan w:val="2"/>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(91.5)</w:t>
            </w:r>
          </w:p>
        </w:tc>
        <w:tc>
          <w:tcPr>
            <w:tcW w:w="1417" w:type="dxa"/>
            <w:gridSpan w:val="2"/>
            <w:tcBorders>
              <w:top w:val="single" w:sz="4" w:space="0" w:color="auto"/>
            </w:tcBorders>
            <w:shd w:val="clear" w:color="auto" w:fill="FFFFFF" w:themeFill="background1"/>
            <w:noWrap/>
            <w:vAlign w:val="bottom"/>
            <w:hideMark/>
          </w:tcPr>
          <w:p w:rsidR="00991D5C" w:rsidRPr="002F17B5" w:rsidRDefault="0062676D">
            <w:pPr>
              <w:jc w:val="right"/>
              <w:rPr>
                <w:rFonts w:cs="Arial"/>
              </w:rPr>
            </w:pPr>
            <w:r w:rsidRPr="002F17B5">
              <w:rPr>
                <w:rFonts w:cs="Arial"/>
              </w:rPr>
              <w:t>1,28</w:t>
            </w:r>
            <w:r w:rsidR="00F627DD">
              <w:rPr>
                <w:rFonts w:cs="Arial"/>
              </w:rPr>
              <w:t>3.0</w:t>
            </w:r>
          </w:p>
        </w:tc>
        <w:tc>
          <w:tcPr>
            <w:tcW w:w="1276" w:type="dxa"/>
            <w:gridSpan w:val="2"/>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9</w:t>
            </w:r>
            <w:r w:rsidR="0062676D" w:rsidRPr="002F17B5">
              <w:rPr>
                <w:rFonts w:cs="Arial"/>
              </w:rPr>
              <w:t>23.6</w:t>
            </w:r>
          </w:p>
        </w:tc>
        <w:tc>
          <w:tcPr>
            <w:tcW w:w="1417" w:type="dxa"/>
            <w:gridSpan w:val="2"/>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2,20</w:t>
            </w:r>
            <w:r w:rsidR="00F70955" w:rsidRPr="002F17B5">
              <w:rPr>
                <w:rFonts w:cs="Arial"/>
              </w:rPr>
              <w:t>6</w:t>
            </w:r>
            <w:r w:rsidR="00C80F30" w:rsidRPr="002F17B5">
              <w:rPr>
                <w:rFonts w:cs="Arial"/>
              </w:rPr>
              <w:t>.</w:t>
            </w:r>
            <w:r w:rsidR="00F627DD">
              <w:rPr>
                <w:rFonts w:cs="Arial"/>
              </w:rPr>
              <w:t>6</w:t>
            </w:r>
          </w:p>
        </w:tc>
      </w:tr>
      <w:tr w:rsidR="00991D5C" w:rsidRPr="002F17B5" w:rsidTr="001C1AA2">
        <w:trPr>
          <w:trHeight w:val="315"/>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ascii="Calibri" w:eastAsia="Times New Roman" w:hAnsi="Calibri" w:cs="Arial"/>
                <w:sz w:val="22"/>
                <w:szCs w:val="22"/>
                <w:lang w:eastAsia="en-GB"/>
              </w:rPr>
            </w:pPr>
          </w:p>
        </w:tc>
        <w:tc>
          <w:tcPr>
            <w:tcW w:w="1478" w:type="dxa"/>
            <w:gridSpan w:val="2"/>
            <w:shd w:val="clear" w:color="auto" w:fill="FFFFFF" w:themeFill="background1"/>
            <w:noWrap/>
            <w:vAlign w:val="bottom"/>
            <w:hideMark/>
          </w:tcPr>
          <w:p w:rsidR="00991D5C" w:rsidRPr="002F17B5" w:rsidRDefault="00991D5C" w:rsidP="005853E2">
            <w:pPr>
              <w:rPr>
                <w:rFonts w:cs="Arial"/>
              </w:rPr>
            </w:pPr>
          </w:p>
        </w:tc>
        <w:tc>
          <w:tcPr>
            <w:tcW w:w="1187" w:type="dxa"/>
            <w:shd w:val="clear" w:color="auto" w:fill="FFFFFF" w:themeFill="background1"/>
            <w:noWrap/>
            <w:vAlign w:val="bottom"/>
            <w:hideMark/>
          </w:tcPr>
          <w:p w:rsidR="00991D5C" w:rsidRPr="002F17B5" w:rsidRDefault="00991D5C" w:rsidP="005853E2">
            <w:pPr>
              <w:rPr>
                <w:rFonts w:cs="Arial"/>
              </w:rPr>
            </w:pPr>
          </w:p>
        </w:tc>
        <w:tc>
          <w:tcPr>
            <w:tcW w:w="1985" w:type="dxa"/>
            <w:gridSpan w:val="2"/>
            <w:shd w:val="clear" w:color="auto" w:fill="FFFFFF" w:themeFill="background1"/>
            <w:noWrap/>
            <w:vAlign w:val="bottom"/>
            <w:hideMark/>
          </w:tcPr>
          <w:p w:rsidR="00991D5C" w:rsidRPr="002F17B5" w:rsidRDefault="00991D5C" w:rsidP="005853E2">
            <w:pPr>
              <w:rPr>
                <w:rFonts w:cs="Arial"/>
              </w:rPr>
            </w:pPr>
          </w:p>
        </w:tc>
        <w:tc>
          <w:tcPr>
            <w:tcW w:w="1843" w:type="dxa"/>
            <w:gridSpan w:val="2"/>
            <w:shd w:val="clear" w:color="auto" w:fill="FFFFFF" w:themeFill="background1"/>
            <w:noWrap/>
            <w:vAlign w:val="bottom"/>
            <w:hideMark/>
          </w:tcPr>
          <w:p w:rsidR="00991D5C" w:rsidRPr="002F17B5" w:rsidRDefault="00991D5C" w:rsidP="005853E2">
            <w:pPr>
              <w:rPr>
                <w:rFonts w:cs="Arial"/>
              </w:rPr>
            </w:pPr>
          </w:p>
        </w:tc>
        <w:tc>
          <w:tcPr>
            <w:tcW w:w="1417" w:type="dxa"/>
            <w:gridSpan w:val="2"/>
            <w:shd w:val="clear" w:color="auto" w:fill="FFFFFF" w:themeFill="background1"/>
            <w:noWrap/>
            <w:vAlign w:val="bottom"/>
            <w:hideMark/>
          </w:tcPr>
          <w:p w:rsidR="00991D5C" w:rsidRPr="002F17B5" w:rsidRDefault="00991D5C" w:rsidP="005853E2">
            <w:pPr>
              <w:rPr>
                <w:rFonts w:cs="Arial"/>
              </w:rPr>
            </w:pPr>
          </w:p>
        </w:tc>
        <w:tc>
          <w:tcPr>
            <w:tcW w:w="1276" w:type="dxa"/>
            <w:gridSpan w:val="2"/>
            <w:shd w:val="clear" w:color="auto" w:fill="FFFFFF" w:themeFill="background1"/>
            <w:noWrap/>
            <w:vAlign w:val="bottom"/>
            <w:hideMark/>
          </w:tcPr>
          <w:p w:rsidR="00991D5C" w:rsidRPr="002F17B5" w:rsidRDefault="00991D5C" w:rsidP="005853E2">
            <w:pPr>
              <w:rPr>
                <w:rFonts w:cs="Arial"/>
              </w:rPr>
            </w:pPr>
          </w:p>
        </w:tc>
        <w:tc>
          <w:tcPr>
            <w:tcW w:w="1417" w:type="dxa"/>
            <w:gridSpan w:val="2"/>
            <w:shd w:val="clear" w:color="auto" w:fill="FFFFFF" w:themeFill="background1"/>
            <w:noWrap/>
            <w:vAlign w:val="bottom"/>
            <w:hideMark/>
          </w:tcPr>
          <w:p w:rsidR="00991D5C" w:rsidRPr="002F17B5" w:rsidRDefault="00991D5C" w:rsidP="005853E2">
            <w:pPr>
              <w:rPr>
                <w:rFonts w:cs="Arial"/>
              </w:rPr>
            </w:pPr>
          </w:p>
        </w:tc>
      </w:tr>
      <w:tr w:rsidR="00991D5C" w:rsidRPr="002F17B5" w:rsidTr="001C1AA2">
        <w:trPr>
          <w:trHeight w:val="300"/>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Employee expenses</w:t>
            </w:r>
          </w:p>
        </w:tc>
        <w:tc>
          <w:tcPr>
            <w:tcW w:w="1478"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925.1</w:t>
            </w:r>
          </w:p>
        </w:tc>
        <w:tc>
          <w:tcPr>
            <w:tcW w:w="1187" w:type="dxa"/>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985" w:type="dxa"/>
            <w:gridSpan w:val="2"/>
            <w:shd w:val="clear" w:color="auto" w:fill="FFFFFF" w:themeFill="background1"/>
            <w:noWrap/>
            <w:vAlign w:val="bottom"/>
            <w:hideMark/>
          </w:tcPr>
          <w:p w:rsidR="00991D5C" w:rsidRPr="002F17B5" w:rsidRDefault="00271773" w:rsidP="005853E2">
            <w:pPr>
              <w:jc w:val="right"/>
              <w:rPr>
                <w:rFonts w:cs="Arial"/>
              </w:rPr>
            </w:pPr>
            <w:r w:rsidRPr="002F17B5">
              <w:rPr>
                <w:rFonts w:cs="Arial"/>
              </w:rPr>
              <w:t>7.0</w:t>
            </w:r>
          </w:p>
        </w:tc>
        <w:tc>
          <w:tcPr>
            <w:tcW w:w="1843"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271773" w:rsidP="005853E2">
            <w:pPr>
              <w:jc w:val="right"/>
              <w:rPr>
                <w:rFonts w:cs="Arial"/>
              </w:rPr>
            </w:pPr>
            <w:r w:rsidRPr="002F17B5">
              <w:rPr>
                <w:rFonts w:cs="Arial"/>
              </w:rPr>
              <w:t>932.1</w:t>
            </w:r>
          </w:p>
        </w:tc>
        <w:tc>
          <w:tcPr>
            <w:tcW w:w="1276"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271773" w:rsidP="005853E2">
            <w:pPr>
              <w:jc w:val="right"/>
              <w:rPr>
                <w:rFonts w:cs="Arial"/>
              </w:rPr>
            </w:pPr>
            <w:r w:rsidRPr="002F17B5">
              <w:rPr>
                <w:rFonts w:cs="Arial"/>
              </w:rPr>
              <w:t>932.1</w:t>
            </w:r>
          </w:p>
        </w:tc>
      </w:tr>
      <w:tr w:rsidR="00991D5C" w:rsidRPr="002F17B5" w:rsidTr="001C1AA2">
        <w:trPr>
          <w:trHeight w:val="300"/>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Other service expenses</w:t>
            </w:r>
          </w:p>
        </w:tc>
        <w:tc>
          <w:tcPr>
            <w:tcW w:w="1478"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1,14</w:t>
            </w:r>
            <w:r w:rsidR="00F627DD">
              <w:rPr>
                <w:rFonts w:cs="Arial"/>
              </w:rPr>
              <w:t>6.2</w:t>
            </w:r>
          </w:p>
        </w:tc>
        <w:tc>
          <w:tcPr>
            <w:tcW w:w="1187" w:type="dxa"/>
            <w:shd w:val="clear" w:color="auto" w:fill="FFFFFF" w:themeFill="background1"/>
            <w:noWrap/>
            <w:vAlign w:val="bottom"/>
            <w:hideMark/>
          </w:tcPr>
          <w:p w:rsidR="00991D5C" w:rsidRPr="002F17B5" w:rsidRDefault="00991D5C" w:rsidP="005853E2">
            <w:pPr>
              <w:jc w:val="right"/>
              <w:rPr>
                <w:rFonts w:cs="Arial"/>
              </w:rPr>
            </w:pPr>
            <w:r w:rsidRPr="002F17B5">
              <w:rPr>
                <w:rFonts w:cs="Arial"/>
              </w:rPr>
              <w:t>8.</w:t>
            </w:r>
            <w:r w:rsidR="0062676D" w:rsidRPr="002F17B5">
              <w:rPr>
                <w:rFonts w:cs="Arial"/>
              </w:rPr>
              <w:t>5</w:t>
            </w:r>
          </w:p>
        </w:tc>
        <w:tc>
          <w:tcPr>
            <w:tcW w:w="1985"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(98.3)</w:t>
            </w:r>
          </w:p>
        </w:tc>
        <w:tc>
          <w:tcPr>
            <w:tcW w:w="1417"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1,05</w:t>
            </w:r>
            <w:r w:rsidR="00F70955" w:rsidRPr="002F17B5">
              <w:rPr>
                <w:rFonts w:cs="Arial"/>
              </w:rPr>
              <w:t>6.</w:t>
            </w:r>
            <w:r w:rsidR="00F627DD">
              <w:rPr>
                <w:rFonts w:cs="Arial"/>
              </w:rPr>
              <w:t>4</w:t>
            </w:r>
          </w:p>
        </w:tc>
        <w:tc>
          <w:tcPr>
            <w:tcW w:w="1276"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11.0</w:t>
            </w:r>
          </w:p>
        </w:tc>
        <w:tc>
          <w:tcPr>
            <w:tcW w:w="1417" w:type="dxa"/>
            <w:gridSpan w:val="2"/>
            <w:shd w:val="clear" w:color="auto" w:fill="FFFFFF" w:themeFill="background1"/>
            <w:noWrap/>
            <w:vAlign w:val="bottom"/>
            <w:hideMark/>
          </w:tcPr>
          <w:p w:rsidR="00991D5C" w:rsidRPr="002F17B5" w:rsidRDefault="00F70955" w:rsidP="005853E2">
            <w:pPr>
              <w:jc w:val="right"/>
              <w:rPr>
                <w:rFonts w:cs="Arial"/>
              </w:rPr>
            </w:pPr>
            <w:r w:rsidRPr="002F17B5">
              <w:rPr>
                <w:rFonts w:cs="Arial"/>
              </w:rPr>
              <w:t>1,067.</w:t>
            </w:r>
            <w:r w:rsidR="00F627DD">
              <w:rPr>
                <w:rFonts w:cs="Arial"/>
              </w:rPr>
              <w:t>4</w:t>
            </w:r>
          </w:p>
        </w:tc>
      </w:tr>
      <w:tr w:rsidR="00991D5C" w:rsidRPr="002F17B5" w:rsidTr="001C1AA2">
        <w:trPr>
          <w:trHeight w:val="300"/>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Support service recharges</w:t>
            </w:r>
          </w:p>
        </w:tc>
        <w:tc>
          <w:tcPr>
            <w:tcW w:w="1478"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(11.4)</w:t>
            </w:r>
          </w:p>
        </w:tc>
        <w:tc>
          <w:tcPr>
            <w:tcW w:w="1187" w:type="dxa"/>
            <w:shd w:val="clear" w:color="auto" w:fill="FFFFFF" w:themeFill="background1"/>
            <w:noWrap/>
            <w:vAlign w:val="bottom"/>
            <w:hideMark/>
          </w:tcPr>
          <w:p w:rsidR="00991D5C" w:rsidRPr="002F17B5" w:rsidRDefault="00991D5C" w:rsidP="005853E2">
            <w:pPr>
              <w:jc w:val="right"/>
              <w:rPr>
                <w:rFonts w:ascii="Verdana" w:hAnsi="Verdana" w:cs="Arial"/>
                <w:sz w:val="20"/>
                <w:szCs w:val="20"/>
              </w:rPr>
            </w:pPr>
            <w:r w:rsidRPr="002F17B5">
              <w:rPr>
                <w:rFonts w:ascii="Verdana" w:hAnsi="Verdana" w:cs="Arial"/>
                <w:sz w:val="20"/>
                <w:szCs w:val="20"/>
              </w:rPr>
              <w:t>-</w:t>
            </w:r>
          </w:p>
        </w:tc>
        <w:tc>
          <w:tcPr>
            <w:tcW w:w="1985"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(11.4)</w:t>
            </w:r>
          </w:p>
        </w:tc>
        <w:tc>
          <w:tcPr>
            <w:tcW w:w="1276" w:type="dxa"/>
            <w:gridSpan w:val="2"/>
            <w:shd w:val="clear" w:color="auto" w:fill="FFFFFF" w:themeFill="background1"/>
            <w:noWrap/>
            <w:vAlign w:val="bottom"/>
            <w:hideMark/>
          </w:tcPr>
          <w:p w:rsidR="00991D5C" w:rsidRPr="002F17B5" w:rsidRDefault="00991D5C" w:rsidP="005853E2">
            <w:pPr>
              <w:jc w:val="right"/>
              <w:rPr>
                <w:rFonts w:ascii="Calibri" w:hAnsi="Calibri" w:cs="Arial"/>
                <w:sz w:val="22"/>
                <w:szCs w:val="22"/>
              </w:rPr>
            </w:pPr>
            <w:r w:rsidRPr="002F17B5">
              <w:rPr>
                <w:rFonts w:ascii="Calibri" w:hAnsi="Calibri" w:cs="Arial"/>
                <w:sz w:val="22"/>
                <w:szCs w:val="22"/>
              </w:rPr>
              <w:t>-</w:t>
            </w:r>
          </w:p>
        </w:tc>
        <w:tc>
          <w:tcPr>
            <w:tcW w:w="1417"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(11.4)</w:t>
            </w:r>
          </w:p>
        </w:tc>
      </w:tr>
      <w:tr w:rsidR="00991D5C" w:rsidRPr="002F17B5" w:rsidTr="001C1AA2">
        <w:trPr>
          <w:trHeight w:val="300"/>
          <w:jc w:val="center"/>
        </w:trPr>
        <w:tc>
          <w:tcPr>
            <w:tcW w:w="4723" w:type="dxa"/>
            <w:shd w:val="clear" w:color="auto" w:fill="FFFFFF" w:themeFill="background1"/>
            <w:hideMark/>
          </w:tcPr>
          <w:p w:rsidR="00991D5C" w:rsidRPr="002F17B5" w:rsidRDefault="00D0122A" w:rsidP="003121E2">
            <w:pPr>
              <w:autoSpaceDE/>
              <w:autoSpaceDN/>
              <w:adjustRightInd/>
              <w:spacing w:before="0"/>
              <w:jc w:val="left"/>
              <w:rPr>
                <w:rFonts w:eastAsia="Times New Roman" w:cs="Arial"/>
                <w:lang w:eastAsia="en-GB"/>
              </w:rPr>
            </w:pPr>
            <w:r w:rsidRPr="002F17B5">
              <w:rPr>
                <w:rFonts w:eastAsia="Times New Roman" w:cs="Arial"/>
                <w:lang w:eastAsia="en-GB"/>
              </w:rPr>
              <w:t>Depreciation, amortisation,</w:t>
            </w:r>
            <w:r w:rsidR="00991D5C" w:rsidRPr="002F17B5">
              <w:rPr>
                <w:rFonts w:eastAsia="Times New Roman" w:cs="Arial"/>
                <w:lang w:eastAsia="en-GB"/>
              </w:rPr>
              <w:t xml:space="preserve"> impairment</w:t>
            </w:r>
            <w:r w:rsidRPr="002F17B5">
              <w:rPr>
                <w:rFonts w:eastAsia="Times New Roman" w:cs="Arial"/>
                <w:lang w:eastAsia="en-GB"/>
              </w:rPr>
              <w:t xml:space="preserve"> and REFCUS</w:t>
            </w:r>
          </w:p>
        </w:tc>
        <w:tc>
          <w:tcPr>
            <w:tcW w:w="1478" w:type="dxa"/>
            <w:gridSpan w:val="2"/>
            <w:shd w:val="clear" w:color="auto" w:fill="FFFFFF" w:themeFill="background1"/>
            <w:noWrap/>
            <w:vAlign w:val="bottom"/>
            <w:hideMark/>
          </w:tcPr>
          <w:p w:rsidR="00991D5C" w:rsidRPr="002F17B5" w:rsidRDefault="00991D5C" w:rsidP="003121E2">
            <w:pPr>
              <w:jc w:val="right"/>
              <w:rPr>
                <w:rFonts w:cs="Arial"/>
              </w:rPr>
            </w:pPr>
            <w:r w:rsidRPr="002F17B5">
              <w:rPr>
                <w:rFonts w:cs="Arial"/>
              </w:rPr>
              <w:t>-</w:t>
            </w:r>
          </w:p>
        </w:tc>
        <w:tc>
          <w:tcPr>
            <w:tcW w:w="1187" w:type="dxa"/>
            <w:shd w:val="clear" w:color="auto" w:fill="FFFFFF" w:themeFill="background1"/>
            <w:noWrap/>
            <w:vAlign w:val="bottom"/>
            <w:hideMark/>
          </w:tcPr>
          <w:p w:rsidR="00991D5C" w:rsidRPr="002F17B5" w:rsidRDefault="00991D5C" w:rsidP="003121E2">
            <w:pPr>
              <w:jc w:val="right"/>
              <w:rPr>
                <w:rFonts w:ascii="Verdana" w:hAnsi="Verdana" w:cs="Arial"/>
                <w:sz w:val="20"/>
                <w:szCs w:val="20"/>
              </w:rPr>
            </w:pPr>
            <w:r w:rsidRPr="002F17B5">
              <w:rPr>
                <w:rFonts w:ascii="Verdana" w:hAnsi="Verdana" w:cs="Arial"/>
                <w:sz w:val="20"/>
                <w:szCs w:val="20"/>
              </w:rPr>
              <w:t>-</w:t>
            </w:r>
          </w:p>
        </w:tc>
        <w:tc>
          <w:tcPr>
            <w:tcW w:w="1985" w:type="dxa"/>
            <w:gridSpan w:val="2"/>
            <w:shd w:val="clear" w:color="auto" w:fill="FFFFFF" w:themeFill="background1"/>
            <w:noWrap/>
            <w:vAlign w:val="bottom"/>
            <w:hideMark/>
          </w:tcPr>
          <w:p w:rsidR="00991D5C" w:rsidRPr="002F17B5" w:rsidRDefault="00271773" w:rsidP="003121E2">
            <w:pPr>
              <w:jc w:val="right"/>
              <w:rPr>
                <w:rFonts w:cs="Arial"/>
              </w:rPr>
            </w:pPr>
            <w:r w:rsidRPr="002F17B5">
              <w:rPr>
                <w:rFonts w:cs="Arial"/>
              </w:rPr>
              <w:t>93</w:t>
            </w:r>
            <w:r w:rsidR="00991D5C" w:rsidRPr="002F17B5">
              <w:rPr>
                <w:rFonts w:cs="Arial"/>
              </w:rPr>
              <w:t>.1</w:t>
            </w:r>
          </w:p>
        </w:tc>
        <w:tc>
          <w:tcPr>
            <w:tcW w:w="1843" w:type="dxa"/>
            <w:gridSpan w:val="2"/>
            <w:shd w:val="clear" w:color="auto" w:fill="FFFFFF" w:themeFill="background1"/>
            <w:noWrap/>
            <w:vAlign w:val="bottom"/>
            <w:hideMark/>
          </w:tcPr>
          <w:p w:rsidR="00991D5C" w:rsidRPr="002F17B5" w:rsidRDefault="00991D5C" w:rsidP="003121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271773" w:rsidP="003121E2">
            <w:pPr>
              <w:jc w:val="right"/>
              <w:rPr>
                <w:rFonts w:cs="Arial"/>
              </w:rPr>
            </w:pPr>
            <w:r w:rsidRPr="002F17B5">
              <w:rPr>
                <w:rFonts w:cs="Arial"/>
              </w:rPr>
              <w:t>93.1</w:t>
            </w:r>
          </w:p>
        </w:tc>
        <w:tc>
          <w:tcPr>
            <w:tcW w:w="1276" w:type="dxa"/>
            <w:gridSpan w:val="2"/>
            <w:shd w:val="clear" w:color="auto" w:fill="FFFFFF" w:themeFill="background1"/>
            <w:noWrap/>
            <w:vAlign w:val="bottom"/>
            <w:hideMark/>
          </w:tcPr>
          <w:p w:rsidR="00991D5C" w:rsidRPr="002F17B5" w:rsidRDefault="00991D5C" w:rsidP="003121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271773" w:rsidP="003121E2">
            <w:pPr>
              <w:jc w:val="right"/>
              <w:rPr>
                <w:rFonts w:cs="Arial"/>
              </w:rPr>
            </w:pPr>
            <w:r w:rsidRPr="002F17B5">
              <w:rPr>
                <w:rFonts w:cs="Arial"/>
              </w:rPr>
              <w:t>93.1</w:t>
            </w:r>
          </w:p>
        </w:tc>
      </w:tr>
      <w:tr w:rsidR="00991D5C" w:rsidRPr="002F17B5" w:rsidTr="001C1AA2">
        <w:trPr>
          <w:trHeight w:val="300"/>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Interest payments</w:t>
            </w:r>
          </w:p>
        </w:tc>
        <w:tc>
          <w:tcPr>
            <w:tcW w:w="1478"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187" w:type="dxa"/>
            <w:shd w:val="clear" w:color="auto" w:fill="FFFFFF" w:themeFill="background1"/>
            <w:noWrap/>
            <w:vAlign w:val="bottom"/>
            <w:hideMark/>
          </w:tcPr>
          <w:p w:rsidR="00991D5C" w:rsidRPr="002F17B5" w:rsidRDefault="00991D5C" w:rsidP="005853E2">
            <w:pPr>
              <w:jc w:val="right"/>
              <w:rPr>
                <w:rFonts w:ascii="Verdana" w:hAnsi="Verdana" w:cs="Arial"/>
                <w:sz w:val="20"/>
                <w:szCs w:val="20"/>
              </w:rPr>
            </w:pPr>
            <w:r w:rsidRPr="002F17B5">
              <w:rPr>
                <w:rFonts w:ascii="Verdana" w:hAnsi="Verdana" w:cs="Arial"/>
                <w:sz w:val="20"/>
                <w:szCs w:val="20"/>
              </w:rPr>
              <w:t>-</w:t>
            </w:r>
          </w:p>
        </w:tc>
        <w:tc>
          <w:tcPr>
            <w:tcW w:w="1985"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276" w:type="dxa"/>
            <w:gridSpan w:val="2"/>
            <w:shd w:val="clear" w:color="auto" w:fill="FFFFFF" w:themeFill="background1"/>
            <w:noWrap/>
            <w:vAlign w:val="bottom"/>
            <w:hideMark/>
          </w:tcPr>
          <w:p w:rsidR="00991D5C" w:rsidRPr="002F17B5" w:rsidRDefault="0062676D" w:rsidP="005853E2">
            <w:pPr>
              <w:jc w:val="right"/>
              <w:rPr>
                <w:rFonts w:cs="Arial"/>
              </w:rPr>
            </w:pPr>
            <w:r w:rsidRPr="002F17B5">
              <w:rPr>
                <w:rFonts w:cs="Arial"/>
              </w:rPr>
              <w:t>63.8</w:t>
            </w:r>
          </w:p>
        </w:tc>
        <w:tc>
          <w:tcPr>
            <w:tcW w:w="1417" w:type="dxa"/>
            <w:gridSpan w:val="2"/>
            <w:shd w:val="clear" w:color="auto" w:fill="FFFFFF" w:themeFill="background1"/>
            <w:noWrap/>
            <w:vAlign w:val="bottom"/>
            <w:hideMark/>
          </w:tcPr>
          <w:p w:rsidR="00991D5C" w:rsidRPr="002F17B5" w:rsidRDefault="0062676D" w:rsidP="005853E2">
            <w:pPr>
              <w:jc w:val="right"/>
              <w:rPr>
                <w:rFonts w:cs="Arial"/>
              </w:rPr>
            </w:pPr>
            <w:r w:rsidRPr="002F17B5">
              <w:rPr>
                <w:rFonts w:cs="Arial"/>
              </w:rPr>
              <w:t>63.8</w:t>
            </w:r>
          </w:p>
        </w:tc>
      </w:tr>
      <w:tr w:rsidR="00991D5C" w:rsidRPr="002F17B5" w:rsidTr="001C1AA2">
        <w:trPr>
          <w:trHeight w:val="300"/>
          <w:jc w:val="center"/>
        </w:trPr>
        <w:tc>
          <w:tcPr>
            <w:tcW w:w="4723" w:type="dxa"/>
            <w:shd w:val="clear" w:color="auto" w:fill="FFFFFF" w:themeFill="background1"/>
            <w:hideMark/>
          </w:tcPr>
          <w:p w:rsidR="00991D5C" w:rsidRPr="002F17B5" w:rsidRDefault="00991D5C" w:rsidP="00271773">
            <w:pPr>
              <w:autoSpaceDE/>
              <w:autoSpaceDN/>
              <w:adjustRightInd/>
              <w:spacing w:before="0" w:after="0"/>
              <w:jc w:val="left"/>
              <w:rPr>
                <w:rFonts w:eastAsia="Times New Roman" w:cs="Arial"/>
                <w:lang w:eastAsia="en-GB"/>
              </w:rPr>
            </w:pPr>
            <w:r w:rsidRPr="002F17B5">
              <w:rPr>
                <w:rFonts w:eastAsia="Times New Roman" w:cs="Arial"/>
                <w:lang w:eastAsia="en-GB"/>
              </w:rPr>
              <w:t>Precepts</w:t>
            </w:r>
            <w:r w:rsidR="00271773" w:rsidRPr="002F17B5">
              <w:rPr>
                <w:rFonts w:eastAsia="Times New Roman" w:cs="Arial"/>
                <w:lang w:eastAsia="en-GB"/>
              </w:rPr>
              <w:t>,</w:t>
            </w:r>
            <w:r w:rsidRPr="002F17B5">
              <w:rPr>
                <w:rFonts w:eastAsia="Times New Roman" w:cs="Arial"/>
                <w:lang w:eastAsia="en-GB"/>
              </w:rPr>
              <w:t xml:space="preserve"> levies</w:t>
            </w:r>
            <w:r w:rsidR="00271773" w:rsidRPr="002F17B5">
              <w:rPr>
                <w:rFonts w:eastAsia="Times New Roman" w:cs="Arial"/>
                <w:lang w:eastAsia="en-GB"/>
              </w:rPr>
              <w:t xml:space="preserve"> and net pension interest costs</w:t>
            </w:r>
          </w:p>
        </w:tc>
        <w:tc>
          <w:tcPr>
            <w:tcW w:w="1478"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187" w:type="dxa"/>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985"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276" w:type="dxa"/>
            <w:gridSpan w:val="2"/>
            <w:shd w:val="clear" w:color="auto" w:fill="FFFFFF" w:themeFill="background1"/>
            <w:noWrap/>
            <w:vAlign w:val="bottom"/>
            <w:hideMark/>
          </w:tcPr>
          <w:p w:rsidR="00991D5C" w:rsidRPr="002F17B5" w:rsidRDefault="00991D5C">
            <w:pPr>
              <w:jc w:val="right"/>
              <w:rPr>
                <w:rFonts w:cs="Arial"/>
              </w:rPr>
            </w:pPr>
            <w:r w:rsidRPr="002F17B5">
              <w:rPr>
                <w:rFonts w:cs="Arial"/>
              </w:rPr>
              <w:t>45.</w:t>
            </w:r>
            <w:r w:rsidR="00F627DD">
              <w:rPr>
                <w:rFonts w:cs="Arial"/>
              </w:rPr>
              <w:t>5</w:t>
            </w:r>
          </w:p>
        </w:tc>
        <w:tc>
          <w:tcPr>
            <w:tcW w:w="1417" w:type="dxa"/>
            <w:gridSpan w:val="2"/>
            <w:shd w:val="clear" w:color="auto" w:fill="FFFFFF" w:themeFill="background1"/>
            <w:noWrap/>
            <w:vAlign w:val="bottom"/>
            <w:hideMark/>
          </w:tcPr>
          <w:p w:rsidR="00991D5C" w:rsidRPr="002F17B5" w:rsidRDefault="008955D6" w:rsidP="005853E2">
            <w:pPr>
              <w:jc w:val="right"/>
              <w:rPr>
                <w:rFonts w:cs="Arial"/>
              </w:rPr>
            </w:pPr>
            <w:r>
              <w:rPr>
                <w:rFonts w:cs="Arial"/>
              </w:rPr>
              <w:t>45.5</w:t>
            </w:r>
          </w:p>
        </w:tc>
      </w:tr>
      <w:tr w:rsidR="00991D5C" w:rsidRPr="002F17B5" w:rsidTr="001C1AA2">
        <w:trPr>
          <w:trHeight w:val="315"/>
          <w:jc w:val="center"/>
        </w:trPr>
        <w:tc>
          <w:tcPr>
            <w:tcW w:w="4723" w:type="dxa"/>
            <w:shd w:val="clear" w:color="auto" w:fill="FFFFFF" w:themeFill="background1"/>
            <w:vAlign w:val="bottom"/>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Gains or losses on disposal of fixed assets</w:t>
            </w:r>
          </w:p>
        </w:tc>
        <w:tc>
          <w:tcPr>
            <w:tcW w:w="1478"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187" w:type="dxa"/>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985"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843"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417" w:type="dxa"/>
            <w:gridSpan w:val="2"/>
            <w:tcBorders>
              <w:bottom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w:t>
            </w:r>
          </w:p>
        </w:tc>
        <w:tc>
          <w:tcPr>
            <w:tcW w:w="1276" w:type="dxa"/>
            <w:gridSpan w:val="2"/>
            <w:tcBorders>
              <w:bottom w:val="single" w:sz="4" w:space="0" w:color="auto"/>
            </w:tcBorders>
            <w:shd w:val="clear" w:color="auto" w:fill="FFFFFF" w:themeFill="background1"/>
            <w:noWrap/>
            <w:vAlign w:val="bottom"/>
            <w:hideMark/>
          </w:tcPr>
          <w:p w:rsidR="00991D5C" w:rsidRPr="002F17B5" w:rsidRDefault="00F70955" w:rsidP="005853E2">
            <w:pPr>
              <w:jc w:val="right"/>
              <w:rPr>
                <w:rFonts w:cs="Arial"/>
              </w:rPr>
            </w:pPr>
            <w:r w:rsidRPr="002F17B5">
              <w:rPr>
                <w:rFonts w:cs="Arial"/>
              </w:rPr>
              <w:t>36.0</w:t>
            </w:r>
          </w:p>
        </w:tc>
        <w:tc>
          <w:tcPr>
            <w:tcW w:w="1417" w:type="dxa"/>
            <w:gridSpan w:val="2"/>
            <w:tcBorders>
              <w:bottom w:val="single" w:sz="4" w:space="0" w:color="auto"/>
            </w:tcBorders>
            <w:shd w:val="clear" w:color="auto" w:fill="FFFFFF" w:themeFill="background1"/>
            <w:noWrap/>
            <w:vAlign w:val="bottom"/>
            <w:hideMark/>
          </w:tcPr>
          <w:p w:rsidR="00991D5C" w:rsidRPr="002F17B5" w:rsidRDefault="00F70955" w:rsidP="005853E2">
            <w:pPr>
              <w:jc w:val="right"/>
              <w:rPr>
                <w:rFonts w:cs="Arial"/>
              </w:rPr>
            </w:pPr>
            <w:r w:rsidRPr="002F17B5">
              <w:rPr>
                <w:rFonts w:cs="Arial"/>
              </w:rPr>
              <w:t>36.0</w:t>
            </w:r>
          </w:p>
        </w:tc>
      </w:tr>
      <w:tr w:rsidR="00991D5C" w:rsidRPr="002F17B5" w:rsidTr="001C1AA2">
        <w:trPr>
          <w:trHeight w:val="330"/>
          <w:jc w:val="center"/>
        </w:trPr>
        <w:tc>
          <w:tcPr>
            <w:tcW w:w="4723" w:type="dxa"/>
            <w:shd w:val="clear" w:color="auto" w:fill="FFFFFF" w:themeFill="background1"/>
            <w:vAlign w:val="center"/>
            <w:hideMark/>
          </w:tcPr>
          <w:p w:rsidR="00991D5C" w:rsidRPr="002F17B5" w:rsidRDefault="00991D5C" w:rsidP="005853E2">
            <w:pPr>
              <w:autoSpaceDE/>
              <w:autoSpaceDN/>
              <w:adjustRightInd/>
              <w:spacing w:before="0" w:after="0"/>
              <w:jc w:val="left"/>
              <w:rPr>
                <w:rFonts w:eastAsia="Times New Roman" w:cs="Arial"/>
                <w:b/>
                <w:bCs/>
                <w:lang w:eastAsia="en-GB"/>
              </w:rPr>
            </w:pPr>
            <w:r w:rsidRPr="002F17B5">
              <w:rPr>
                <w:rFonts w:eastAsia="Times New Roman" w:cs="Arial"/>
                <w:b/>
                <w:bCs/>
                <w:lang w:eastAsia="en-GB"/>
              </w:rPr>
              <w:t>Total Expenditure</w:t>
            </w:r>
          </w:p>
        </w:tc>
        <w:tc>
          <w:tcPr>
            <w:tcW w:w="1478" w:type="dxa"/>
            <w:gridSpan w:val="2"/>
            <w:tcBorders>
              <w:top w:val="single" w:sz="4" w:space="0" w:color="auto"/>
            </w:tcBorders>
            <w:shd w:val="clear" w:color="auto" w:fill="FFFFFF" w:themeFill="background1"/>
            <w:noWrap/>
            <w:vAlign w:val="center"/>
            <w:hideMark/>
          </w:tcPr>
          <w:p w:rsidR="00991D5C" w:rsidRPr="002F17B5" w:rsidRDefault="00991D5C" w:rsidP="005853E2">
            <w:pPr>
              <w:jc w:val="right"/>
              <w:rPr>
                <w:rFonts w:cs="Arial"/>
              </w:rPr>
            </w:pPr>
            <w:r w:rsidRPr="002F17B5">
              <w:rPr>
                <w:rFonts w:cs="Arial"/>
              </w:rPr>
              <w:t>2,059.</w:t>
            </w:r>
            <w:r w:rsidR="00F627DD">
              <w:rPr>
                <w:rFonts w:cs="Arial"/>
              </w:rPr>
              <w:t>9</w:t>
            </w:r>
          </w:p>
        </w:tc>
        <w:tc>
          <w:tcPr>
            <w:tcW w:w="1187" w:type="dxa"/>
            <w:tcBorders>
              <w:top w:val="single" w:sz="4" w:space="0" w:color="auto"/>
            </w:tcBorders>
            <w:shd w:val="clear" w:color="auto" w:fill="FFFFFF" w:themeFill="background1"/>
            <w:noWrap/>
            <w:vAlign w:val="center"/>
            <w:hideMark/>
          </w:tcPr>
          <w:p w:rsidR="00991D5C" w:rsidRPr="002F17B5" w:rsidRDefault="00991D5C" w:rsidP="001D73DF">
            <w:pPr>
              <w:jc w:val="right"/>
              <w:rPr>
                <w:rFonts w:cs="Arial"/>
              </w:rPr>
            </w:pPr>
            <w:r w:rsidRPr="002F17B5">
              <w:rPr>
                <w:rFonts w:cs="Arial"/>
              </w:rPr>
              <w:t>8.</w:t>
            </w:r>
            <w:r w:rsidR="0062676D" w:rsidRPr="002F17B5">
              <w:rPr>
                <w:rFonts w:cs="Arial"/>
              </w:rPr>
              <w:t>5</w:t>
            </w:r>
          </w:p>
        </w:tc>
        <w:tc>
          <w:tcPr>
            <w:tcW w:w="1985" w:type="dxa"/>
            <w:gridSpan w:val="2"/>
            <w:tcBorders>
              <w:top w:val="single" w:sz="4" w:space="0" w:color="auto"/>
            </w:tcBorders>
            <w:shd w:val="clear" w:color="auto" w:fill="FFFFFF" w:themeFill="background1"/>
            <w:noWrap/>
            <w:vAlign w:val="center"/>
            <w:hideMark/>
          </w:tcPr>
          <w:p w:rsidR="00991D5C" w:rsidRPr="002F17B5" w:rsidRDefault="00991D5C" w:rsidP="005853E2">
            <w:pPr>
              <w:jc w:val="right"/>
              <w:rPr>
                <w:rFonts w:cs="Arial"/>
              </w:rPr>
            </w:pPr>
            <w:r w:rsidRPr="002F17B5">
              <w:rPr>
                <w:rFonts w:cs="Arial"/>
              </w:rPr>
              <w:t>100.1</w:t>
            </w:r>
          </w:p>
        </w:tc>
        <w:tc>
          <w:tcPr>
            <w:tcW w:w="1843" w:type="dxa"/>
            <w:gridSpan w:val="2"/>
            <w:tcBorders>
              <w:top w:val="single" w:sz="4" w:space="0" w:color="auto"/>
            </w:tcBorders>
            <w:shd w:val="clear" w:color="auto" w:fill="FFFFFF" w:themeFill="background1"/>
            <w:noWrap/>
            <w:vAlign w:val="center"/>
            <w:hideMark/>
          </w:tcPr>
          <w:p w:rsidR="00991D5C" w:rsidRPr="002F17B5" w:rsidRDefault="00991D5C" w:rsidP="005853E2">
            <w:pPr>
              <w:jc w:val="right"/>
              <w:rPr>
                <w:rFonts w:cs="Arial"/>
              </w:rPr>
            </w:pPr>
            <w:r w:rsidRPr="002F17B5">
              <w:rPr>
                <w:rFonts w:cs="Arial"/>
              </w:rPr>
              <w:t>(98.3)</w:t>
            </w:r>
          </w:p>
        </w:tc>
        <w:tc>
          <w:tcPr>
            <w:tcW w:w="1417" w:type="dxa"/>
            <w:gridSpan w:val="2"/>
            <w:tcBorders>
              <w:top w:val="single" w:sz="4" w:space="0" w:color="auto"/>
            </w:tcBorders>
            <w:shd w:val="clear" w:color="auto" w:fill="FFFFFF" w:themeFill="background1"/>
            <w:noWrap/>
            <w:vAlign w:val="center"/>
            <w:hideMark/>
          </w:tcPr>
          <w:p w:rsidR="00991D5C" w:rsidRPr="002F17B5" w:rsidRDefault="00991D5C">
            <w:pPr>
              <w:jc w:val="right"/>
              <w:rPr>
                <w:rFonts w:cs="Arial"/>
              </w:rPr>
            </w:pPr>
            <w:r w:rsidRPr="002F17B5">
              <w:rPr>
                <w:rFonts w:cs="Arial"/>
              </w:rPr>
              <w:t>2,0</w:t>
            </w:r>
            <w:r w:rsidR="00F627DD">
              <w:rPr>
                <w:rFonts w:cs="Arial"/>
              </w:rPr>
              <w:t>70.2</w:t>
            </w:r>
          </w:p>
        </w:tc>
        <w:tc>
          <w:tcPr>
            <w:tcW w:w="1276" w:type="dxa"/>
            <w:gridSpan w:val="2"/>
            <w:tcBorders>
              <w:top w:val="single" w:sz="4" w:space="0" w:color="auto"/>
            </w:tcBorders>
            <w:shd w:val="clear" w:color="auto" w:fill="FFFFFF" w:themeFill="background1"/>
            <w:noWrap/>
            <w:vAlign w:val="center"/>
            <w:hideMark/>
          </w:tcPr>
          <w:p w:rsidR="00991D5C" w:rsidRPr="002F17B5" w:rsidRDefault="00F70955" w:rsidP="005853E2">
            <w:pPr>
              <w:jc w:val="right"/>
              <w:rPr>
                <w:rFonts w:cs="Arial"/>
              </w:rPr>
            </w:pPr>
            <w:r w:rsidRPr="002F17B5">
              <w:rPr>
                <w:rFonts w:cs="Arial"/>
              </w:rPr>
              <w:t>156</w:t>
            </w:r>
            <w:r w:rsidR="0062676D" w:rsidRPr="002F17B5">
              <w:rPr>
                <w:rFonts w:cs="Arial"/>
              </w:rPr>
              <w:t>.</w:t>
            </w:r>
            <w:r w:rsidR="00F627DD">
              <w:rPr>
                <w:rFonts w:cs="Arial"/>
              </w:rPr>
              <w:t>3</w:t>
            </w:r>
          </w:p>
        </w:tc>
        <w:tc>
          <w:tcPr>
            <w:tcW w:w="1417" w:type="dxa"/>
            <w:gridSpan w:val="2"/>
            <w:tcBorders>
              <w:top w:val="single" w:sz="4" w:space="0" w:color="auto"/>
            </w:tcBorders>
            <w:shd w:val="clear" w:color="auto" w:fill="FFFFFF" w:themeFill="background1"/>
            <w:noWrap/>
            <w:vAlign w:val="center"/>
            <w:hideMark/>
          </w:tcPr>
          <w:p w:rsidR="00991D5C" w:rsidRPr="002F17B5" w:rsidRDefault="00991D5C" w:rsidP="005853E2">
            <w:pPr>
              <w:jc w:val="right"/>
              <w:rPr>
                <w:rFonts w:cs="Arial"/>
              </w:rPr>
            </w:pPr>
            <w:r w:rsidRPr="002F17B5">
              <w:rPr>
                <w:rFonts w:cs="Arial"/>
              </w:rPr>
              <w:t>2,</w:t>
            </w:r>
            <w:r w:rsidR="00F70955" w:rsidRPr="002F17B5">
              <w:rPr>
                <w:rFonts w:cs="Arial"/>
              </w:rPr>
              <w:t>226.</w:t>
            </w:r>
            <w:r w:rsidR="00F627DD">
              <w:rPr>
                <w:rFonts w:cs="Arial"/>
              </w:rPr>
              <w:t>5</w:t>
            </w:r>
          </w:p>
        </w:tc>
      </w:tr>
      <w:tr w:rsidR="00991D5C" w:rsidRPr="002F17B5" w:rsidTr="001C1AA2">
        <w:trPr>
          <w:trHeight w:val="330"/>
          <w:jc w:val="center"/>
        </w:trPr>
        <w:tc>
          <w:tcPr>
            <w:tcW w:w="4723"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b/>
                <w:bCs/>
                <w:lang w:eastAsia="en-GB"/>
              </w:rPr>
            </w:pPr>
            <w:r w:rsidRPr="002F17B5">
              <w:rPr>
                <w:rFonts w:eastAsia="Times New Roman" w:cs="Arial"/>
                <w:b/>
                <w:bCs/>
                <w:lang w:eastAsia="en-GB"/>
              </w:rPr>
              <w:t>Surplus or Deficit on the provision of services</w:t>
            </w:r>
          </w:p>
        </w:tc>
        <w:tc>
          <w:tcPr>
            <w:tcW w:w="1478" w:type="dxa"/>
            <w:gridSpan w:val="2"/>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702.</w:t>
            </w:r>
            <w:r w:rsidR="00F627DD">
              <w:rPr>
                <w:rFonts w:cs="Arial"/>
              </w:rPr>
              <w:t>7</w:t>
            </w:r>
          </w:p>
        </w:tc>
        <w:tc>
          <w:tcPr>
            <w:tcW w:w="1187" w:type="dxa"/>
            <w:tcBorders>
              <w:top w:val="single" w:sz="4" w:space="0" w:color="auto"/>
            </w:tcBorders>
            <w:shd w:val="clear" w:color="auto" w:fill="FFFFFF" w:themeFill="background1"/>
            <w:noWrap/>
            <w:vAlign w:val="bottom"/>
            <w:hideMark/>
          </w:tcPr>
          <w:p w:rsidR="00991D5C" w:rsidRPr="002F17B5" w:rsidRDefault="00991D5C" w:rsidP="001D73DF">
            <w:pPr>
              <w:jc w:val="right"/>
              <w:rPr>
                <w:rFonts w:cs="Arial"/>
              </w:rPr>
            </w:pPr>
            <w:r w:rsidRPr="002F17B5">
              <w:rPr>
                <w:rFonts w:cs="Arial"/>
              </w:rPr>
              <w:t>(</w:t>
            </w:r>
            <w:r w:rsidR="0062676D" w:rsidRPr="002F17B5">
              <w:rPr>
                <w:rFonts w:cs="Arial"/>
              </w:rPr>
              <w:t>8.8</w:t>
            </w:r>
            <w:r w:rsidRPr="002F17B5">
              <w:rPr>
                <w:rFonts w:cs="Arial"/>
              </w:rPr>
              <w:t>)</w:t>
            </w:r>
          </w:p>
        </w:tc>
        <w:tc>
          <w:tcPr>
            <w:tcW w:w="1985" w:type="dxa"/>
            <w:gridSpan w:val="2"/>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100.1</w:t>
            </w:r>
          </w:p>
        </w:tc>
        <w:tc>
          <w:tcPr>
            <w:tcW w:w="1843" w:type="dxa"/>
            <w:gridSpan w:val="2"/>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(6.8)</w:t>
            </w:r>
          </w:p>
        </w:tc>
        <w:tc>
          <w:tcPr>
            <w:tcW w:w="1417" w:type="dxa"/>
            <w:gridSpan w:val="2"/>
            <w:tcBorders>
              <w:top w:val="single" w:sz="4" w:space="0" w:color="auto"/>
            </w:tcBorders>
            <w:shd w:val="clear" w:color="auto" w:fill="FFFFFF" w:themeFill="background1"/>
            <w:noWrap/>
            <w:vAlign w:val="bottom"/>
            <w:hideMark/>
          </w:tcPr>
          <w:p w:rsidR="00991D5C" w:rsidRPr="002F17B5" w:rsidRDefault="00991D5C" w:rsidP="005853E2">
            <w:pPr>
              <w:jc w:val="right"/>
              <w:rPr>
                <w:rFonts w:cs="Arial"/>
              </w:rPr>
            </w:pPr>
            <w:r w:rsidRPr="002F17B5">
              <w:rPr>
                <w:rFonts w:cs="Arial"/>
              </w:rPr>
              <w:t>78</w:t>
            </w:r>
            <w:r w:rsidR="0062676D" w:rsidRPr="002F17B5">
              <w:rPr>
                <w:rFonts w:cs="Arial"/>
              </w:rPr>
              <w:t>7.</w:t>
            </w:r>
            <w:r w:rsidR="00F627DD">
              <w:rPr>
                <w:rFonts w:cs="Arial"/>
              </w:rPr>
              <w:t>2</w:t>
            </w:r>
          </w:p>
        </w:tc>
        <w:tc>
          <w:tcPr>
            <w:tcW w:w="1276" w:type="dxa"/>
            <w:gridSpan w:val="2"/>
            <w:tcBorders>
              <w:top w:val="single" w:sz="4" w:space="0" w:color="auto"/>
            </w:tcBorders>
            <w:shd w:val="clear" w:color="auto" w:fill="FFFFFF" w:themeFill="background1"/>
            <w:noWrap/>
            <w:vAlign w:val="bottom"/>
            <w:hideMark/>
          </w:tcPr>
          <w:p w:rsidR="00991D5C" w:rsidRPr="002F17B5" w:rsidRDefault="00F70955" w:rsidP="005853E2">
            <w:pPr>
              <w:jc w:val="right"/>
              <w:rPr>
                <w:rFonts w:cs="Arial"/>
              </w:rPr>
            </w:pPr>
            <w:r w:rsidRPr="002F17B5">
              <w:rPr>
                <w:rFonts w:cs="Arial"/>
              </w:rPr>
              <w:t>(767</w:t>
            </w:r>
            <w:r w:rsidR="0062676D" w:rsidRPr="002F17B5">
              <w:rPr>
                <w:rFonts w:cs="Arial"/>
              </w:rPr>
              <w:t>.</w:t>
            </w:r>
            <w:r w:rsidR="00F627DD">
              <w:rPr>
                <w:rFonts w:cs="Arial"/>
              </w:rPr>
              <w:t>3</w:t>
            </w:r>
            <w:r w:rsidR="00991D5C" w:rsidRPr="002F17B5">
              <w:rPr>
                <w:rFonts w:cs="Arial"/>
              </w:rPr>
              <w:t>)</w:t>
            </w:r>
          </w:p>
        </w:tc>
        <w:tc>
          <w:tcPr>
            <w:tcW w:w="1417" w:type="dxa"/>
            <w:gridSpan w:val="2"/>
            <w:tcBorders>
              <w:top w:val="single" w:sz="4" w:space="0" w:color="auto"/>
            </w:tcBorders>
            <w:shd w:val="clear" w:color="auto" w:fill="FFFFFF" w:themeFill="background1"/>
            <w:noWrap/>
            <w:vAlign w:val="bottom"/>
            <w:hideMark/>
          </w:tcPr>
          <w:p w:rsidR="00991D5C" w:rsidRPr="002F17B5" w:rsidRDefault="00F70955" w:rsidP="005853E2">
            <w:pPr>
              <w:jc w:val="right"/>
              <w:rPr>
                <w:rFonts w:cs="Arial"/>
              </w:rPr>
            </w:pPr>
            <w:r w:rsidRPr="002F17B5">
              <w:rPr>
                <w:rFonts w:cs="Arial"/>
              </w:rPr>
              <w:t>19.9</w:t>
            </w:r>
          </w:p>
        </w:tc>
      </w:tr>
    </w:tbl>
    <w:p w:rsidR="00991D5C" w:rsidRPr="002F17B5" w:rsidRDefault="00991D5C" w:rsidP="00991D5C"/>
    <w:p w:rsidR="00991D5C" w:rsidRPr="002F17B5" w:rsidRDefault="00991D5C" w:rsidP="00991D5C">
      <w:pPr>
        <w:sectPr w:rsidR="00991D5C" w:rsidRPr="002F17B5" w:rsidSect="008E0F34">
          <w:headerReference w:type="even" r:id="rId39"/>
          <w:headerReference w:type="default" r:id="rId40"/>
          <w:footerReference w:type="default" r:id="rId41"/>
          <w:headerReference w:type="first" r:id="rId42"/>
          <w:pgSz w:w="16838" w:h="11906" w:orient="landscape" w:code="9"/>
          <w:pgMar w:top="720" w:right="720" w:bottom="720" w:left="720" w:header="283" w:footer="283" w:gutter="0"/>
          <w:cols w:space="708"/>
          <w:docGrid w:linePitch="360"/>
        </w:sectPr>
      </w:pPr>
    </w:p>
    <w:p w:rsidR="00991D5C" w:rsidRPr="002F17B5" w:rsidRDefault="00991D5C" w:rsidP="00991D5C">
      <w:pPr>
        <w:rPr>
          <w:b/>
        </w:rPr>
      </w:pPr>
    </w:p>
    <w:tbl>
      <w:tblPr>
        <w:tblW w:w="10598" w:type="dxa"/>
        <w:jc w:val="center"/>
        <w:tblLayout w:type="fixed"/>
        <w:tblLook w:val="04A0" w:firstRow="1" w:lastRow="0" w:firstColumn="1" w:lastColumn="0" w:noHBand="0" w:noVBand="1"/>
      </w:tblPr>
      <w:tblGrid>
        <w:gridCol w:w="2835"/>
        <w:gridCol w:w="1560"/>
        <w:gridCol w:w="1525"/>
        <w:gridCol w:w="1701"/>
        <w:gridCol w:w="1701"/>
        <w:gridCol w:w="1276"/>
      </w:tblGrid>
      <w:tr w:rsidR="00991D5C" w:rsidRPr="002F17B5" w:rsidTr="005853E2">
        <w:trPr>
          <w:trHeight w:val="945"/>
          <w:jc w:val="center"/>
        </w:trPr>
        <w:tc>
          <w:tcPr>
            <w:tcW w:w="2835" w:type="dxa"/>
            <w:shd w:val="clear" w:color="auto" w:fill="FFFFFF" w:themeFill="background1"/>
            <w:noWrap/>
            <w:vAlign w:val="center"/>
            <w:hideMark/>
          </w:tcPr>
          <w:p w:rsidR="00991D5C" w:rsidRPr="002F17B5" w:rsidRDefault="00991D5C" w:rsidP="005853E2">
            <w:pPr>
              <w:jc w:val="left"/>
            </w:pPr>
            <w:r w:rsidRPr="002F17B5">
              <w:rPr>
                <w:b/>
                <w:bCs/>
                <w:u w:val="single"/>
              </w:rPr>
              <w:t>2012/13</w:t>
            </w:r>
          </w:p>
        </w:tc>
        <w:tc>
          <w:tcPr>
            <w:tcW w:w="1560" w:type="dxa"/>
            <w:shd w:val="clear" w:color="auto" w:fill="FFFFFF" w:themeFill="background1"/>
            <w:vAlign w:val="center"/>
          </w:tcPr>
          <w:p w:rsidR="00991D5C" w:rsidRPr="002F17B5" w:rsidRDefault="00991D5C" w:rsidP="00C411F3">
            <w:pPr>
              <w:jc w:val="right"/>
              <w:rPr>
                <w:b/>
                <w:bCs/>
              </w:rPr>
            </w:pPr>
            <w:r w:rsidRPr="002F17B5">
              <w:rPr>
                <w:b/>
                <w:bCs/>
              </w:rPr>
              <w:t xml:space="preserve">Adult </w:t>
            </w:r>
            <w:r w:rsidR="00C411F3">
              <w:rPr>
                <w:b/>
                <w:bCs/>
              </w:rPr>
              <w:t>Services, Health &amp; Wellbeing</w:t>
            </w:r>
            <w:r w:rsidRPr="002F17B5">
              <w:rPr>
                <w:b/>
                <w:bCs/>
              </w:rPr>
              <w:t xml:space="preserve"> </w:t>
            </w:r>
          </w:p>
        </w:tc>
        <w:tc>
          <w:tcPr>
            <w:tcW w:w="1525" w:type="dxa"/>
            <w:shd w:val="clear" w:color="auto" w:fill="FFFFFF" w:themeFill="background1"/>
            <w:vAlign w:val="center"/>
            <w:hideMark/>
          </w:tcPr>
          <w:p w:rsidR="00991D5C" w:rsidRPr="002F17B5" w:rsidRDefault="00991D5C" w:rsidP="005853E2">
            <w:pPr>
              <w:jc w:val="right"/>
              <w:rPr>
                <w:b/>
                <w:bCs/>
              </w:rPr>
            </w:pPr>
            <w:r w:rsidRPr="002F17B5">
              <w:rPr>
                <w:b/>
                <w:bCs/>
              </w:rPr>
              <w:t>Children &amp; Young People</w:t>
            </w:r>
          </w:p>
        </w:tc>
        <w:tc>
          <w:tcPr>
            <w:tcW w:w="1701" w:type="dxa"/>
            <w:shd w:val="clear" w:color="auto" w:fill="FFFFFF" w:themeFill="background1"/>
            <w:vAlign w:val="center"/>
            <w:hideMark/>
          </w:tcPr>
          <w:p w:rsidR="00991D5C" w:rsidRPr="002F17B5" w:rsidRDefault="00991D5C" w:rsidP="005853E2">
            <w:pPr>
              <w:jc w:val="right"/>
              <w:rPr>
                <w:b/>
                <w:bCs/>
              </w:rPr>
            </w:pPr>
            <w:r w:rsidRPr="002F17B5">
              <w:rPr>
                <w:b/>
                <w:bCs/>
              </w:rPr>
              <w:t>Environment</w:t>
            </w:r>
          </w:p>
        </w:tc>
        <w:tc>
          <w:tcPr>
            <w:tcW w:w="1701" w:type="dxa"/>
            <w:shd w:val="clear" w:color="auto" w:fill="FFFFFF" w:themeFill="background1"/>
            <w:vAlign w:val="center"/>
            <w:hideMark/>
          </w:tcPr>
          <w:p w:rsidR="00991D5C" w:rsidRPr="002F17B5" w:rsidRDefault="00991D5C" w:rsidP="005853E2">
            <w:pPr>
              <w:jc w:val="right"/>
              <w:rPr>
                <w:b/>
                <w:bCs/>
              </w:rPr>
            </w:pPr>
            <w:r w:rsidRPr="002F17B5">
              <w:rPr>
                <w:b/>
                <w:bCs/>
              </w:rPr>
              <w:t>Other Directorates</w:t>
            </w:r>
          </w:p>
        </w:tc>
        <w:tc>
          <w:tcPr>
            <w:tcW w:w="1276" w:type="dxa"/>
            <w:shd w:val="clear" w:color="auto" w:fill="FFFFFF" w:themeFill="background1"/>
            <w:vAlign w:val="center"/>
            <w:hideMark/>
          </w:tcPr>
          <w:p w:rsidR="00991D5C" w:rsidRPr="002F17B5" w:rsidRDefault="00991D5C" w:rsidP="005853E2">
            <w:pPr>
              <w:jc w:val="right"/>
              <w:rPr>
                <w:b/>
                <w:bCs/>
              </w:rPr>
            </w:pPr>
            <w:r w:rsidRPr="002F17B5">
              <w:rPr>
                <w:b/>
                <w:bCs/>
              </w:rPr>
              <w:t>Total</w:t>
            </w: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rPr>
                <w:b/>
                <w:bCs/>
                <w:sz w:val="20"/>
                <w:u w:val="single"/>
              </w:rPr>
            </w:pPr>
          </w:p>
        </w:tc>
        <w:tc>
          <w:tcPr>
            <w:tcW w:w="1560" w:type="dxa"/>
            <w:shd w:val="clear" w:color="auto" w:fill="FFFFFF" w:themeFill="background1"/>
            <w:vAlign w:val="center"/>
          </w:tcPr>
          <w:p w:rsidR="00991D5C" w:rsidRPr="002F17B5" w:rsidRDefault="00991D5C" w:rsidP="005853E2">
            <w:pPr>
              <w:jc w:val="right"/>
              <w:rPr>
                <w:b/>
                <w:bCs/>
              </w:rPr>
            </w:pPr>
            <w:r w:rsidRPr="002F17B5">
              <w:rPr>
                <w:b/>
                <w:bCs/>
              </w:rPr>
              <w:t>£m</w:t>
            </w:r>
          </w:p>
        </w:tc>
        <w:tc>
          <w:tcPr>
            <w:tcW w:w="1525" w:type="dxa"/>
            <w:shd w:val="clear" w:color="auto" w:fill="FFFFFF" w:themeFill="background1"/>
            <w:noWrap/>
            <w:vAlign w:val="center"/>
            <w:hideMark/>
          </w:tcPr>
          <w:p w:rsidR="00991D5C" w:rsidRPr="002F17B5" w:rsidRDefault="00991D5C" w:rsidP="005853E2">
            <w:pPr>
              <w:jc w:val="right"/>
              <w:rPr>
                <w:b/>
                <w:bCs/>
              </w:rPr>
            </w:pPr>
            <w:r w:rsidRPr="002F17B5">
              <w:rPr>
                <w:b/>
                <w:bCs/>
              </w:rPr>
              <w:t>£m</w:t>
            </w:r>
          </w:p>
        </w:tc>
        <w:tc>
          <w:tcPr>
            <w:tcW w:w="1701" w:type="dxa"/>
            <w:shd w:val="clear" w:color="auto" w:fill="FFFFFF" w:themeFill="background1"/>
            <w:noWrap/>
            <w:vAlign w:val="center"/>
            <w:hideMark/>
          </w:tcPr>
          <w:p w:rsidR="00991D5C" w:rsidRPr="002F17B5" w:rsidRDefault="00991D5C" w:rsidP="005853E2">
            <w:pPr>
              <w:jc w:val="right"/>
              <w:rPr>
                <w:b/>
                <w:bCs/>
              </w:rPr>
            </w:pPr>
            <w:r w:rsidRPr="002F17B5">
              <w:rPr>
                <w:b/>
                <w:bCs/>
              </w:rPr>
              <w:t>£m</w:t>
            </w:r>
          </w:p>
        </w:tc>
        <w:tc>
          <w:tcPr>
            <w:tcW w:w="1701" w:type="dxa"/>
            <w:shd w:val="clear" w:color="auto" w:fill="FFFFFF" w:themeFill="background1"/>
            <w:noWrap/>
            <w:vAlign w:val="center"/>
            <w:hideMark/>
          </w:tcPr>
          <w:p w:rsidR="00991D5C" w:rsidRPr="002F17B5" w:rsidRDefault="00991D5C" w:rsidP="005853E2">
            <w:pPr>
              <w:jc w:val="right"/>
              <w:rPr>
                <w:b/>
                <w:bCs/>
              </w:rPr>
            </w:pPr>
            <w:r w:rsidRPr="002F17B5">
              <w:rPr>
                <w:b/>
                <w:bCs/>
              </w:rPr>
              <w:t>£m</w:t>
            </w:r>
          </w:p>
        </w:tc>
        <w:tc>
          <w:tcPr>
            <w:tcW w:w="1276" w:type="dxa"/>
            <w:shd w:val="clear" w:color="auto" w:fill="FFFFFF" w:themeFill="background1"/>
            <w:noWrap/>
            <w:vAlign w:val="bottom"/>
            <w:hideMark/>
          </w:tcPr>
          <w:p w:rsidR="00991D5C" w:rsidRPr="002F17B5" w:rsidRDefault="00991D5C" w:rsidP="005853E2">
            <w:pPr>
              <w:jc w:val="right"/>
              <w:rPr>
                <w:sz w:val="22"/>
                <w:szCs w:val="22"/>
              </w:rPr>
            </w:pPr>
            <w:r w:rsidRPr="002F17B5">
              <w:rPr>
                <w:b/>
                <w:bCs/>
              </w:rPr>
              <w:t>£m</w:t>
            </w: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jc w:val="left"/>
            </w:pPr>
            <w:r w:rsidRPr="002F17B5">
              <w:t>Fees, charges &amp; other service income</w:t>
            </w:r>
            <w:r w:rsidR="00404D97">
              <w:t>*</w:t>
            </w:r>
          </w:p>
        </w:tc>
        <w:tc>
          <w:tcPr>
            <w:tcW w:w="1560" w:type="dxa"/>
            <w:shd w:val="clear" w:color="auto" w:fill="FFFFFF" w:themeFill="background1"/>
            <w:vAlign w:val="bottom"/>
          </w:tcPr>
          <w:p w:rsidR="00991D5C" w:rsidRPr="002F17B5" w:rsidRDefault="00991D5C" w:rsidP="005853E2">
            <w:pPr>
              <w:jc w:val="right"/>
            </w:pPr>
            <w:r w:rsidRPr="002F17B5">
              <w:t>91.1</w:t>
            </w:r>
          </w:p>
        </w:tc>
        <w:tc>
          <w:tcPr>
            <w:tcW w:w="1525" w:type="dxa"/>
            <w:shd w:val="clear" w:color="auto" w:fill="FFFFFF" w:themeFill="background1"/>
            <w:noWrap/>
            <w:vAlign w:val="bottom"/>
            <w:hideMark/>
          </w:tcPr>
          <w:p w:rsidR="00991D5C" w:rsidRPr="002F17B5" w:rsidRDefault="00991D5C" w:rsidP="005853E2">
            <w:pPr>
              <w:jc w:val="right"/>
            </w:pPr>
            <w:r w:rsidRPr="002F17B5">
              <w:t>51.5</w:t>
            </w:r>
          </w:p>
        </w:tc>
        <w:tc>
          <w:tcPr>
            <w:tcW w:w="1701" w:type="dxa"/>
            <w:shd w:val="clear" w:color="auto" w:fill="FFFFFF" w:themeFill="background1"/>
            <w:noWrap/>
            <w:vAlign w:val="bottom"/>
            <w:hideMark/>
          </w:tcPr>
          <w:p w:rsidR="00991D5C" w:rsidRPr="002F17B5" w:rsidRDefault="00991D5C" w:rsidP="005853E2">
            <w:pPr>
              <w:jc w:val="right"/>
            </w:pPr>
            <w:r w:rsidRPr="002F17B5">
              <w:t>47.2</w:t>
            </w:r>
          </w:p>
        </w:tc>
        <w:tc>
          <w:tcPr>
            <w:tcW w:w="1701" w:type="dxa"/>
            <w:shd w:val="clear" w:color="auto" w:fill="FFFFFF" w:themeFill="background1"/>
            <w:noWrap/>
            <w:vAlign w:val="bottom"/>
            <w:hideMark/>
          </w:tcPr>
          <w:p w:rsidR="00991D5C" w:rsidRPr="002F17B5" w:rsidRDefault="008D2E40">
            <w:pPr>
              <w:jc w:val="right"/>
            </w:pPr>
            <w:r>
              <w:t>80</w:t>
            </w:r>
            <w:r w:rsidR="00991D5C" w:rsidRPr="002F17B5">
              <w:t>.5</w:t>
            </w:r>
          </w:p>
        </w:tc>
        <w:tc>
          <w:tcPr>
            <w:tcW w:w="1276" w:type="dxa"/>
            <w:shd w:val="clear" w:color="auto" w:fill="FFFFFF" w:themeFill="background1"/>
            <w:noWrap/>
            <w:vAlign w:val="bottom"/>
            <w:hideMark/>
          </w:tcPr>
          <w:p w:rsidR="00991D5C" w:rsidRPr="002F17B5" w:rsidRDefault="008D2E40">
            <w:pPr>
              <w:jc w:val="right"/>
              <w:rPr>
                <w:b/>
              </w:rPr>
            </w:pPr>
            <w:r>
              <w:rPr>
                <w:b/>
              </w:rPr>
              <w:t>270</w:t>
            </w:r>
            <w:r w:rsidR="00991D5C" w:rsidRPr="002F17B5">
              <w:rPr>
                <w:b/>
              </w:rPr>
              <w:t>.3</w:t>
            </w: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jc w:val="left"/>
            </w:pPr>
            <w:r w:rsidRPr="002F17B5">
              <w:t>Government grants</w:t>
            </w:r>
          </w:p>
        </w:tc>
        <w:tc>
          <w:tcPr>
            <w:tcW w:w="1560" w:type="dxa"/>
            <w:tcBorders>
              <w:bottom w:val="single" w:sz="4" w:space="0" w:color="auto"/>
            </w:tcBorders>
            <w:shd w:val="clear" w:color="auto" w:fill="FFFFFF" w:themeFill="background1"/>
            <w:vAlign w:val="bottom"/>
          </w:tcPr>
          <w:p w:rsidR="00991D5C" w:rsidRPr="002F17B5" w:rsidRDefault="00991D5C" w:rsidP="005853E2">
            <w:pPr>
              <w:jc w:val="right"/>
            </w:pPr>
            <w:r w:rsidRPr="002F17B5">
              <w:t>85.0</w:t>
            </w:r>
          </w:p>
        </w:tc>
        <w:tc>
          <w:tcPr>
            <w:tcW w:w="1525" w:type="dxa"/>
            <w:tcBorders>
              <w:bottom w:val="single" w:sz="4" w:space="0" w:color="auto"/>
            </w:tcBorders>
            <w:shd w:val="clear" w:color="auto" w:fill="FFFFFF" w:themeFill="background1"/>
            <w:noWrap/>
            <w:vAlign w:val="bottom"/>
            <w:hideMark/>
          </w:tcPr>
          <w:p w:rsidR="00991D5C" w:rsidRPr="002F17B5" w:rsidRDefault="00991D5C" w:rsidP="005853E2">
            <w:pPr>
              <w:jc w:val="right"/>
            </w:pPr>
            <w:r w:rsidRPr="002F17B5">
              <w:t>849.6</w:t>
            </w:r>
          </w:p>
        </w:tc>
        <w:tc>
          <w:tcPr>
            <w:tcW w:w="1701" w:type="dxa"/>
            <w:tcBorders>
              <w:bottom w:val="single" w:sz="4" w:space="0" w:color="auto"/>
            </w:tcBorders>
            <w:shd w:val="clear" w:color="auto" w:fill="FFFFFF" w:themeFill="background1"/>
            <w:noWrap/>
            <w:vAlign w:val="bottom"/>
            <w:hideMark/>
          </w:tcPr>
          <w:p w:rsidR="00991D5C" w:rsidRPr="002F17B5" w:rsidRDefault="00991D5C" w:rsidP="005853E2">
            <w:pPr>
              <w:jc w:val="right"/>
            </w:pPr>
            <w:r w:rsidRPr="002F17B5">
              <w:t>12.3</w:t>
            </w:r>
          </w:p>
        </w:tc>
        <w:tc>
          <w:tcPr>
            <w:tcW w:w="1701" w:type="dxa"/>
            <w:tcBorders>
              <w:bottom w:val="single" w:sz="4" w:space="0" w:color="auto"/>
            </w:tcBorders>
            <w:shd w:val="clear" w:color="auto" w:fill="FFFFFF" w:themeFill="background1"/>
            <w:noWrap/>
            <w:vAlign w:val="bottom"/>
            <w:hideMark/>
          </w:tcPr>
          <w:p w:rsidR="00991D5C" w:rsidRPr="002F17B5" w:rsidRDefault="00991D5C" w:rsidP="005853E2">
            <w:pPr>
              <w:jc w:val="right"/>
            </w:pPr>
            <w:r w:rsidRPr="002F17B5">
              <w:t>29.5</w:t>
            </w:r>
          </w:p>
        </w:tc>
        <w:tc>
          <w:tcPr>
            <w:tcW w:w="1276" w:type="dxa"/>
            <w:tcBorders>
              <w:bottom w:val="single" w:sz="4" w:space="0" w:color="auto"/>
            </w:tcBorders>
            <w:shd w:val="clear" w:color="auto" w:fill="FFFFFF" w:themeFill="background1"/>
            <w:noWrap/>
            <w:vAlign w:val="bottom"/>
            <w:hideMark/>
          </w:tcPr>
          <w:p w:rsidR="00991D5C" w:rsidRPr="002F17B5" w:rsidRDefault="00991D5C" w:rsidP="005853E2">
            <w:pPr>
              <w:jc w:val="right"/>
              <w:rPr>
                <w:b/>
              </w:rPr>
            </w:pPr>
            <w:r w:rsidRPr="002F17B5">
              <w:rPr>
                <w:b/>
              </w:rPr>
              <w:t>976.4</w:t>
            </w: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jc w:val="left"/>
              <w:rPr>
                <w:b/>
                <w:bCs/>
              </w:rPr>
            </w:pPr>
            <w:r w:rsidRPr="002F17B5">
              <w:rPr>
                <w:b/>
                <w:bCs/>
              </w:rPr>
              <w:t>Total Income</w:t>
            </w:r>
          </w:p>
        </w:tc>
        <w:tc>
          <w:tcPr>
            <w:tcW w:w="1560" w:type="dxa"/>
            <w:tcBorders>
              <w:top w:val="single" w:sz="4" w:space="0" w:color="auto"/>
            </w:tcBorders>
            <w:shd w:val="clear" w:color="auto" w:fill="FFFFFF" w:themeFill="background1"/>
            <w:vAlign w:val="bottom"/>
          </w:tcPr>
          <w:p w:rsidR="00991D5C" w:rsidRPr="002F17B5" w:rsidRDefault="00991D5C" w:rsidP="005853E2">
            <w:pPr>
              <w:jc w:val="right"/>
            </w:pPr>
            <w:r w:rsidRPr="002F17B5">
              <w:t>176.1</w:t>
            </w:r>
          </w:p>
        </w:tc>
        <w:tc>
          <w:tcPr>
            <w:tcW w:w="1525" w:type="dxa"/>
            <w:tcBorders>
              <w:top w:val="single" w:sz="4" w:space="0" w:color="auto"/>
            </w:tcBorders>
            <w:shd w:val="clear" w:color="auto" w:fill="FFFFFF" w:themeFill="background1"/>
            <w:noWrap/>
            <w:vAlign w:val="bottom"/>
            <w:hideMark/>
          </w:tcPr>
          <w:p w:rsidR="00991D5C" w:rsidRPr="002F17B5" w:rsidRDefault="00991D5C" w:rsidP="005853E2">
            <w:pPr>
              <w:jc w:val="right"/>
            </w:pPr>
            <w:r w:rsidRPr="002F17B5">
              <w:t>901.1</w:t>
            </w:r>
          </w:p>
        </w:tc>
        <w:tc>
          <w:tcPr>
            <w:tcW w:w="1701" w:type="dxa"/>
            <w:tcBorders>
              <w:top w:val="single" w:sz="4" w:space="0" w:color="auto"/>
            </w:tcBorders>
            <w:shd w:val="clear" w:color="auto" w:fill="FFFFFF" w:themeFill="background1"/>
            <w:noWrap/>
            <w:vAlign w:val="bottom"/>
            <w:hideMark/>
          </w:tcPr>
          <w:p w:rsidR="00991D5C" w:rsidRPr="002F17B5" w:rsidRDefault="00991D5C" w:rsidP="005853E2">
            <w:pPr>
              <w:jc w:val="right"/>
            </w:pPr>
            <w:r w:rsidRPr="002F17B5">
              <w:t>59.5</w:t>
            </w:r>
          </w:p>
        </w:tc>
        <w:tc>
          <w:tcPr>
            <w:tcW w:w="1701" w:type="dxa"/>
            <w:tcBorders>
              <w:top w:val="single" w:sz="4" w:space="0" w:color="auto"/>
            </w:tcBorders>
            <w:shd w:val="clear" w:color="auto" w:fill="FFFFFF" w:themeFill="background1"/>
            <w:noWrap/>
            <w:vAlign w:val="bottom"/>
            <w:hideMark/>
          </w:tcPr>
          <w:p w:rsidR="00991D5C" w:rsidRPr="002F17B5" w:rsidRDefault="00991D5C">
            <w:pPr>
              <w:jc w:val="right"/>
            </w:pPr>
            <w:r w:rsidRPr="002F17B5">
              <w:t>1</w:t>
            </w:r>
            <w:r w:rsidR="008D2E40">
              <w:t>10</w:t>
            </w:r>
            <w:r w:rsidRPr="002F17B5">
              <w:t>.0</w:t>
            </w:r>
          </w:p>
        </w:tc>
        <w:tc>
          <w:tcPr>
            <w:tcW w:w="1276" w:type="dxa"/>
            <w:tcBorders>
              <w:top w:val="single" w:sz="4" w:space="0" w:color="auto"/>
            </w:tcBorders>
            <w:shd w:val="clear" w:color="auto" w:fill="FFFFFF" w:themeFill="background1"/>
            <w:noWrap/>
            <w:vAlign w:val="bottom"/>
            <w:hideMark/>
          </w:tcPr>
          <w:p w:rsidR="00991D5C" w:rsidRPr="002F17B5" w:rsidRDefault="00991D5C">
            <w:pPr>
              <w:jc w:val="right"/>
              <w:rPr>
                <w:b/>
              </w:rPr>
            </w:pPr>
            <w:r w:rsidRPr="002F17B5">
              <w:rPr>
                <w:b/>
              </w:rPr>
              <w:t>1,2</w:t>
            </w:r>
            <w:r w:rsidR="008D2E40">
              <w:rPr>
                <w:b/>
              </w:rPr>
              <w:t>46</w:t>
            </w:r>
            <w:r w:rsidRPr="002F17B5">
              <w:rPr>
                <w:b/>
              </w:rPr>
              <w:t>.7</w:t>
            </w: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jc w:val="left"/>
              <w:rPr>
                <w:b/>
                <w:bCs/>
                <w:sz w:val="22"/>
              </w:rPr>
            </w:pPr>
          </w:p>
        </w:tc>
        <w:tc>
          <w:tcPr>
            <w:tcW w:w="1560" w:type="dxa"/>
            <w:shd w:val="clear" w:color="auto" w:fill="FFFFFF" w:themeFill="background1"/>
            <w:vAlign w:val="bottom"/>
          </w:tcPr>
          <w:p w:rsidR="00991D5C" w:rsidRPr="002F17B5" w:rsidRDefault="00991D5C" w:rsidP="005853E2">
            <w:pPr>
              <w:rPr>
                <w:sz w:val="12"/>
              </w:rPr>
            </w:pPr>
          </w:p>
        </w:tc>
        <w:tc>
          <w:tcPr>
            <w:tcW w:w="1525" w:type="dxa"/>
            <w:shd w:val="clear" w:color="auto" w:fill="FFFFFF" w:themeFill="background1"/>
            <w:noWrap/>
            <w:vAlign w:val="bottom"/>
            <w:hideMark/>
          </w:tcPr>
          <w:p w:rsidR="00991D5C" w:rsidRPr="002F17B5" w:rsidRDefault="00991D5C" w:rsidP="005853E2">
            <w:pPr>
              <w:rPr>
                <w:sz w:val="12"/>
              </w:rPr>
            </w:pPr>
          </w:p>
        </w:tc>
        <w:tc>
          <w:tcPr>
            <w:tcW w:w="1701" w:type="dxa"/>
            <w:shd w:val="clear" w:color="auto" w:fill="FFFFFF" w:themeFill="background1"/>
            <w:noWrap/>
            <w:vAlign w:val="bottom"/>
            <w:hideMark/>
          </w:tcPr>
          <w:p w:rsidR="00991D5C" w:rsidRPr="002F17B5" w:rsidRDefault="00991D5C" w:rsidP="005853E2">
            <w:pPr>
              <w:rPr>
                <w:sz w:val="12"/>
              </w:rPr>
            </w:pPr>
          </w:p>
        </w:tc>
        <w:tc>
          <w:tcPr>
            <w:tcW w:w="1701" w:type="dxa"/>
            <w:shd w:val="clear" w:color="auto" w:fill="FFFFFF" w:themeFill="background1"/>
            <w:noWrap/>
            <w:vAlign w:val="bottom"/>
            <w:hideMark/>
          </w:tcPr>
          <w:p w:rsidR="00991D5C" w:rsidRPr="002F17B5" w:rsidRDefault="00991D5C" w:rsidP="005853E2">
            <w:pPr>
              <w:rPr>
                <w:sz w:val="12"/>
              </w:rPr>
            </w:pPr>
          </w:p>
        </w:tc>
        <w:tc>
          <w:tcPr>
            <w:tcW w:w="1276" w:type="dxa"/>
            <w:shd w:val="clear" w:color="auto" w:fill="FFFFFF" w:themeFill="background1"/>
            <w:noWrap/>
            <w:vAlign w:val="bottom"/>
            <w:hideMark/>
          </w:tcPr>
          <w:p w:rsidR="00991D5C" w:rsidRPr="002F17B5" w:rsidRDefault="00991D5C" w:rsidP="005853E2">
            <w:pPr>
              <w:rPr>
                <w:b/>
                <w:sz w:val="12"/>
              </w:rPr>
            </w:pP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jc w:val="left"/>
            </w:pPr>
            <w:r w:rsidRPr="002F17B5">
              <w:t>Employee expenses</w:t>
            </w:r>
          </w:p>
        </w:tc>
        <w:tc>
          <w:tcPr>
            <w:tcW w:w="1560" w:type="dxa"/>
            <w:shd w:val="clear" w:color="auto" w:fill="FFFFFF" w:themeFill="background1"/>
            <w:vAlign w:val="bottom"/>
          </w:tcPr>
          <w:p w:rsidR="00991D5C" w:rsidRPr="002F17B5" w:rsidRDefault="00991D5C" w:rsidP="005853E2">
            <w:pPr>
              <w:jc w:val="right"/>
            </w:pPr>
            <w:r w:rsidRPr="002F17B5">
              <w:t>101.1</w:t>
            </w:r>
          </w:p>
        </w:tc>
        <w:tc>
          <w:tcPr>
            <w:tcW w:w="1525" w:type="dxa"/>
            <w:shd w:val="clear" w:color="auto" w:fill="FFFFFF" w:themeFill="background1"/>
            <w:noWrap/>
            <w:vAlign w:val="bottom"/>
            <w:hideMark/>
          </w:tcPr>
          <w:p w:rsidR="00991D5C" w:rsidRPr="002F17B5" w:rsidRDefault="00991D5C" w:rsidP="005853E2">
            <w:pPr>
              <w:jc w:val="right"/>
            </w:pPr>
            <w:r w:rsidRPr="002F17B5">
              <w:t>684.9</w:t>
            </w:r>
          </w:p>
        </w:tc>
        <w:tc>
          <w:tcPr>
            <w:tcW w:w="1701" w:type="dxa"/>
            <w:shd w:val="clear" w:color="auto" w:fill="FFFFFF" w:themeFill="background1"/>
            <w:noWrap/>
            <w:vAlign w:val="bottom"/>
            <w:hideMark/>
          </w:tcPr>
          <w:p w:rsidR="00991D5C" w:rsidRPr="002F17B5" w:rsidRDefault="00991D5C" w:rsidP="005853E2">
            <w:pPr>
              <w:jc w:val="right"/>
            </w:pPr>
            <w:r w:rsidRPr="002F17B5">
              <w:t>34.9</w:t>
            </w:r>
          </w:p>
        </w:tc>
        <w:tc>
          <w:tcPr>
            <w:tcW w:w="1701" w:type="dxa"/>
            <w:shd w:val="clear" w:color="auto" w:fill="FFFFFF" w:themeFill="background1"/>
            <w:noWrap/>
            <w:vAlign w:val="bottom"/>
            <w:hideMark/>
          </w:tcPr>
          <w:p w:rsidR="00991D5C" w:rsidRPr="002F17B5" w:rsidRDefault="00991D5C" w:rsidP="005853E2">
            <w:pPr>
              <w:jc w:val="right"/>
            </w:pPr>
            <w:r w:rsidRPr="002F17B5">
              <w:t>65.4</w:t>
            </w:r>
          </w:p>
        </w:tc>
        <w:tc>
          <w:tcPr>
            <w:tcW w:w="1276" w:type="dxa"/>
            <w:shd w:val="clear" w:color="auto" w:fill="FFFFFF" w:themeFill="background1"/>
            <w:noWrap/>
            <w:vAlign w:val="bottom"/>
            <w:hideMark/>
          </w:tcPr>
          <w:p w:rsidR="00991D5C" w:rsidRPr="002F17B5" w:rsidRDefault="00991D5C" w:rsidP="005853E2">
            <w:pPr>
              <w:jc w:val="right"/>
              <w:rPr>
                <w:b/>
              </w:rPr>
            </w:pPr>
            <w:r w:rsidRPr="002F17B5">
              <w:rPr>
                <w:b/>
              </w:rPr>
              <w:t>886.3</w:t>
            </w: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jc w:val="left"/>
            </w:pPr>
            <w:r w:rsidRPr="002F17B5">
              <w:t>Other service expenses</w:t>
            </w:r>
            <w:r w:rsidR="00404D97">
              <w:t>*</w:t>
            </w:r>
          </w:p>
        </w:tc>
        <w:tc>
          <w:tcPr>
            <w:tcW w:w="1560" w:type="dxa"/>
            <w:shd w:val="clear" w:color="auto" w:fill="FFFFFF" w:themeFill="background1"/>
            <w:vAlign w:val="bottom"/>
          </w:tcPr>
          <w:p w:rsidR="00991D5C" w:rsidRPr="002F17B5" w:rsidRDefault="00991D5C" w:rsidP="005853E2">
            <w:pPr>
              <w:jc w:val="right"/>
            </w:pPr>
            <w:r w:rsidRPr="002F17B5">
              <w:t>393.3</w:t>
            </w:r>
          </w:p>
        </w:tc>
        <w:tc>
          <w:tcPr>
            <w:tcW w:w="1525" w:type="dxa"/>
            <w:shd w:val="clear" w:color="auto" w:fill="FFFFFF" w:themeFill="background1"/>
            <w:noWrap/>
            <w:vAlign w:val="bottom"/>
            <w:hideMark/>
          </w:tcPr>
          <w:p w:rsidR="00991D5C" w:rsidRPr="002F17B5" w:rsidRDefault="00991D5C" w:rsidP="005853E2">
            <w:pPr>
              <w:jc w:val="right"/>
            </w:pPr>
            <w:r w:rsidRPr="002F17B5">
              <w:t>337.0</w:t>
            </w:r>
          </w:p>
        </w:tc>
        <w:tc>
          <w:tcPr>
            <w:tcW w:w="1701" w:type="dxa"/>
            <w:shd w:val="clear" w:color="auto" w:fill="FFFFFF" w:themeFill="background1"/>
            <w:noWrap/>
            <w:vAlign w:val="bottom"/>
            <w:hideMark/>
          </w:tcPr>
          <w:p w:rsidR="00991D5C" w:rsidRPr="002F17B5" w:rsidRDefault="00991D5C" w:rsidP="005853E2">
            <w:pPr>
              <w:jc w:val="right"/>
            </w:pPr>
            <w:r w:rsidRPr="002F17B5">
              <w:t>176.5</w:t>
            </w:r>
          </w:p>
        </w:tc>
        <w:tc>
          <w:tcPr>
            <w:tcW w:w="1701" w:type="dxa"/>
            <w:shd w:val="clear" w:color="auto" w:fill="FFFFFF" w:themeFill="background1"/>
            <w:noWrap/>
            <w:vAlign w:val="bottom"/>
            <w:hideMark/>
          </w:tcPr>
          <w:p w:rsidR="00991D5C" w:rsidRPr="002F17B5" w:rsidRDefault="00991D5C">
            <w:pPr>
              <w:jc w:val="right"/>
            </w:pPr>
            <w:r w:rsidRPr="002F17B5">
              <w:t>1</w:t>
            </w:r>
            <w:r w:rsidR="008D2E40">
              <w:t>32</w:t>
            </w:r>
            <w:r w:rsidRPr="002F17B5">
              <w:t>.9</w:t>
            </w:r>
          </w:p>
        </w:tc>
        <w:tc>
          <w:tcPr>
            <w:tcW w:w="1276" w:type="dxa"/>
            <w:shd w:val="clear" w:color="auto" w:fill="FFFFFF" w:themeFill="background1"/>
            <w:noWrap/>
            <w:vAlign w:val="bottom"/>
            <w:hideMark/>
          </w:tcPr>
          <w:p w:rsidR="00991D5C" w:rsidRPr="002F17B5" w:rsidRDefault="00991D5C">
            <w:pPr>
              <w:jc w:val="right"/>
              <w:rPr>
                <w:b/>
              </w:rPr>
            </w:pPr>
            <w:r w:rsidRPr="002F17B5">
              <w:rPr>
                <w:b/>
              </w:rPr>
              <w:t>1,0</w:t>
            </w:r>
            <w:r w:rsidR="008D2E40">
              <w:rPr>
                <w:b/>
              </w:rPr>
              <w:t>39</w:t>
            </w:r>
            <w:r w:rsidRPr="002F17B5">
              <w:rPr>
                <w:b/>
              </w:rPr>
              <w:t>.7</w:t>
            </w: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jc w:val="left"/>
            </w:pPr>
            <w:r w:rsidRPr="002F17B5">
              <w:t>Support service recharges</w:t>
            </w:r>
          </w:p>
        </w:tc>
        <w:tc>
          <w:tcPr>
            <w:tcW w:w="1560" w:type="dxa"/>
            <w:tcBorders>
              <w:bottom w:val="single" w:sz="4" w:space="0" w:color="auto"/>
            </w:tcBorders>
            <w:shd w:val="clear" w:color="auto" w:fill="FFFFFF" w:themeFill="background1"/>
            <w:vAlign w:val="bottom"/>
          </w:tcPr>
          <w:p w:rsidR="00991D5C" w:rsidRPr="002F17B5" w:rsidRDefault="00991D5C" w:rsidP="005853E2">
            <w:pPr>
              <w:jc w:val="right"/>
            </w:pPr>
            <w:r w:rsidRPr="002F17B5">
              <w:t>5.4</w:t>
            </w:r>
          </w:p>
        </w:tc>
        <w:tc>
          <w:tcPr>
            <w:tcW w:w="1525" w:type="dxa"/>
            <w:tcBorders>
              <w:bottom w:val="single" w:sz="4" w:space="0" w:color="auto"/>
            </w:tcBorders>
            <w:shd w:val="clear" w:color="auto" w:fill="FFFFFF" w:themeFill="background1"/>
            <w:noWrap/>
            <w:vAlign w:val="bottom"/>
            <w:hideMark/>
          </w:tcPr>
          <w:p w:rsidR="00991D5C" w:rsidRPr="002F17B5" w:rsidRDefault="00991D5C" w:rsidP="005853E2">
            <w:pPr>
              <w:jc w:val="right"/>
            </w:pPr>
            <w:r w:rsidRPr="002F17B5">
              <w:t>44.6</w:t>
            </w:r>
          </w:p>
        </w:tc>
        <w:tc>
          <w:tcPr>
            <w:tcW w:w="1701" w:type="dxa"/>
            <w:tcBorders>
              <w:bottom w:val="single" w:sz="4" w:space="0" w:color="auto"/>
            </w:tcBorders>
            <w:shd w:val="clear" w:color="auto" w:fill="FFFFFF" w:themeFill="background1"/>
            <w:noWrap/>
            <w:vAlign w:val="bottom"/>
            <w:hideMark/>
          </w:tcPr>
          <w:p w:rsidR="00991D5C" w:rsidRPr="002F17B5" w:rsidRDefault="00991D5C" w:rsidP="005853E2">
            <w:pPr>
              <w:jc w:val="right"/>
            </w:pPr>
            <w:r w:rsidRPr="002F17B5">
              <w:t>(4.8)</w:t>
            </w:r>
          </w:p>
        </w:tc>
        <w:tc>
          <w:tcPr>
            <w:tcW w:w="1701" w:type="dxa"/>
            <w:tcBorders>
              <w:bottom w:val="single" w:sz="4" w:space="0" w:color="auto"/>
            </w:tcBorders>
            <w:shd w:val="clear" w:color="auto" w:fill="FFFFFF" w:themeFill="background1"/>
            <w:noWrap/>
            <w:vAlign w:val="bottom"/>
            <w:hideMark/>
          </w:tcPr>
          <w:p w:rsidR="00991D5C" w:rsidRPr="002F17B5" w:rsidRDefault="00991D5C" w:rsidP="005853E2">
            <w:pPr>
              <w:jc w:val="right"/>
            </w:pPr>
            <w:r w:rsidRPr="002F17B5">
              <w:t>(12.9)</w:t>
            </w:r>
          </w:p>
        </w:tc>
        <w:tc>
          <w:tcPr>
            <w:tcW w:w="1276" w:type="dxa"/>
            <w:tcBorders>
              <w:bottom w:val="single" w:sz="4" w:space="0" w:color="auto"/>
            </w:tcBorders>
            <w:shd w:val="clear" w:color="auto" w:fill="FFFFFF" w:themeFill="background1"/>
            <w:noWrap/>
            <w:vAlign w:val="bottom"/>
            <w:hideMark/>
          </w:tcPr>
          <w:p w:rsidR="00991D5C" w:rsidRPr="003F3D21" w:rsidRDefault="00991D5C" w:rsidP="005853E2">
            <w:pPr>
              <w:jc w:val="right"/>
              <w:rPr>
                <w:b/>
              </w:rPr>
            </w:pPr>
            <w:r w:rsidRPr="003F3D21">
              <w:rPr>
                <w:b/>
              </w:rPr>
              <w:t>32.3</w:t>
            </w:r>
          </w:p>
        </w:tc>
      </w:tr>
      <w:tr w:rsidR="00991D5C" w:rsidRPr="002F17B5" w:rsidTr="005853E2">
        <w:trPr>
          <w:trHeight w:val="315"/>
          <w:jc w:val="center"/>
        </w:trPr>
        <w:tc>
          <w:tcPr>
            <w:tcW w:w="2835" w:type="dxa"/>
            <w:shd w:val="clear" w:color="auto" w:fill="FFFFFF" w:themeFill="background1"/>
            <w:noWrap/>
            <w:vAlign w:val="bottom"/>
            <w:hideMark/>
          </w:tcPr>
          <w:p w:rsidR="00991D5C" w:rsidRPr="002F17B5" w:rsidRDefault="00991D5C" w:rsidP="005853E2">
            <w:pPr>
              <w:jc w:val="left"/>
              <w:rPr>
                <w:b/>
                <w:bCs/>
              </w:rPr>
            </w:pPr>
            <w:r w:rsidRPr="002F17B5">
              <w:rPr>
                <w:b/>
                <w:bCs/>
              </w:rPr>
              <w:t>Total Expenditure</w:t>
            </w:r>
          </w:p>
        </w:tc>
        <w:tc>
          <w:tcPr>
            <w:tcW w:w="1560" w:type="dxa"/>
            <w:tcBorders>
              <w:top w:val="single" w:sz="4" w:space="0" w:color="auto"/>
            </w:tcBorders>
            <w:shd w:val="clear" w:color="auto" w:fill="FFFFFF" w:themeFill="background1"/>
            <w:vAlign w:val="bottom"/>
          </w:tcPr>
          <w:p w:rsidR="00991D5C" w:rsidRPr="002F17B5" w:rsidRDefault="00991D5C" w:rsidP="005853E2">
            <w:pPr>
              <w:jc w:val="right"/>
            </w:pPr>
            <w:r w:rsidRPr="002F17B5">
              <w:t>499.8</w:t>
            </w:r>
          </w:p>
        </w:tc>
        <w:tc>
          <w:tcPr>
            <w:tcW w:w="1525" w:type="dxa"/>
            <w:tcBorders>
              <w:top w:val="single" w:sz="4" w:space="0" w:color="auto"/>
            </w:tcBorders>
            <w:shd w:val="clear" w:color="auto" w:fill="FFFFFF" w:themeFill="background1"/>
            <w:noWrap/>
            <w:vAlign w:val="bottom"/>
            <w:hideMark/>
          </w:tcPr>
          <w:p w:rsidR="00991D5C" w:rsidRPr="002F17B5" w:rsidRDefault="00991D5C" w:rsidP="005853E2">
            <w:pPr>
              <w:jc w:val="right"/>
            </w:pPr>
            <w:r w:rsidRPr="002F17B5">
              <w:t>1,066.5</w:t>
            </w:r>
          </w:p>
        </w:tc>
        <w:tc>
          <w:tcPr>
            <w:tcW w:w="1701" w:type="dxa"/>
            <w:tcBorders>
              <w:top w:val="single" w:sz="4" w:space="0" w:color="auto"/>
            </w:tcBorders>
            <w:shd w:val="clear" w:color="auto" w:fill="FFFFFF" w:themeFill="background1"/>
            <w:noWrap/>
            <w:vAlign w:val="bottom"/>
            <w:hideMark/>
          </w:tcPr>
          <w:p w:rsidR="00991D5C" w:rsidRPr="002F17B5" w:rsidRDefault="00991D5C" w:rsidP="005853E2">
            <w:pPr>
              <w:jc w:val="right"/>
            </w:pPr>
            <w:r w:rsidRPr="002F17B5">
              <w:t>206.6</w:t>
            </w:r>
          </w:p>
        </w:tc>
        <w:tc>
          <w:tcPr>
            <w:tcW w:w="1701" w:type="dxa"/>
            <w:tcBorders>
              <w:top w:val="single" w:sz="4" w:space="0" w:color="auto"/>
            </w:tcBorders>
            <w:shd w:val="clear" w:color="auto" w:fill="FFFFFF" w:themeFill="background1"/>
            <w:noWrap/>
            <w:vAlign w:val="bottom"/>
            <w:hideMark/>
          </w:tcPr>
          <w:p w:rsidR="00991D5C" w:rsidRPr="002F17B5" w:rsidRDefault="008D2E40">
            <w:pPr>
              <w:jc w:val="right"/>
            </w:pPr>
            <w:r>
              <w:t>185</w:t>
            </w:r>
            <w:r w:rsidR="00991D5C" w:rsidRPr="002F17B5">
              <w:t>.4</w:t>
            </w:r>
          </w:p>
        </w:tc>
        <w:tc>
          <w:tcPr>
            <w:tcW w:w="1276" w:type="dxa"/>
            <w:tcBorders>
              <w:top w:val="single" w:sz="4" w:space="0" w:color="auto"/>
            </w:tcBorders>
            <w:shd w:val="clear" w:color="auto" w:fill="FFFFFF" w:themeFill="background1"/>
            <w:noWrap/>
            <w:vAlign w:val="bottom"/>
            <w:hideMark/>
          </w:tcPr>
          <w:p w:rsidR="00991D5C" w:rsidRPr="002F17B5" w:rsidRDefault="00991D5C">
            <w:pPr>
              <w:jc w:val="right"/>
              <w:rPr>
                <w:b/>
              </w:rPr>
            </w:pPr>
            <w:r w:rsidRPr="002F17B5">
              <w:rPr>
                <w:b/>
              </w:rPr>
              <w:t>1,9</w:t>
            </w:r>
            <w:r w:rsidR="008D2E40">
              <w:rPr>
                <w:b/>
              </w:rPr>
              <w:t>58</w:t>
            </w:r>
            <w:r w:rsidRPr="002F17B5">
              <w:rPr>
                <w:b/>
              </w:rPr>
              <w:t>.3</w:t>
            </w:r>
          </w:p>
        </w:tc>
      </w:tr>
      <w:tr w:rsidR="00991D5C" w:rsidRPr="002F17B5" w:rsidTr="005853E2">
        <w:trPr>
          <w:trHeight w:val="162"/>
          <w:jc w:val="center"/>
        </w:trPr>
        <w:tc>
          <w:tcPr>
            <w:tcW w:w="2835" w:type="dxa"/>
            <w:shd w:val="clear" w:color="auto" w:fill="FFFFFF" w:themeFill="background1"/>
            <w:noWrap/>
            <w:vAlign w:val="bottom"/>
            <w:hideMark/>
          </w:tcPr>
          <w:p w:rsidR="00991D5C" w:rsidRPr="002F17B5" w:rsidRDefault="00991D5C" w:rsidP="005853E2">
            <w:pPr>
              <w:jc w:val="left"/>
              <w:rPr>
                <w:sz w:val="8"/>
              </w:rPr>
            </w:pPr>
          </w:p>
        </w:tc>
        <w:tc>
          <w:tcPr>
            <w:tcW w:w="1560" w:type="dxa"/>
            <w:tcBorders>
              <w:bottom w:val="single" w:sz="4" w:space="0" w:color="auto"/>
            </w:tcBorders>
            <w:shd w:val="clear" w:color="auto" w:fill="FFFFFF" w:themeFill="background1"/>
            <w:vAlign w:val="bottom"/>
          </w:tcPr>
          <w:p w:rsidR="00991D5C" w:rsidRPr="002F17B5" w:rsidRDefault="00991D5C" w:rsidP="005853E2">
            <w:pPr>
              <w:rPr>
                <w:sz w:val="2"/>
              </w:rPr>
            </w:pPr>
          </w:p>
        </w:tc>
        <w:tc>
          <w:tcPr>
            <w:tcW w:w="1525" w:type="dxa"/>
            <w:tcBorders>
              <w:bottom w:val="single" w:sz="4" w:space="0" w:color="auto"/>
            </w:tcBorders>
            <w:shd w:val="clear" w:color="auto" w:fill="FFFFFF" w:themeFill="background1"/>
            <w:noWrap/>
            <w:vAlign w:val="bottom"/>
            <w:hideMark/>
          </w:tcPr>
          <w:p w:rsidR="00991D5C" w:rsidRPr="002F17B5" w:rsidRDefault="00991D5C" w:rsidP="005853E2">
            <w:pPr>
              <w:rPr>
                <w:sz w:val="2"/>
              </w:rPr>
            </w:pPr>
          </w:p>
        </w:tc>
        <w:tc>
          <w:tcPr>
            <w:tcW w:w="1701" w:type="dxa"/>
            <w:tcBorders>
              <w:bottom w:val="single" w:sz="4" w:space="0" w:color="auto"/>
            </w:tcBorders>
            <w:shd w:val="clear" w:color="auto" w:fill="FFFFFF" w:themeFill="background1"/>
            <w:noWrap/>
            <w:vAlign w:val="bottom"/>
            <w:hideMark/>
          </w:tcPr>
          <w:p w:rsidR="00991D5C" w:rsidRPr="002F17B5" w:rsidRDefault="00991D5C" w:rsidP="005853E2">
            <w:pPr>
              <w:rPr>
                <w:sz w:val="2"/>
              </w:rPr>
            </w:pPr>
          </w:p>
        </w:tc>
        <w:tc>
          <w:tcPr>
            <w:tcW w:w="1701" w:type="dxa"/>
            <w:tcBorders>
              <w:bottom w:val="single" w:sz="4" w:space="0" w:color="auto"/>
            </w:tcBorders>
            <w:shd w:val="clear" w:color="auto" w:fill="FFFFFF" w:themeFill="background1"/>
            <w:noWrap/>
            <w:vAlign w:val="bottom"/>
            <w:hideMark/>
          </w:tcPr>
          <w:p w:rsidR="00991D5C" w:rsidRPr="002F17B5" w:rsidRDefault="00991D5C" w:rsidP="005853E2">
            <w:pPr>
              <w:rPr>
                <w:sz w:val="2"/>
              </w:rPr>
            </w:pPr>
          </w:p>
        </w:tc>
        <w:tc>
          <w:tcPr>
            <w:tcW w:w="1276" w:type="dxa"/>
            <w:tcBorders>
              <w:bottom w:val="single" w:sz="4" w:space="0" w:color="auto"/>
            </w:tcBorders>
            <w:shd w:val="clear" w:color="auto" w:fill="FFFFFF" w:themeFill="background1"/>
            <w:noWrap/>
            <w:vAlign w:val="bottom"/>
            <w:hideMark/>
          </w:tcPr>
          <w:p w:rsidR="00991D5C" w:rsidRPr="002F17B5" w:rsidRDefault="00991D5C" w:rsidP="005853E2">
            <w:pPr>
              <w:rPr>
                <w:b/>
                <w:sz w:val="2"/>
              </w:rPr>
            </w:pPr>
          </w:p>
        </w:tc>
      </w:tr>
      <w:tr w:rsidR="00991D5C" w:rsidRPr="002F17B5" w:rsidTr="005853E2">
        <w:trPr>
          <w:trHeight w:val="330"/>
          <w:jc w:val="center"/>
        </w:trPr>
        <w:tc>
          <w:tcPr>
            <w:tcW w:w="2835" w:type="dxa"/>
            <w:shd w:val="clear" w:color="auto" w:fill="FFFFFF" w:themeFill="background1"/>
            <w:noWrap/>
            <w:vAlign w:val="bottom"/>
            <w:hideMark/>
          </w:tcPr>
          <w:p w:rsidR="00991D5C" w:rsidRPr="002F17B5" w:rsidRDefault="00991D5C" w:rsidP="005853E2">
            <w:pPr>
              <w:jc w:val="left"/>
              <w:rPr>
                <w:b/>
                <w:bCs/>
              </w:rPr>
            </w:pPr>
            <w:r w:rsidRPr="002F17B5">
              <w:rPr>
                <w:b/>
                <w:bCs/>
              </w:rPr>
              <w:t>Net Expenditure</w:t>
            </w:r>
          </w:p>
        </w:tc>
        <w:tc>
          <w:tcPr>
            <w:tcW w:w="1560" w:type="dxa"/>
            <w:tcBorders>
              <w:top w:val="single" w:sz="4" w:space="0" w:color="auto"/>
            </w:tcBorders>
            <w:shd w:val="clear" w:color="auto" w:fill="FFFFFF" w:themeFill="background1"/>
            <w:vAlign w:val="bottom"/>
          </w:tcPr>
          <w:p w:rsidR="00991D5C" w:rsidRPr="002F17B5" w:rsidRDefault="00991D5C" w:rsidP="005853E2">
            <w:pPr>
              <w:jc w:val="right"/>
              <w:rPr>
                <w:bCs/>
              </w:rPr>
            </w:pPr>
            <w:r w:rsidRPr="002F17B5">
              <w:rPr>
                <w:bCs/>
              </w:rPr>
              <w:t>323.7</w:t>
            </w:r>
          </w:p>
        </w:tc>
        <w:tc>
          <w:tcPr>
            <w:tcW w:w="1525" w:type="dxa"/>
            <w:tcBorders>
              <w:top w:val="single" w:sz="4" w:space="0" w:color="auto"/>
            </w:tcBorders>
            <w:shd w:val="clear" w:color="auto" w:fill="FFFFFF" w:themeFill="background1"/>
            <w:noWrap/>
            <w:vAlign w:val="bottom"/>
            <w:hideMark/>
          </w:tcPr>
          <w:p w:rsidR="00991D5C" w:rsidRPr="002F17B5" w:rsidRDefault="00991D5C" w:rsidP="005853E2">
            <w:pPr>
              <w:jc w:val="right"/>
              <w:rPr>
                <w:bCs/>
              </w:rPr>
            </w:pPr>
            <w:r w:rsidRPr="002F17B5">
              <w:rPr>
                <w:bCs/>
              </w:rPr>
              <w:t>165.4</w:t>
            </w:r>
          </w:p>
        </w:tc>
        <w:tc>
          <w:tcPr>
            <w:tcW w:w="1701" w:type="dxa"/>
            <w:tcBorders>
              <w:top w:val="single" w:sz="4" w:space="0" w:color="auto"/>
            </w:tcBorders>
            <w:shd w:val="clear" w:color="auto" w:fill="FFFFFF" w:themeFill="background1"/>
            <w:noWrap/>
            <w:vAlign w:val="bottom"/>
            <w:hideMark/>
          </w:tcPr>
          <w:p w:rsidR="00991D5C" w:rsidRPr="002F17B5" w:rsidRDefault="00991D5C" w:rsidP="005853E2">
            <w:pPr>
              <w:jc w:val="right"/>
              <w:rPr>
                <w:bCs/>
              </w:rPr>
            </w:pPr>
            <w:r w:rsidRPr="002F17B5">
              <w:rPr>
                <w:bCs/>
              </w:rPr>
              <w:t>147.1</w:t>
            </w:r>
          </w:p>
        </w:tc>
        <w:tc>
          <w:tcPr>
            <w:tcW w:w="1701" w:type="dxa"/>
            <w:tcBorders>
              <w:top w:val="single" w:sz="4" w:space="0" w:color="auto"/>
            </w:tcBorders>
            <w:shd w:val="clear" w:color="auto" w:fill="FFFFFF" w:themeFill="background1"/>
            <w:noWrap/>
            <w:vAlign w:val="bottom"/>
            <w:hideMark/>
          </w:tcPr>
          <w:p w:rsidR="00991D5C" w:rsidRPr="002F17B5" w:rsidRDefault="00991D5C" w:rsidP="005853E2">
            <w:pPr>
              <w:jc w:val="right"/>
              <w:rPr>
                <w:bCs/>
              </w:rPr>
            </w:pPr>
            <w:r w:rsidRPr="002F17B5">
              <w:rPr>
                <w:bCs/>
              </w:rPr>
              <w:t>75.4</w:t>
            </w:r>
          </w:p>
        </w:tc>
        <w:tc>
          <w:tcPr>
            <w:tcW w:w="1276" w:type="dxa"/>
            <w:tcBorders>
              <w:top w:val="single" w:sz="4" w:space="0" w:color="auto"/>
            </w:tcBorders>
            <w:shd w:val="clear" w:color="auto" w:fill="FFFFFF" w:themeFill="background1"/>
            <w:noWrap/>
            <w:vAlign w:val="bottom"/>
            <w:hideMark/>
          </w:tcPr>
          <w:p w:rsidR="00991D5C" w:rsidRPr="002F17B5" w:rsidRDefault="00991D5C" w:rsidP="005853E2">
            <w:pPr>
              <w:jc w:val="right"/>
              <w:rPr>
                <w:b/>
                <w:bCs/>
              </w:rPr>
            </w:pPr>
            <w:r w:rsidRPr="002F17B5">
              <w:rPr>
                <w:b/>
                <w:bCs/>
              </w:rPr>
              <w:t>711.6</w:t>
            </w:r>
          </w:p>
        </w:tc>
      </w:tr>
    </w:tbl>
    <w:p w:rsidR="00991D5C" w:rsidRPr="002F17B5" w:rsidRDefault="00991D5C" w:rsidP="00991D5C">
      <w:pPr>
        <w:rPr>
          <w:u w:val="single"/>
        </w:rPr>
      </w:pPr>
    </w:p>
    <w:p w:rsidR="00991D5C" w:rsidRPr="002F17B5" w:rsidRDefault="00991D5C" w:rsidP="00991D5C">
      <w:pPr>
        <w:rPr>
          <w:u w:val="single"/>
        </w:rPr>
      </w:pPr>
    </w:p>
    <w:p w:rsidR="00991D5C" w:rsidRPr="002F17B5" w:rsidRDefault="00991D5C" w:rsidP="00991D5C">
      <w:r w:rsidRPr="002F17B5">
        <w:rPr>
          <w:b/>
          <w:bCs/>
          <w:sz w:val="23"/>
          <w:szCs w:val="23"/>
        </w:rPr>
        <w:t>Reconciliation to Net Cost of Services in Comprehensive Income and Expenditure Statement</w:t>
      </w:r>
    </w:p>
    <w:p w:rsidR="00991D5C" w:rsidRPr="002F17B5" w:rsidRDefault="00991D5C" w:rsidP="00991D5C">
      <w:pPr>
        <w:rPr>
          <w:sz w:val="18"/>
        </w:rPr>
      </w:pPr>
    </w:p>
    <w:tbl>
      <w:tblPr>
        <w:tblW w:w="8256" w:type="dxa"/>
        <w:tblInd w:w="108" w:type="dxa"/>
        <w:tblLayout w:type="fixed"/>
        <w:tblLook w:val="04A0" w:firstRow="1" w:lastRow="0" w:firstColumn="1" w:lastColumn="0" w:noHBand="0" w:noVBand="1"/>
      </w:tblPr>
      <w:tblGrid>
        <w:gridCol w:w="6697"/>
        <w:gridCol w:w="1559"/>
      </w:tblGrid>
      <w:tr w:rsidR="00991D5C" w:rsidRPr="002F17B5" w:rsidTr="005853E2">
        <w:trPr>
          <w:trHeight w:val="300"/>
        </w:trPr>
        <w:tc>
          <w:tcPr>
            <w:tcW w:w="6697" w:type="dxa"/>
            <w:shd w:val="clear" w:color="auto" w:fill="FFFFFF" w:themeFill="background1"/>
          </w:tcPr>
          <w:p w:rsidR="00991D5C" w:rsidRPr="002F17B5" w:rsidRDefault="00991D5C" w:rsidP="005853E2">
            <w:pPr>
              <w:jc w:val="left"/>
              <w:rPr>
                <w:b/>
                <w:bCs/>
              </w:rPr>
            </w:pPr>
          </w:p>
        </w:tc>
        <w:tc>
          <w:tcPr>
            <w:tcW w:w="1559" w:type="dxa"/>
            <w:shd w:val="clear" w:color="auto" w:fill="FFFFFF" w:themeFill="background1"/>
            <w:noWrap/>
            <w:hideMark/>
          </w:tcPr>
          <w:p w:rsidR="00991D5C" w:rsidRPr="002F17B5" w:rsidRDefault="00991D5C" w:rsidP="005853E2">
            <w:pPr>
              <w:jc w:val="right"/>
              <w:rPr>
                <w:b/>
                <w:bCs/>
              </w:rPr>
            </w:pPr>
            <w:r w:rsidRPr="002F17B5">
              <w:rPr>
                <w:b/>
                <w:bCs/>
              </w:rPr>
              <w:t>£m</w:t>
            </w:r>
          </w:p>
        </w:tc>
      </w:tr>
      <w:tr w:rsidR="00991D5C" w:rsidRPr="002F17B5" w:rsidTr="005853E2">
        <w:trPr>
          <w:trHeight w:val="300"/>
        </w:trPr>
        <w:tc>
          <w:tcPr>
            <w:tcW w:w="6697" w:type="dxa"/>
            <w:shd w:val="clear" w:color="auto" w:fill="FFFFFF" w:themeFill="background1"/>
            <w:vAlign w:val="bottom"/>
          </w:tcPr>
          <w:p w:rsidR="00991D5C" w:rsidRPr="002F17B5" w:rsidRDefault="00991D5C" w:rsidP="005853E2">
            <w:pPr>
              <w:jc w:val="left"/>
              <w:rPr>
                <w:rFonts w:cs="Arial"/>
              </w:rPr>
            </w:pPr>
            <w:r w:rsidRPr="002F17B5">
              <w:rPr>
                <w:rFonts w:cs="Arial"/>
              </w:rPr>
              <w:t>Cost of Services in Service Analysis</w:t>
            </w:r>
          </w:p>
        </w:tc>
        <w:tc>
          <w:tcPr>
            <w:tcW w:w="1559" w:type="dxa"/>
            <w:shd w:val="clear" w:color="auto" w:fill="FFFFFF" w:themeFill="background1"/>
            <w:noWrap/>
            <w:vAlign w:val="bottom"/>
            <w:hideMark/>
          </w:tcPr>
          <w:p w:rsidR="00991D5C" w:rsidRPr="002F17B5" w:rsidRDefault="00991D5C" w:rsidP="005853E2">
            <w:pPr>
              <w:jc w:val="right"/>
              <w:rPr>
                <w:b/>
                <w:bCs/>
              </w:rPr>
            </w:pPr>
            <w:r w:rsidRPr="002F17B5">
              <w:rPr>
                <w:b/>
                <w:bCs/>
              </w:rPr>
              <w:t>711.6</w:t>
            </w:r>
          </w:p>
        </w:tc>
      </w:tr>
      <w:tr w:rsidR="00991D5C" w:rsidRPr="002F17B5" w:rsidTr="005853E2">
        <w:trPr>
          <w:trHeight w:val="274"/>
        </w:trPr>
        <w:tc>
          <w:tcPr>
            <w:tcW w:w="6697" w:type="dxa"/>
            <w:shd w:val="clear" w:color="auto" w:fill="FFFFFF" w:themeFill="background1"/>
            <w:vAlign w:val="bottom"/>
          </w:tcPr>
          <w:p w:rsidR="00991D5C" w:rsidRPr="002F17B5" w:rsidRDefault="00991D5C" w:rsidP="005853E2">
            <w:pPr>
              <w:jc w:val="left"/>
              <w:rPr>
                <w:rFonts w:cs="Arial"/>
              </w:rPr>
            </w:pPr>
            <w:r w:rsidRPr="002F17B5">
              <w:rPr>
                <w:rFonts w:cs="Arial"/>
              </w:rPr>
              <w:t>Add services not included in main analysis</w:t>
            </w:r>
          </w:p>
        </w:tc>
        <w:tc>
          <w:tcPr>
            <w:tcW w:w="1559" w:type="dxa"/>
            <w:shd w:val="clear" w:color="auto" w:fill="FFFFFF" w:themeFill="background1"/>
            <w:noWrap/>
            <w:vAlign w:val="bottom"/>
            <w:hideMark/>
          </w:tcPr>
          <w:p w:rsidR="00991D5C" w:rsidRPr="002F17B5" w:rsidRDefault="00991D5C" w:rsidP="005853E2">
            <w:pPr>
              <w:jc w:val="right"/>
            </w:pPr>
            <w:r w:rsidRPr="002F17B5">
              <w:t>(12.0)</w:t>
            </w:r>
          </w:p>
        </w:tc>
      </w:tr>
      <w:tr w:rsidR="00991D5C" w:rsidRPr="002F17B5" w:rsidTr="005853E2">
        <w:trPr>
          <w:trHeight w:val="300"/>
        </w:trPr>
        <w:tc>
          <w:tcPr>
            <w:tcW w:w="6697" w:type="dxa"/>
            <w:shd w:val="clear" w:color="auto" w:fill="FFFFFF" w:themeFill="background1"/>
            <w:vAlign w:val="bottom"/>
          </w:tcPr>
          <w:p w:rsidR="00991D5C" w:rsidRPr="002F17B5" w:rsidRDefault="00991D5C" w:rsidP="005853E2">
            <w:pPr>
              <w:jc w:val="left"/>
              <w:rPr>
                <w:rFonts w:cs="Arial"/>
              </w:rPr>
            </w:pPr>
            <w:r w:rsidRPr="002F17B5">
              <w:rPr>
                <w:rFonts w:cs="Arial"/>
              </w:rPr>
              <w:t>Add amounts not reported to management</w:t>
            </w:r>
          </w:p>
        </w:tc>
        <w:tc>
          <w:tcPr>
            <w:tcW w:w="1559" w:type="dxa"/>
            <w:shd w:val="clear" w:color="auto" w:fill="FFFFFF" w:themeFill="background1"/>
            <w:noWrap/>
            <w:vAlign w:val="bottom"/>
            <w:hideMark/>
          </w:tcPr>
          <w:p w:rsidR="00991D5C" w:rsidRPr="002F17B5" w:rsidRDefault="00991D5C" w:rsidP="005853E2">
            <w:pPr>
              <w:jc w:val="right"/>
            </w:pPr>
            <w:r w:rsidRPr="002F17B5">
              <w:t>63.9</w:t>
            </w:r>
          </w:p>
        </w:tc>
      </w:tr>
      <w:tr w:rsidR="00991D5C" w:rsidRPr="002F17B5" w:rsidTr="005853E2">
        <w:trPr>
          <w:trHeight w:val="300"/>
        </w:trPr>
        <w:tc>
          <w:tcPr>
            <w:tcW w:w="6697" w:type="dxa"/>
            <w:shd w:val="clear" w:color="auto" w:fill="FFFFFF" w:themeFill="background1"/>
            <w:vAlign w:val="bottom"/>
          </w:tcPr>
          <w:p w:rsidR="00991D5C" w:rsidRPr="002F17B5" w:rsidRDefault="00991D5C" w:rsidP="005853E2">
            <w:pPr>
              <w:jc w:val="left"/>
              <w:rPr>
                <w:rFonts w:cs="Arial"/>
              </w:rPr>
            </w:pPr>
            <w:r w:rsidRPr="002F17B5">
              <w:rPr>
                <w:rFonts w:cs="Arial"/>
              </w:rPr>
              <w:t>Remove amounts reported to management not included in Comprehensive Income and Expenditure Statement</w:t>
            </w:r>
          </w:p>
        </w:tc>
        <w:tc>
          <w:tcPr>
            <w:tcW w:w="1559" w:type="dxa"/>
            <w:shd w:val="clear" w:color="auto" w:fill="FFFFFF" w:themeFill="background1"/>
            <w:noWrap/>
            <w:vAlign w:val="bottom"/>
            <w:hideMark/>
          </w:tcPr>
          <w:p w:rsidR="00991D5C" w:rsidRPr="002F17B5" w:rsidRDefault="00991D5C" w:rsidP="005853E2">
            <w:pPr>
              <w:jc w:val="right"/>
            </w:pPr>
            <w:r w:rsidRPr="002F17B5">
              <w:t>(32.6)</w:t>
            </w:r>
          </w:p>
        </w:tc>
      </w:tr>
      <w:tr w:rsidR="00991D5C" w:rsidRPr="002F17B5" w:rsidTr="005853E2">
        <w:trPr>
          <w:trHeight w:val="300"/>
        </w:trPr>
        <w:tc>
          <w:tcPr>
            <w:tcW w:w="6697" w:type="dxa"/>
            <w:shd w:val="clear" w:color="auto" w:fill="FFFFFF" w:themeFill="background1"/>
            <w:vAlign w:val="bottom"/>
          </w:tcPr>
          <w:p w:rsidR="00991D5C" w:rsidRPr="002F17B5" w:rsidRDefault="00991D5C" w:rsidP="005853E2">
            <w:pPr>
              <w:jc w:val="left"/>
              <w:rPr>
                <w:rFonts w:cs="Arial"/>
                <w:b/>
                <w:bCs/>
              </w:rPr>
            </w:pPr>
            <w:r w:rsidRPr="002F17B5">
              <w:rPr>
                <w:rFonts w:cs="Arial"/>
                <w:b/>
                <w:bCs/>
              </w:rPr>
              <w:t>Net Cost of Services in Comprehensive Income and Expenditure Statement</w:t>
            </w:r>
          </w:p>
        </w:tc>
        <w:tc>
          <w:tcPr>
            <w:tcW w:w="1559" w:type="dxa"/>
            <w:shd w:val="clear" w:color="auto" w:fill="FFFFFF" w:themeFill="background1"/>
            <w:noWrap/>
            <w:vAlign w:val="bottom"/>
            <w:hideMark/>
          </w:tcPr>
          <w:p w:rsidR="00991D5C" w:rsidRPr="002F17B5" w:rsidRDefault="00991D5C" w:rsidP="005853E2">
            <w:pPr>
              <w:jc w:val="right"/>
              <w:rPr>
                <w:b/>
                <w:bCs/>
              </w:rPr>
            </w:pPr>
            <w:r w:rsidRPr="002F17B5">
              <w:rPr>
                <w:b/>
                <w:bCs/>
              </w:rPr>
              <w:t xml:space="preserve">730.9 </w:t>
            </w:r>
          </w:p>
        </w:tc>
      </w:tr>
    </w:tbl>
    <w:p w:rsidR="00991D5C" w:rsidRPr="002F17B5" w:rsidRDefault="00991D5C" w:rsidP="00991D5C"/>
    <w:p w:rsidR="00991D5C" w:rsidRPr="002F17B5" w:rsidRDefault="00991D5C" w:rsidP="00991D5C">
      <w:pPr>
        <w:pStyle w:val="Heading3-numbered"/>
        <w:numPr>
          <w:ilvl w:val="0"/>
          <w:numId w:val="0"/>
        </w:numPr>
        <w:spacing w:after="80"/>
        <w:ind w:left="360" w:hanging="360"/>
        <w:rPr>
          <w:sz w:val="22"/>
        </w:rPr>
      </w:pPr>
    </w:p>
    <w:p w:rsidR="00991D5C" w:rsidRPr="002F17B5" w:rsidRDefault="00991D5C" w:rsidP="00991D5C">
      <w:pPr>
        <w:pStyle w:val="Heading3-numbered"/>
        <w:numPr>
          <w:ilvl w:val="0"/>
          <w:numId w:val="0"/>
        </w:numPr>
        <w:rPr>
          <w:sz w:val="20"/>
          <w:szCs w:val="22"/>
        </w:rPr>
      </w:pPr>
    </w:p>
    <w:p w:rsidR="00991D5C" w:rsidRPr="002F17B5" w:rsidRDefault="00991D5C" w:rsidP="00991D5C"/>
    <w:p w:rsidR="00991D5C" w:rsidRPr="002F17B5" w:rsidRDefault="00991D5C" w:rsidP="00991D5C"/>
    <w:p w:rsidR="00991D5C" w:rsidRPr="002F17B5" w:rsidRDefault="00991D5C" w:rsidP="00991D5C">
      <w:pPr>
        <w:sectPr w:rsidR="00991D5C" w:rsidRPr="002F17B5" w:rsidSect="008E0F34">
          <w:headerReference w:type="even" r:id="rId43"/>
          <w:headerReference w:type="default" r:id="rId44"/>
          <w:footerReference w:type="default" r:id="rId45"/>
          <w:headerReference w:type="first" r:id="rId46"/>
          <w:pgSz w:w="11906" w:h="16838" w:code="9"/>
          <w:pgMar w:top="720" w:right="720" w:bottom="720" w:left="720" w:header="283" w:footer="283" w:gutter="0"/>
          <w:cols w:space="708"/>
          <w:docGrid w:linePitch="360"/>
        </w:sectPr>
      </w:pPr>
    </w:p>
    <w:tbl>
      <w:tblPr>
        <w:tblW w:w="15326" w:type="dxa"/>
        <w:jc w:val="center"/>
        <w:tblLook w:val="04A0" w:firstRow="1" w:lastRow="0" w:firstColumn="1" w:lastColumn="0" w:noHBand="0" w:noVBand="1"/>
      </w:tblPr>
      <w:tblGrid>
        <w:gridCol w:w="4211"/>
        <w:gridCol w:w="1284"/>
        <w:gridCol w:w="183"/>
        <w:gridCol w:w="1234"/>
        <w:gridCol w:w="142"/>
        <w:gridCol w:w="1843"/>
        <w:gridCol w:w="311"/>
        <w:gridCol w:w="1532"/>
        <w:gridCol w:w="283"/>
        <w:gridCol w:w="1134"/>
        <w:gridCol w:w="130"/>
        <w:gridCol w:w="1488"/>
        <w:gridCol w:w="155"/>
        <w:gridCol w:w="1396"/>
      </w:tblGrid>
      <w:tr w:rsidR="00991D5C" w:rsidRPr="002F17B5" w:rsidTr="00404D97">
        <w:trPr>
          <w:trHeight w:val="960"/>
          <w:jc w:val="center"/>
        </w:trPr>
        <w:tc>
          <w:tcPr>
            <w:tcW w:w="4211" w:type="dxa"/>
            <w:shd w:val="clear" w:color="auto" w:fill="FFFFFF" w:themeFill="background1"/>
            <w:vAlign w:val="center"/>
            <w:hideMark/>
          </w:tcPr>
          <w:p w:rsidR="00991D5C" w:rsidRPr="002F17B5" w:rsidRDefault="00991D5C" w:rsidP="005853E2">
            <w:pPr>
              <w:autoSpaceDE/>
              <w:autoSpaceDN/>
              <w:adjustRightInd/>
              <w:spacing w:before="0" w:after="0"/>
              <w:jc w:val="left"/>
              <w:rPr>
                <w:rFonts w:eastAsia="Times New Roman" w:cs="Arial"/>
                <w:b/>
                <w:bCs/>
                <w:u w:val="single"/>
                <w:lang w:eastAsia="en-GB"/>
              </w:rPr>
            </w:pPr>
            <w:r w:rsidRPr="002F17B5">
              <w:rPr>
                <w:rFonts w:eastAsia="Times New Roman" w:cs="Arial"/>
                <w:b/>
                <w:bCs/>
                <w:u w:val="single"/>
                <w:lang w:eastAsia="en-GB"/>
              </w:rPr>
              <w:lastRenderedPageBreak/>
              <w:t>2012/13</w:t>
            </w:r>
          </w:p>
        </w:tc>
        <w:tc>
          <w:tcPr>
            <w:tcW w:w="1467"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Directorate Analysis</w:t>
            </w:r>
          </w:p>
        </w:tc>
        <w:tc>
          <w:tcPr>
            <w:tcW w:w="1376"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Services &amp; Support</w:t>
            </w:r>
          </w:p>
        </w:tc>
        <w:tc>
          <w:tcPr>
            <w:tcW w:w="2154"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Amounts not reported to management for decision making</w:t>
            </w:r>
          </w:p>
        </w:tc>
        <w:tc>
          <w:tcPr>
            <w:tcW w:w="1815"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Amounts not included in the I&amp;E</w:t>
            </w:r>
          </w:p>
        </w:tc>
        <w:tc>
          <w:tcPr>
            <w:tcW w:w="1264"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Cost of Services</w:t>
            </w:r>
          </w:p>
        </w:tc>
        <w:tc>
          <w:tcPr>
            <w:tcW w:w="1643" w:type="dxa"/>
            <w:gridSpan w:val="2"/>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Corporate Amounts</w:t>
            </w:r>
          </w:p>
        </w:tc>
        <w:tc>
          <w:tcPr>
            <w:tcW w:w="1396" w:type="dxa"/>
            <w:shd w:val="clear" w:color="auto" w:fill="FFFFFF" w:themeFill="background1"/>
            <w:vAlign w:val="center"/>
            <w:hideMark/>
          </w:tcPr>
          <w:p w:rsidR="00991D5C" w:rsidRPr="002F17B5" w:rsidRDefault="00991D5C" w:rsidP="005853E2">
            <w:pPr>
              <w:autoSpaceDE/>
              <w:autoSpaceDN/>
              <w:adjustRightInd/>
              <w:spacing w:before="0" w:after="0"/>
              <w:jc w:val="right"/>
              <w:rPr>
                <w:rFonts w:eastAsia="Times New Roman" w:cs="Arial"/>
                <w:b/>
                <w:bCs/>
                <w:sz w:val="23"/>
                <w:szCs w:val="23"/>
                <w:lang w:eastAsia="en-GB"/>
              </w:rPr>
            </w:pPr>
            <w:r w:rsidRPr="002F17B5">
              <w:rPr>
                <w:rFonts w:eastAsia="Times New Roman" w:cs="Arial"/>
                <w:b/>
                <w:bCs/>
                <w:sz w:val="23"/>
                <w:szCs w:val="23"/>
                <w:lang w:eastAsia="en-GB"/>
              </w:rPr>
              <w:t>Total</w:t>
            </w:r>
          </w:p>
        </w:tc>
      </w:tr>
      <w:tr w:rsidR="00991D5C" w:rsidRPr="002F17B5" w:rsidTr="00404D97">
        <w:trPr>
          <w:trHeight w:val="315"/>
          <w:jc w:val="center"/>
        </w:trPr>
        <w:tc>
          <w:tcPr>
            <w:tcW w:w="4211" w:type="dxa"/>
            <w:shd w:val="clear" w:color="auto" w:fill="FFFFFF" w:themeFill="background1"/>
            <w:vAlign w:val="bottom"/>
            <w:hideMark/>
          </w:tcPr>
          <w:p w:rsidR="00991D5C" w:rsidRPr="002F17B5" w:rsidRDefault="00991D5C" w:rsidP="005853E2">
            <w:pPr>
              <w:autoSpaceDE/>
              <w:autoSpaceDN/>
              <w:adjustRightInd/>
              <w:spacing w:before="0" w:after="0"/>
              <w:jc w:val="left"/>
              <w:rPr>
                <w:rFonts w:ascii="Calibri" w:eastAsia="Times New Roman" w:hAnsi="Calibri" w:cs="Arial"/>
                <w:sz w:val="22"/>
                <w:szCs w:val="22"/>
                <w:lang w:eastAsia="en-GB"/>
              </w:rPr>
            </w:pPr>
          </w:p>
        </w:tc>
        <w:tc>
          <w:tcPr>
            <w:tcW w:w="1284" w:type="dxa"/>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417"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985"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843"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417"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618"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551" w:type="dxa"/>
            <w:gridSpan w:val="2"/>
            <w:shd w:val="clear" w:color="auto" w:fill="FFFFFF" w:themeFill="background1"/>
            <w:noWrap/>
            <w:vAlign w:val="bottom"/>
            <w:hideMark/>
          </w:tcPr>
          <w:p w:rsidR="00991D5C" w:rsidRPr="002F17B5" w:rsidRDefault="00991D5C" w:rsidP="005853E2">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r>
      <w:tr w:rsidR="00991D5C" w:rsidRPr="002F17B5" w:rsidTr="002775EE">
        <w:trPr>
          <w:trHeight w:val="300"/>
          <w:jc w:val="center"/>
        </w:trPr>
        <w:tc>
          <w:tcPr>
            <w:tcW w:w="4211" w:type="dxa"/>
            <w:shd w:val="clear" w:color="auto" w:fill="FFFFFF" w:themeFill="background1"/>
          </w:tcPr>
          <w:p w:rsidR="00991D5C" w:rsidRPr="002F17B5" w:rsidRDefault="00991D5C" w:rsidP="005853E2">
            <w:pPr>
              <w:autoSpaceDE/>
              <w:autoSpaceDN/>
              <w:adjustRightInd/>
              <w:spacing w:before="0" w:after="0"/>
              <w:jc w:val="left"/>
              <w:rPr>
                <w:rFonts w:eastAsia="Times New Roman" w:cs="Arial"/>
                <w:lang w:eastAsia="en-GB"/>
              </w:rPr>
            </w:pPr>
          </w:p>
        </w:tc>
        <w:tc>
          <w:tcPr>
            <w:tcW w:w="1284" w:type="dxa"/>
            <w:shd w:val="clear" w:color="auto" w:fill="FFFFFF" w:themeFill="background1"/>
            <w:noWrap/>
            <w:vAlign w:val="bottom"/>
          </w:tcPr>
          <w:p w:rsidR="00991D5C" w:rsidRPr="002F17B5" w:rsidRDefault="00991D5C" w:rsidP="005853E2">
            <w:pPr>
              <w:jc w:val="right"/>
            </w:pPr>
          </w:p>
        </w:tc>
        <w:tc>
          <w:tcPr>
            <w:tcW w:w="1417" w:type="dxa"/>
            <w:gridSpan w:val="2"/>
            <w:shd w:val="clear" w:color="auto" w:fill="FFFFFF" w:themeFill="background1"/>
            <w:noWrap/>
            <w:vAlign w:val="bottom"/>
          </w:tcPr>
          <w:p w:rsidR="00991D5C" w:rsidRPr="002F17B5" w:rsidRDefault="00991D5C" w:rsidP="005853E2">
            <w:pPr>
              <w:jc w:val="right"/>
            </w:pPr>
          </w:p>
        </w:tc>
        <w:tc>
          <w:tcPr>
            <w:tcW w:w="1985" w:type="dxa"/>
            <w:gridSpan w:val="2"/>
            <w:shd w:val="clear" w:color="auto" w:fill="FFFFFF" w:themeFill="background1"/>
            <w:noWrap/>
            <w:vAlign w:val="bottom"/>
          </w:tcPr>
          <w:p w:rsidR="00991D5C" w:rsidRPr="002F17B5" w:rsidRDefault="00991D5C" w:rsidP="005853E2">
            <w:pPr>
              <w:jc w:val="right"/>
            </w:pPr>
          </w:p>
        </w:tc>
        <w:tc>
          <w:tcPr>
            <w:tcW w:w="1843" w:type="dxa"/>
            <w:gridSpan w:val="2"/>
            <w:shd w:val="clear" w:color="auto" w:fill="FFFFFF" w:themeFill="background1"/>
            <w:noWrap/>
            <w:vAlign w:val="bottom"/>
          </w:tcPr>
          <w:p w:rsidR="00991D5C" w:rsidRPr="002F17B5" w:rsidRDefault="00991D5C" w:rsidP="005853E2">
            <w:pPr>
              <w:jc w:val="right"/>
            </w:pPr>
          </w:p>
        </w:tc>
        <w:tc>
          <w:tcPr>
            <w:tcW w:w="1417" w:type="dxa"/>
            <w:gridSpan w:val="2"/>
            <w:shd w:val="clear" w:color="auto" w:fill="FFFFFF" w:themeFill="background1"/>
            <w:noWrap/>
            <w:vAlign w:val="bottom"/>
          </w:tcPr>
          <w:p w:rsidR="00991D5C" w:rsidRPr="002F17B5" w:rsidRDefault="00991D5C" w:rsidP="005853E2">
            <w:pPr>
              <w:jc w:val="right"/>
            </w:pPr>
          </w:p>
        </w:tc>
        <w:tc>
          <w:tcPr>
            <w:tcW w:w="1618" w:type="dxa"/>
            <w:gridSpan w:val="2"/>
            <w:shd w:val="clear" w:color="auto" w:fill="FFFFFF" w:themeFill="background1"/>
            <w:noWrap/>
            <w:vAlign w:val="bottom"/>
          </w:tcPr>
          <w:p w:rsidR="00991D5C" w:rsidRPr="002F17B5" w:rsidRDefault="00991D5C" w:rsidP="005853E2">
            <w:pPr>
              <w:jc w:val="right"/>
            </w:pPr>
          </w:p>
        </w:tc>
        <w:tc>
          <w:tcPr>
            <w:tcW w:w="1551" w:type="dxa"/>
            <w:gridSpan w:val="2"/>
            <w:shd w:val="clear" w:color="auto" w:fill="FFFFFF" w:themeFill="background1"/>
            <w:noWrap/>
            <w:vAlign w:val="bottom"/>
          </w:tcPr>
          <w:p w:rsidR="00991D5C" w:rsidRPr="002F17B5" w:rsidRDefault="00991D5C" w:rsidP="005853E2">
            <w:pPr>
              <w:jc w:val="right"/>
            </w:pPr>
          </w:p>
        </w:tc>
      </w:tr>
      <w:tr w:rsidR="00991D5C" w:rsidRPr="002F17B5" w:rsidTr="00404D97">
        <w:trPr>
          <w:trHeight w:val="300"/>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Fees, charges and other service income</w:t>
            </w:r>
            <w:r w:rsidR="00404D97">
              <w:rPr>
                <w:rFonts w:eastAsia="Times New Roman" w:cs="Arial"/>
                <w:lang w:eastAsia="en-GB"/>
              </w:rPr>
              <w:t>*</w:t>
            </w:r>
          </w:p>
        </w:tc>
        <w:tc>
          <w:tcPr>
            <w:tcW w:w="1284" w:type="dxa"/>
            <w:shd w:val="clear" w:color="auto" w:fill="FFFFFF" w:themeFill="background1"/>
            <w:noWrap/>
            <w:vAlign w:val="bottom"/>
            <w:hideMark/>
          </w:tcPr>
          <w:p w:rsidR="00991D5C" w:rsidRPr="006737C6" w:rsidRDefault="008D2E40">
            <w:pPr>
              <w:jc w:val="right"/>
              <w:rPr>
                <w:sz w:val="23"/>
                <w:szCs w:val="23"/>
              </w:rPr>
            </w:pPr>
            <w:r w:rsidRPr="006737C6">
              <w:rPr>
                <w:sz w:val="23"/>
                <w:szCs w:val="23"/>
              </w:rPr>
              <w:t>270</w:t>
            </w:r>
            <w:r w:rsidR="00991D5C" w:rsidRPr="006737C6">
              <w:rPr>
                <w:sz w:val="23"/>
                <w:szCs w:val="23"/>
              </w:rPr>
              <w:t>.3</w:t>
            </w: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0.6</w:t>
            </w: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8D2E40">
            <w:pPr>
              <w:jc w:val="right"/>
              <w:rPr>
                <w:b/>
                <w:sz w:val="23"/>
                <w:szCs w:val="23"/>
              </w:rPr>
            </w:pPr>
            <w:r w:rsidRPr="006737C6">
              <w:rPr>
                <w:b/>
                <w:sz w:val="23"/>
                <w:szCs w:val="23"/>
              </w:rPr>
              <w:t>270</w:t>
            </w:r>
            <w:r w:rsidR="00991D5C" w:rsidRPr="006737C6">
              <w:rPr>
                <w:b/>
                <w:sz w:val="23"/>
                <w:szCs w:val="23"/>
              </w:rPr>
              <w:t>.9</w:t>
            </w:r>
          </w:p>
        </w:tc>
        <w:tc>
          <w:tcPr>
            <w:tcW w:w="1618"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15.8</w:t>
            </w:r>
          </w:p>
        </w:tc>
        <w:tc>
          <w:tcPr>
            <w:tcW w:w="1551" w:type="dxa"/>
            <w:gridSpan w:val="2"/>
            <w:shd w:val="clear" w:color="auto" w:fill="FFFFFF" w:themeFill="background1"/>
            <w:noWrap/>
            <w:vAlign w:val="bottom"/>
            <w:hideMark/>
          </w:tcPr>
          <w:p w:rsidR="00991D5C" w:rsidRPr="006737C6" w:rsidRDefault="008D2E40">
            <w:pPr>
              <w:jc w:val="right"/>
              <w:rPr>
                <w:b/>
                <w:sz w:val="23"/>
                <w:szCs w:val="23"/>
              </w:rPr>
            </w:pPr>
            <w:r w:rsidRPr="006737C6">
              <w:rPr>
                <w:b/>
                <w:sz w:val="23"/>
                <w:szCs w:val="23"/>
              </w:rPr>
              <w:t>286</w:t>
            </w:r>
            <w:r w:rsidR="00991D5C" w:rsidRPr="006737C6">
              <w:rPr>
                <w:b/>
                <w:sz w:val="23"/>
                <w:szCs w:val="23"/>
              </w:rPr>
              <w:t>.7</w:t>
            </w:r>
          </w:p>
        </w:tc>
      </w:tr>
      <w:tr w:rsidR="00991D5C" w:rsidRPr="002F17B5" w:rsidTr="00404D97">
        <w:trPr>
          <w:trHeight w:val="315"/>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Interest and investment income</w:t>
            </w:r>
            <w:r w:rsidR="00404D97">
              <w:rPr>
                <w:rFonts w:eastAsia="Times New Roman" w:cs="Arial"/>
                <w:lang w:eastAsia="en-GB"/>
              </w:rPr>
              <w:t>**</w:t>
            </w:r>
          </w:p>
        </w:tc>
        <w:tc>
          <w:tcPr>
            <w:tcW w:w="1284" w:type="dxa"/>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w:t>
            </w:r>
          </w:p>
        </w:tc>
        <w:tc>
          <w:tcPr>
            <w:tcW w:w="1618" w:type="dxa"/>
            <w:gridSpan w:val="2"/>
            <w:shd w:val="clear" w:color="auto" w:fill="FFFFFF" w:themeFill="background1"/>
            <w:noWrap/>
            <w:vAlign w:val="bottom"/>
            <w:hideMark/>
          </w:tcPr>
          <w:p w:rsidR="00991D5C" w:rsidRPr="006737C6" w:rsidRDefault="00DF2C2A">
            <w:pPr>
              <w:jc w:val="right"/>
              <w:rPr>
                <w:sz w:val="23"/>
                <w:szCs w:val="23"/>
              </w:rPr>
            </w:pPr>
            <w:r w:rsidRPr="006737C6">
              <w:rPr>
                <w:sz w:val="23"/>
                <w:szCs w:val="23"/>
              </w:rPr>
              <w:t>28.2</w:t>
            </w:r>
          </w:p>
        </w:tc>
        <w:tc>
          <w:tcPr>
            <w:tcW w:w="1551" w:type="dxa"/>
            <w:gridSpan w:val="2"/>
            <w:shd w:val="clear" w:color="auto" w:fill="FFFFFF" w:themeFill="background1"/>
            <w:noWrap/>
            <w:vAlign w:val="bottom"/>
            <w:hideMark/>
          </w:tcPr>
          <w:p w:rsidR="00991D5C" w:rsidRPr="006737C6" w:rsidRDefault="00DF2C2A" w:rsidP="005853E2">
            <w:pPr>
              <w:jc w:val="right"/>
              <w:rPr>
                <w:b/>
                <w:sz w:val="23"/>
                <w:szCs w:val="23"/>
              </w:rPr>
            </w:pPr>
            <w:r w:rsidRPr="006737C6">
              <w:rPr>
                <w:b/>
                <w:sz w:val="23"/>
                <w:szCs w:val="23"/>
              </w:rPr>
              <w:t>28.2</w:t>
            </w:r>
          </w:p>
        </w:tc>
      </w:tr>
      <w:tr w:rsidR="00991D5C" w:rsidRPr="002F17B5" w:rsidTr="00404D97">
        <w:trPr>
          <w:trHeight w:val="315"/>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Income from council tax</w:t>
            </w:r>
          </w:p>
        </w:tc>
        <w:tc>
          <w:tcPr>
            <w:tcW w:w="1284" w:type="dxa"/>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w:t>
            </w:r>
          </w:p>
        </w:tc>
        <w:tc>
          <w:tcPr>
            <w:tcW w:w="1618"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424.7</w:t>
            </w:r>
          </w:p>
        </w:tc>
        <w:tc>
          <w:tcPr>
            <w:tcW w:w="1551"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424.7</w:t>
            </w:r>
          </w:p>
        </w:tc>
      </w:tr>
      <w:tr w:rsidR="00991D5C" w:rsidRPr="002F17B5" w:rsidTr="00404D97">
        <w:trPr>
          <w:trHeight w:val="315"/>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Government grants and contributions</w:t>
            </w:r>
          </w:p>
        </w:tc>
        <w:tc>
          <w:tcPr>
            <w:tcW w:w="1284" w:type="dxa"/>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976.4</w:t>
            </w:r>
          </w:p>
        </w:tc>
        <w:tc>
          <w:tcPr>
            <w:tcW w:w="1417"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33.8</w:t>
            </w:r>
          </w:p>
        </w:tc>
        <w:tc>
          <w:tcPr>
            <w:tcW w:w="1985"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(87.4)</w:t>
            </w:r>
          </w:p>
        </w:tc>
        <w:tc>
          <w:tcPr>
            <w:tcW w:w="1417"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922.8</w:t>
            </w:r>
          </w:p>
        </w:tc>
        <w:tc>
          <w:tcPr>
            <w:tcW w:w="1618"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460.5</w:t>
            </w:r>
          </w:p>
        </w:tc>
        <w:tc>
          <w:tcPr>
            <w:tcW w:w="1551"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1,383.3</w:t>
            </w:r>
          </w:p>
        </w:tc>
      </w:tr>
      <w:tr w:rsidR="00991D5C" w:rsidRPr="002F17B5" w:rsidTr="00404D97">
        <w:trPr>
          <w:trHeight w:val="315"/>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b/>
                <w:bCs/>
                <w:lang w:eastAsia="en-GB"/>
              </w:rPr>
            </w:pPr>
            <w:r w:rsidRPr="002F17B5">
              <w:rPr>
                <w:rFonts w:eastAsia="Times New Roman" w:cs="Arial"/>
                <w:b/>
                <w:bCs/>
                <w:lang w:eastAsia="en-GB"/>
              </w:rPr>
              <w:t>Total Income</w:t>
            </w:r>
          </w:p>
        </w:tc>
        <w:tc>
          <w:tcPr>
            <w:tcW w:w="1284" w:type="dxa"/>
            <w:tcBorders>
              <w:top w:val="single" w:sz="4" w:space="0" w:color="auto"/>
            </w:tcBorders>
            <w:shd w:val="clear" w:color="auto" w:fill="FFFFFF" w:themeFill="background1"/>
            <w:noWrap/>
            <w:vAlign w:val="bottom"/>
            <w:hideMark/>
          </w:tcPr>
          <w:p w:rsidR="00991D5C" w:rsidRPr="006737C6" w:rsidRDefault="00991D5C">
            <w:pPr>
              <w:jc w:val="right"/>
              <w:rPr>
                <w:sz w:val="23"/>
                <w:szCs w:val="23"/>
              </w:rPr>
            </w:pPr>
            <w:r w:rsidRPr="006737C6">
              <w:rPr>
                <w:sz w:val="23"/>
                <w:szCs w:val="23"/>
              </w:rPr>
              <w:t>1,2</w:t>
            </w:r>
            <w:r w:rsidR="008D2E40" w:rsidRPr="006737C6">
              <w:rPr>
                <w:sz w:val="23"/>
                <w:szCs w:val="23"/>
              </w:rPr>
              <w:t>46</w:t>
            </w:r>
            <w:r w:rsidRPr="006737C6">
              <w:rPr>
                <w:sz w:val="23"/>
                <w:szCs w:val="23"/>
              </w:rPr>
              <w:t>.7</w:t>
            </w:r>
          </w:p>
        </w:tc>
        <w:tc>
          <w:tcPr>
            <w:tcW w:w="1417" w:type="dxa"/>
            <w:gridSpan w:val="2"/>
            <w:tcBorders>
              <w:top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34.4</w:t>
            </w:r>
          </w:p>
        </w:tc>
        <w:tc>
          <w:tcPr>
            <w:tcW w:w="1985" w:type="dxa"/>
            <w:gridSpan w:val="2"/>
            <w:tcBorders>
              <w:top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tcBorders>
              <w:top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(87.4)</w:t>
            </w:r>
          </w:p>
        </w:tc>
        <w:tc>
          <w:tcPr>
            <w:tcW w:w="1417" w:type="dxa"/>
            <w:gridSpan w:val="2"/>
            <w:tcBorders>
              <w:top w:val="single" w:sz="4" w:space="0" w:color="auto"/>
            </w:tcBorders>
            <w:shd w:val="clear" w:color="auto" w:fill="FFFFFF" w:themeFill="background1"/>
            <w:noWrap/>
            <w:vAlign w:val="bottom"/>
            <w:hideMark/>
          </w:tcPr>
          <w:p w:rsidR="00991D5C" w:rsidRPr="006737C6" w:rsidRDefault="00991D5C">
            <w:pPr>
              <w:jc w:val="right"/>
              <w:rPr>
                <w:b/>
                <w:sz w:val="23"/>
                <w:szCs w:val="23"/>
              </w:rPr>
            </w:pPr>
            <w:r w:rsidRPr="006737C6">
              <w:rPr>
                <w:b/>
                <w:sz w:val="23"/>
                <w:szCs w:val="23"/>
              </w:rPr>
              <w:t>1,</w:t>
            </w:r>
            <w:r w:rsidR="008D2E40" w:rsidRPr="006737C6">
              <w:rPr>
                <w:b/>
                <w:sz w:val="23"/>
                <w:szCs w:val="23"/>
              </w:rPr>
              <w:t>193</w:t>
            </w:r>
            <w:r w:rsidRPr="006737C6">
              <w:rPr>
                <w:b/>
                <w:sz w:val="23"/>
                <w:szCs w:val="23"/>
              </w:rPr>
              <w:t>.7</w:t>
            </w:r>
          </w:p>
        </w:tc>
        <w:tc>
          <w:tcPr>
            <w:tcW w:w="1618" w:type="dxa"/>
            <w:gridSpan w:val="2"/>
            <w:tcBorders>
              <w:top w:val="single" w:sz="4" w:space="0" w:color="auto"/>
            </w:tcBorders>
            <w:shd w:val="clear" w:color="auto" w:fill="FFFFFF" w:themeFill="background1"/>
            <w:noWrap/>
            <w:vAlign w:val="bottom"/>
            <w:hideMark/>
          </w:tcPr>
          <w:p w:rsidR="00991D5C" w:rsidRPr="006737C6" w:rsidRDefault="00DF2C2A">
            <w:pPr>
              <w:jc w:val="right"/>
              <w:rPr>
                <w:sz w:val="23"/>
                <w:szCs w:val="23"/>
              </w:rPr>
            </w:pPr>
            <w:r w:rsidRPr="006737C6">
              <w:rPr>
                <w:sz w:val="23"/>
                <w:szCs w:val="23"/>
              </w:rPr>
              <w:t>929.2</w:t>
            </w:r>
          </w:p>
        </w:tc>
        <w:tc>
          <w:tcPr>
            <w:tcW w:w="1551" w:type="dxa"/>
            <w:gridSpan w:val="2"/>
            <w:tcBorders>
              <w:top w:val="single" w:sz="4" w:space="0" w:color="auto"/>
            </w:tcBorders>
            <w:shd w:val="clear" w:color="auto" w:fill="FFFFFF" w:themeFill="background1"/>
            <w:noWrap/>
            <w:vAlign w:val="bottom"/>
            <w:hideMark/>
          </w:tcPr>
          <w:p w:rsidR="00991D5C" w:rsidRPr="006737C6" w:rsidRDefault="00991D5C">
            <w:pPr>
              <w:jc w:val="right"/>
              <w:rPr>
                <w:b/>
                <w:sz w:val="23"/>
                <w:szCs w:val="23"/>
              </w:rPr>
            </w:pPr>
            <w:r w:rsidRPr="006737C6">
              <w:rPr>
                <w:b/>
                <w:sz w:val="23"/>
                <w:szCs w:val="23"/>
              </w:rPr>
              <w:t>2,</w:t>
            </w:r>
            <w:r w:rsidR="00DF2C2A" w:rsidRPr="006737C6">
              <w:rPr>
                <w:b/>
                <w:sz w:val="23"/>
                <w:szCs w:val="23"/>
              </w:rPr>
              <w:t>1</w:t>
            </w:r>
            <w:r w:rsidR="008D2E40" w:rsidRPr="006737C6">
              <w:rPr>
                <w:b/>
                <w:sz w:val="23"/>
                <w:szCs w:val="23"/>
              </w:rPr>
              <w:t>22</w:t>
            </w:r>
            <w:r w:rsidRPr="006737C6">
              <w:rPr>
                <w:b/>
                <w:sz w:val="23"/>
                <w:szCs w:val="23"/>
              </w:rPr>
              <w:t>.</w:t>
            </w:r>
            <w:r w:rsidR="00DF2C2A" w:rsidRPr="006737C6">
              <w:rPr>
                <w:b/>
                <w:sz w:val="23"/>
                <w:szCs w:val="23"/>
              </w:rPr>
              <w:t>9</w:t>
            </w:r>
          </w:p>
        </w:tc>
      </w:tr>
      <w:tr w:rsidR="00991D5C" w:rsidRPr="002F17B5" w:rsidTr="00404D97">
        <w:trPr>
          <w:trHeight w:val="315"/>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ascii="Calibri" w:eastAsia="Times New Roman" w:hAnsi="Calibri" w:cs="Arial"/>
                <w:sz w:val="22"/>
                <w:szCs w:val="22"/>
                <w:lang w:eastAsia="en-GB"/>
              </w:rPr>
            </w:pPr>
          </w:p>
        </w:tc>
        <w:tc>
          <w:tcPr>
            <w:tcW w:w="1284" w:type="dxa"/>
            <w:shd w:val="clear" w:color="auto" w:fill="FFFFFF" w:themeFill="background1"/>
            <w:noWrap/>
            <w:vAlign w:val="bottom"/>
            <w:hideMark/>
          </w:tcPr>
          <w:p w:rsidR="00991D5C" w:rsidRPr="006737C6" w:rsidRDefault="00991D5C" w:rsidP="005853E2">
            <w:pPr>
              <w:jc w:val="right"/>
              <w:rPr>
                <w:sz w:val="23"/>
                <w:szCs w:val="23"/>
              </w:rPr>
            </w:pP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p>
        </w:tc>
        <w:tc>
          <w:tcPr>
            <w:tcW w:w="1417" w:type="dxa"/>
            <w:gridSpan w:val="2"/>
            <w:shd w:val="clear" w:color="auto" w:fill="FFFFFF" w:themeFill="background1"/>
            <w:noWrap/>
            <w:vAlign w:val="bottom"/>
            <w:hideMark/>
          </w:tcPr>
          <w:p w:rsidR="00991D5C" w:rsidRPr="006737C6" w:rsidRDefault="00991D5C" w:rsidP="005853E2">
            <w:pPr>
              <w:jc w:val="right"/>
              <w:rPr>
                <w:b/>
                <w:sz w:val="23"/>
                <w:szCs w:val="23"/>
              </w:rPr>
            </w:pPr>
          </w:p>
        </w:tc>
        <w:tc>
          <w:tcPr>
            <w:tcW w:w="1618" w:type="dxa"/>
            <w:gridSpan w:val="2"/>
            <w:shd w:val="clear" w:color="auto" w:fill="FFFFFF" w:themeFill="background1"/>
            <w:noWrap/>
            <w:vAlign w:val="bottom"/>
            <w:hideMark/>
          </w:tcPr>
          <w:p w:rsidR="00991D5C" w:rsidRPr="006737C6" w:rsidRDefault="00991D5C" w:rsidP="005853E2">
            <w:pPr>
              <w:jc w:val="right"/>
              <w:rPr>
                <w:sz w:val="23"/>
                <w:szCs w:val="23"/>
              </w:rPr>
            </w:pPr>
          </w:p>
        </w:tc>
        <w:tc>
          <w:tcPr>
            <w:tcW w:w="1551" w:type="dxa"/>
            <w:gridSpan w:val="2"/>
            <w:shd w:val="clear" w:color="auto" w:fill="FFFFFF" w:themeFill="background1"/>
            <w:noWrap/>
            <w:vAlign w:val="bottom"/>
            <w:hideMark/>
          </w:tcPr>
          <w:p w:rsidR="00991D5C" w:rsidRPr="006737C6" w:rsidRDefault="00991D5C" w:rsidP="005853E2">
            <w:pPr>
              <w:jc w:val="right"/>
              <w:rPr>
                <w:b/>
                <w:sz w:val="23"/>
                <w:szCs w:val="23"/>
              </w:rPr>
            </w:pPr>
          </w:p>
        </w:tc>
      </w:tr>
      <w:tr w:rsidR="00991D5C" w:rsidRPr="002F17B5" w:rsidTr="00404D97">
        <w:trPr>
          <w:trHeight w:val="300"/>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Employee expenses</w:t>
            </w:r>
          </w:p>
        </w:tc>
        <w:tc>
          <w:tcPr>
            <w:tcW w:w="1284" w:type="dxa"/>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886.3</w:t>
            </w: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886.3</w:t>
            </w:r>
          </w:p>
        </w:tc>
        <w:tc>
          <w:tcPr>
            <w:tcW w:w="1618"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551"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886.3</w:t>
            </w:r>
          </w:p>
        </w:tc>
      </w:tr>
      <w:tr w:rsidR="00991D5C" w:rsidRPr="002F17B5" w:rsidTr="00404D97">
        <w:trPr>
          <w:trHeight w:val="300"/>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Other service expenses</w:t>
            </w:r>
            <w:r w:rsidR="00404D97">
              <w:rPr>
                <w:rFonts w:eastAsia="Times New Roman" w:cs="Arial"/>
                <w:lang w:eastAsia="en-GB"/>
              </w:rPr>
              <w:t>*</w:t>
            </w:r>
          </w:p>
        </w:tc>
        <w:tc>
          <w:tcPr>
            <w:tcW w:w="1284" w:type="dxa"/>
            <w:shd w:val="clear" w:color="auto" w:fill="FFFFFF" w:themeFill="background1"/>
            <w:noWrap/>
            <w:vAlign w:val="bottom"/>
            <w:hideMark/>
          </w:tcPr>
          <w:p w:rsidR="00991D5C" w:rsidRPr="006737C6" w:rsidRDefault="00991D5C">
            <w:pPr>
              <w:jc w:val="right"/>
              <w:rPr>
                <w:sz w:val="23"/>
                <w:szCs w:val="23"/>
              </w:rPr>
            </w:pPr>
            <w:r w:rsidRPr="006737C6">
              <w:rPr>
                <w:sz w:val="23"/>
                <w:szCs w:val="23"/>
              </w:rPr>
              <w:t>1,0</w:t>
            </w:r>
            <w:r w:rsidR="008D2E40" w:rsidRPr="006737C6">
              <w:rPr>
                <w:sz w:val="23"/>
                <w:szCs w:val="23"/>
              </w:rPr>
              <w:t>39</w:t>
            </w:r>
            <w:r w:rsidRPr="006737C6">
              <w:rPr>
                <w:sz w:val="23"/>
                <w:szCs w:val="23"/>
              </w:rPr>
              <w:t>.7</w:t>
            </w: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22.4</w:t>
            </w: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(120.0)</w:t>
            </w:r>
          </w:p>
        </w:tc>
        <w:tc>
          <w:tcPr>
            <w:tcW w:w="1417" w:type="dxa"/>
            <w:gridSpan w:val="2"/>
            <w:shd w:val="clear" w:color="auto" w:fill="FFFFFF" w:themeFill="background1"/>
            <w:noWrap/>
            <w:vAlign w:val="bottom"/>
            <w:hideMark/>
          </w:tcPr>
          <w:p w:rsidR="00991D5C" w:rsidRPr="006737C6" w:rsidRDefault="00991D5C">
            <w:pPr>
              <w:jc w:val="right"/>
              <w:rPr>
                <w:b/>
                <w:sz w:val="23"/>
                <w:szCs w:val="23"/>
              </w:rPr>
            </w:pPr>
            <w:r w:rsidRPr="006737C6">
              <w:rPr>
                <w:b/>
                <w:sz w:val="23"/>
                <w:szCs w:val="23"/>
              </w:rPr>
              <w:t>9</w:t>
            </w:r>
            <w:r w:rsidR="008D2E40" w:rsidRPr="006737C6">
              <w:rPr>
                <w:b/>
                <w:sz w:val="23"/>
                <w:szCs w:val="23"/>
              </w:rPr>
              <w:t>42</w:t>
            </w:r>
            <w:r w:rsidRPr="006737C6">
              <w:rPr>
                <w:b/>
                <w:sz w:val="23"/>
                <w:szCs w:val="23"/>
              </w:rPr>
              <w:t>.1</w:t>
            </w:r>
          </w:p>
        </w:tc>
        <w:tc>
          <w:tcPr>
            <w:tcW w:w="1618"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11.9</w:t>
            </w:r>
          </w:p>
        </w:tc>
        <w:tc>
          <w:tcPr>
            <w:tcW w:w="1551" w:type="dxa"/>
            <w:gridSpan w:val="2"/>
            <w:shd w:val="clear" w:color="auto" w:fill="FFFFFF" w:themeFill="background1"/>
            <w:noWrap/>
            <w:vAlign w:val="bottom"/>
            <w:hideMark/>
          </w:tcPr>
          <w:p w:rsidR="00991D5C" w:rsidRPr="006737C6" w:rsidRDefault="00991D5C">
            <w:pPr>
              <w:jc w:val="right"/>
              <w:rPr>
                <w:b/>
                <w:sz w:val="23"/>
                <w:szCs w:val="23"/>
              </w:rPr>
            </w:pPr>
            <w:r w:rsidRPr="006737C6">
              <w:rPr>
                <w:b/>
                <w:sz w:val="23"/>
                <w:szCs w:val="23"/>
              </w:rPr>
              <w:t>9</w:t>
            </w:r>
            <w:r w:rsidR="008D2E40" w:rsidRPr="006737C6">
              <w:rPr>
                <w:b/>
                <w:sz w:val="23"/>
                <w:szCs w:val="23"/>
              </w:rPr>
              <w:t>54</w:t>
            </w:r>
            <w:r w:rsidRPr="006737C6">
              <w:rPr>
                <w:b/>
                <w:sz w:val="23"/>
                <w:szCs w:val="23"/>
              </w:rPr>
              <w:t>.0</w:t>
            </w:r>
          </w:p>
        </w:tc>
      </w:tr>
      <w:tr w:rsidR="00991D5C" w:rsidRPr="002F17B5" w:rsidTr="00404D97">
        <w:trPr>
          <w:trHeight w:val="300"/>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Support service recharges</w:t>
            </w:r>
          </w:p>
        </w:tc>
        <w:tc>
          <w:tcPr>
            <w:tcW w:w="1284" w:type="dxa"/>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32.3</w:t>
            </w: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32.3</w:t>
            </w:r>
          </w:p>
        </w:tc>
        <w:tc>
          <w:tcPr>
            <w:tcW w:w="1618"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551"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32.3</w:t>
            </w:r>
          </w:p>
        </w:tc>
      </w:tr>
      <w:tr w:rsidR="00991D5C" w:rsidRPr="002F17B5" w:rsidTr="00404D97">
        <w:trPr>
          <w:trHeight w:val="300"/>
          <w:jc w:val="center"/>
        </w:trPr>
        <w:tc>
          <w:tcPr>
            <w:tcW w:w="4211" w:type="dxa"/>
            <w:shd w:val="clear" w:color="auto" w:fill="FFFFFF" w:themeFill="background1"/>
            <w:hideMark/>
          </w:tcPr>
          <w:p w:rsidR="00991D5C" w:rsidRPr="002F17B5" w:rsidRDefault="00D0122A" w:rsidP="003121E2">
            <w:pPr>
              <w:autoSpaceDE/>
              <w:autoSpaceDN/>
              <w:adjustRightInd/>
              <w:spacing w:before="0"/>
              <w:jc w:val="left"/>
              <w:rPr>
                <w:rFonts w:eastAsia="Times New Roman" w:cs="Arial"/>
                <w:lang w:eastAsia="en-GB"/>
              </w:rPr>
            </w:pPr>
            <w:r w:rsidRPr="002F17B5">
              <w:rPr>
                <w:rFonts w:eastAsia="Times New Roman" w:cs="Arial"/>
                <w:lang w:eastAsia="en-GB"/>
              </w:rPr>
              <w:t>Depreciation, amortisation,</w:t>
            </w:r>
            <w:r w:rsidR="00991D5C" w:rsidRPr="002F17B5">
              <w:rPr>
                <w:rFonts w:eastAsia="Times New Roman" w:cs="Arial"/>
                <w:lang w:eastAsia="en-GB"/>
              </w:rPr>
              <w:t xml:space="preserve"> impairment</w:t>
            </w:r>
            <w:r w:rsidRPr="002F17B5">
              <w:rPr>
                <w:rFonts w:eastAsia="Times New Roman" w:cs="Arial"/>
                <w:lang w:eastAsia="en-GB"/>
              </w:rPr>
              <w:t xml:space="preserve"> and REFCUS</w:t>
            </w:r>
          </w:p>
        </w:tc>
        <w:tc>
          <w:tcPr>
            <w:tcW w:w="1284" w:type="dxa"/>
            <w:shd w:val="clear" w:color="auto" w:fill="FFFFFF" w:themeFill="background1"/>
            <w:noWrap/>
            <w:vAlign w:val="bottom"/>
            <w:hideMark/>
          </w:tcPr>
          <w:p w:rsidR="00991D5C" w:rsidRPr="006737C6" w:rsidRDefault="00991D5C" w:rsidP="003121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3121E2">
            <w:pPr>
              <w:jc w:val="right"/>
              <w:rPr>
                <w:sz w:val="23"/>
                <w:szCs w:val="23"/>
              </w:rPr>
            </w:pPr>
            <w:r w:rsidRPr="006737C6">
              <w:rPr>
                <w:sz w:val="23"/>
                <w:szCs w:val="23"/>
              </w:rPr>
              <w:t>-</w:t>
            </w:r>
          </w:p>
        </w:tc>
        <w:tc>
          <w:tcPr>
            <w:tcW w:w="1985" w:type="dxa"/>
            <w:gridSpan w:val="2"/>
            <w:shd w:val="clear" w:color="auto" w:fill="FFFFFF" w:themeFill="background1"/>
            <w:noWrap/>
            <w:vAlign w:val="bottom"/>
            <w:hideMark/>
          </w:tcPr>
          <w:p w:rsidR="00991D5C" w:rsidRPr="006737C6" w:rsidRDefault="00991D5C" w:rsidP="003121E2">
            <w:pPr>
              <w:jc w:val="right"/>
              <w:rPr>
                <w:sz w:val="23"/>
                <w:szCs w:val="23"/>
              </w:rPr>
            </w:pPr>
            <w:r w:rsidRPr="006737C6">
              <w:rPr>
                <w:sz w:val="23"/>
                <w:szCs w:val="23"/>
              </w:rPr>
              <w:t>63.9</w:t>
            </w:r>
          </w:p>
        </w:tc>
        <w:tc>
          <w:tcPr>
            <w:tcW w:w="1843" w:type="dxa"/>
            <w:gridSpan w:val="2"/>
            <w:shd w:val="clear" w:color="auto" w:fill="FFFFFF" w:themeFill="background1"/>
            <w:noWrap/>
            <w:vAlign w:val="bottom"/>
            <w:hideMark/>
          </w:tcPr>
          <w:p w:rsidR="00991D5C" w:rsidRPr="006737C6" w:rsidRDefault="00991D5C" w:rsidP="003121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3121E2">
            <w:pPr>
              <w:jc w:val="right"/>
              <w:rPr>
                <w:b/>
                <w:sz w:val="23"/>
                <w:szCs w:val="23"/>
              </w:rPr>
            </w:pPr>
            <w:r w:rsidRPr="006737C6">
              <w:rPr>
                <w:b/>
                <w:sz w:val="23"/>
                <w:szCs w:val="23"/>
              </w:rPr>
              <w:t>63.9</w:t>
            </w:r>
          </w:p>
        </w:tc>
        <w:tc>
          <w:tcPr>
            <w:tcW w:w="1618" w:type="dxa"/>
            <w:gridSpan w:val="2"/>
            <w:shd w:val="clear" w:color="auto" w:fill="FFFFFF" w:themeFill="background1"/>
            <w:noWrap/>
            <w:vAlign w:val="bottom"/>
            <w:hideMark/>
          </w:tcPr>
          <w:p w:rsidR="00991D5C" w:rsidRPr="006737C6" w:rsidRDefault="00991D5C" w:rsidP="003121E2">
            <w:pPr>
              <w:jc w:val="right"/>
              <w:rPr>
                <w:sz w:val="23"/>
                <w:szCs w:val="23"/>
              </w:rPr>
            </w:pPr>
            <w:r w:rsidRPr="006737C6">
              <w:rPr>
                <w:sz w:val="23"/>
                <w:szCs w:val="23"/>
              </w:rPr>
              <w:t>-</w:t>
            </w:r>
          </w:p>
        </w:tc>
        <w:tc>
          <w:tcPr>
            <w:tcW w:w="1551" w:type="dxa"/>
            <w:gridSpan w:val="2"/>
            <w:shd w:val="clear" w:color="auto" w:fill="FFFFFF" w:themeFill="background1"/>
            <w:noWrap/>
            <w:vAlign w:val="bottom"/>
            <w:hideMark/>
          </w:tcPr>
          <w:p w:rsidR="00991D5C" w:rsidRPr="006737C6" w:rsidRDefault="00991D5C" w:rsidP="003121E2">
            <w:pPr>
              <w:jc w:val="right"/>
              <w:rPr>
                <w:b/>
                <w:sz w:val="23"/>
                <w:szCs w:val="23"/>
              </w:rPr>
            </w:pPr>
            <w:r w:rsidRPr="006737C6">
              <w:rPr>
                <w:b/>
                <w:sz w:val="23"/>
                <w:szCs w:val="23"/>
              </w:rPr>
              <w:t>63.9</w:t>
            </w:r>
          </w:p>
        </w:tc>
      </w:tr>
      <w:tr w:rsidR="00991D5C" w:rsidRPr="002F17B5" w:rsidTr="00404D97">
        <w:trPr>
          <w:trHeight w:val="300"/>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Interest payments</w:t>
            </w:r>
          </w:p>
        </w:tc>
        <w:tc>
          <w:tcPr>
            <w:tcW w:w="1284" w:type="dxa"/>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w:t>
            </w:r>
          </w:p>
        </w:tc>
        <w:tc>
          <w:tcPr>
            <w:tcW w:w="1618"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63.8</w:t>
            </w:r>
          </w:p>
        </w:tc>
        <w:tc>
          <w:tcPr>
            <w:tcW w:w="1551"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63.8</w:t>
            </w:r>
          </w:p>
        </w:tc>
      </w:tr>
      <w:tr w:rsidR="00991D5C" w:rsidRPr="002F17B5" w:rsidTr="00404D97">
        <w:trPr>
          <w:trHeight w:val="300"/>
          <w:jc w:val="center"/>
        </w:trPr>
        <w:tc>
          <w:tcPr>
            <w:tcW w:w="4211" w:type="dxa"/>
            <w:shd w:val="clear" w:color="auto" w:fill="FFFFFF" w:themeFill="background1"/>
            <w:hideMark/>
          </w:tcPr>
          <w:p w:rsidR="00991D5C" w:rsidRPr="002F17B5" w:rsidRDefault="00271773" w:rsidP="005853E2">
            <w:pPr>
              <w:autoSpaceDE/>
              <w:autoSpaceDN/>
              <w:adjustRightInd/>
              <w:spacing w:before="0" w:after="0"/>
              <w:jc w:val="left"/>
              <w:rPr>
                <w:rFonts w:eastAsia="Times New Roman" w:cs="Arial"/>
                <w:lang w:eastAsia="en-GB"/>
              </w:rPr>
            </w:pPr>
            <w:r w:rsidRPr="002F17B5">
              <w:rPr>
                <w:rFonts w:eastAsia="Times New Roman" w:cs="Arial"/>
                <w:lang w:eastAsia="en-GB"/>
              </w:rPr>
              <w:t>Precepts, levies and net pension interest costs</w:t>
            </w:r>
            <w:r w:rsidR="00404D97">
              <w:rPr>
                <w:rFonts w:eastAsia="Times New Roman" w:cs="Arial"/>
                <w:lang w:eastAsia="en-GB"/>
              </w:rPr>
              <w:t>**</w:t>
            </w:r>
          </w:p>
        </w:tc>
        <w:tc>
          <w:tcPr>
            <w:tcW w:w="1284" w:type="dxa"/>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985"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w:t>
            </w:r>
          </w:p>
        </w:tc>
        <w:tc>
          <w:tcPr>
            <w:tcW w:w="1618" w:type="dxa"/>
            <w:gridSpan w:val="2"/>
            <w:shd w:val="clear" w:color="auto" w:fill="FFFFFF" w:themeFill="background1"/>
            <w:noWrap/>
            <w:vAlign w:val="bottom"/>
            <w:hideMark/>
          </w:tcPr>
          <w:p w:rsidR="00991D5C" w:rsidRPr="006737C6" w:rsidRDefault="00DF2C2A">
            <w:pPr>
              <w:jc w:val="right"/>
              <w:rPr>
                <w:sz w:val="23"/>
                <w:szCs w:val="23"/>
              </w:rPr>
            </w:pPr>
            <w:r w:rsidRPr="006737C6">
              <w:rPr>
                <w:sz w:val="23"/>
                <w:szCs w:val="23"/>
              </w:rPr>
              <w:t>40.4</w:t>
            </w:r>
          </w:p>
        </w:tc>
        <w:tc>
          <w:tcPr>
            <w:tcW w:w="1551" w:type="dxa"/>
            <w:gridSpan w:val="2"/>
            <w:shd w:val="clear" w:color="auto" w:fill="FFFFFF" w:themeFill="background1"/>
            <w:noWrap/>
            <w:vAlign w:val="bottom"/>
            <w:hideMark/>
          </w:tcPr>
          <w:p w:rsidR="00991D5C" w:rsidRPr="006737C6" w:rsidRDefault="00DF2C2A" w:rsidP="005853E2">
            <w:pPr>
              <w:jc w:val="right"/>
              <w:rPr>
                <w:b/>
                <w:sz w:val="23"/>
                <w:szCs w:val="23"/>
              </w:rPr>
            </w:pPr>
            <w:r w:rsidRPr="006737C6">
              <w:rPr>
                <w:b/>
                <w:sz w:val="23"/>
                <w:szCs w:val="23"/>
              </w:rPr>
              <w:t>40.4</w:t>
            </w:r>
          </w:p>
        </w:tc>
      </w:tr>
      <w:tr w:rsidR="00991D5C" w:rsidRPr="002F17B5" w:rsidTr="00404D97">
        <w:trPr>
          <w:trHeight w:val="315"/>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lang w:eastAsia="en-GB"/>
              </w:rPr>
            </w:pPr>
            <w:r w:rsidRPr="002F17B5">
              <w:rPr>
                <w:rFonts w:eastAsia="Times New Roman" w:cs="Arial"/>
                <w:lang w:eastAsia="en-GB"/>
              </w:rPr>
              <w:t>Gains or losses on disposal of fixed assets</w:t>
            </w:r>
          </w:p>
        </w:tc>
        <w:tc>
          <w:tcPr>
            <w:tcW w:w="1284" w:type="dxa"/>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985"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843"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w:t>
            </w:r>
          </w:p>
        </w:tc>
        <w:tc>
          <w:tcPr>
            <w:tcW w:w="1417"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w:t>
            </w:r>
          </w:p>
        </w:tc>
        <w:tc>
          <w:tcPr>
            <w:tcW w:w="1618"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49.2</w:t>
            </w:r>
          </w:p>
        </w:tc>
        <w:tc>
          <w:tcPr>
            <w:tcW w:w="1551" w:type="dxa"/>
            <w:gridSpan w:val="2"/>
            <w:tcBorders>
              <w:bottom w:val="single" w:sz="4" w:space="0" w:color="auto"/>
            </w:tcBorders>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49.2</w:t>
            </w:r>
          </w:p>
        </w:tc>
      </w:tr>
      <w:tr w:rsidR="00991D5C" w:rsidRPr="002F17B5" w:rsidTr="00404D97">
        <w:trPr>
          <w:trHeight w:val="330"/>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b/>
                <w:bCs/>
                <w:lang w:eastAsia="en-GB"/>
              </w:rPr>
            </w:pPr>
            <w:r w:rsidRPr="002F17B5">
              <w:rPr>
                <w:rFonts w:eastAsia="Times New Roman" w:cs="Arial"/>
                <w:b/>
                <w:bCs/>
                <w:lang w:eastAsia="en-GB"/>
              </w:rPr>
              <w:t>Total Expenditure</w:t>
            </w:r>
          </w:p>
        </w:tc>
        <w:tc>
          <w:tcPr>
            <w:tcW w:w="1284" w:type="dxa"/>
            <w:tcBorders>
              <w:top w:val="single" w:sz="4" w:space="0" w:color="auto"/>
            </w:tcBorders>
            <w:shd w:val="clear" w:color="auto" w:fill="FFFFFF" w:themeFill="background1"/>
            <w:noWrap/>
            <w:vAlign w:val="bottom"/>
            <w:hideMark/>
          </w:tcPr>
          <w:p w:rsidR="00991D5C" w:rsidRPr="006737C6" w:rsidRDefault="00991D5C">
            <w:pPr>
              <w:jc w:val="right"/>
              <w:rPr>
                <w:sz w:val="23"/>
                <w:szCs w:val="23"/>
              </w:rPr>
            </w:pPr>
            <w:r w:rsidRPr="006737C6">
              <w:rPr>
                <w:sz w:val="23"/>
                <w:szCs w:val="23"/>
              </w:rPr>
              <w:t>1,9</w:t>
            </w:r>
            <w:r w:rsidR="008D2E40" w:rsidRPr="006737C6">
              <w:rPr>
                <w:sz w:val="23"/>
                <w:szCs w:val="23"/>
              </w:rPr>
              <w:t>58</w:t>
            </w:r>
            <w:r w:rsidRPr="006737C6">
              <w:rPr>
                <w:sz w:val="23"/>
                <w:szCs w:val="23"/>
              </w:rPr>
              <w:t>.3</w:t>
            </w:r>
          </w:p>
        </w:tc>
        <w:tc>
          <w:tcPr>
            <w:tcW w:w="1417" w:type="dxa"/>
            <w:gridSpan w:val="2"/>
            <w:tcBorders>
              <w:top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22.4</w:t>
            </w:r>
          </w:p>
        </w:tc>
        <w:tc>
          <w:tcPr>
            <w:tcW w:w="1985" w:type="dxa"/>
            <w:gridSpan w:val="2"/>
            <w:tcBorders>
              <w:top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63.9</w:t>
            </w:r>
          </w:p>
        </w:tc>
        <w:tc>
          <w:tcPr>
            <w:tcW w:w="1843" w:type="dxa"/>
            <w:gridSpan w:val="2"/>
            <w:tcBorders>
              <w:top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(120.0)</w:t>
            </w:r>
          </w:p>
        </w:tc>
        <w:tc>
          <w:tcPr>
            <w:tcW w:w="1417" w:type="dxa"/>
            <w:gridSpan w:val="2"/>
            <w:tcBorders>
              <w:top w:val="single" w:sz="4" w:space="0" w:color="auto"/>
            </w:tcBorders>
            <w:shd w:val="clear" w:color="auto" w:fill="FFFFFF" w:themeFill="background1"/>
            <w:noWrap/>
            <w:vAlign w:val="bottom"/>
            <w:hideMark/>
          </w:tcPr>
          <w:p w:rsidR="00991D5C" w:rsidRPr="006737C6" w:rsidRDefault="00991D5C">
            <w:pPr>
              <w:jc w:val="right"/>
              <w:rPr>
                <w:b/>
                <w:sz w:val="23"/>
                <w:szCs w:val="23"/>
              </w:rPr>
            </w:pPr>
            <w:r w:rsidRPr="006737C6">
              <w:rPr>
                <w:b/>
                <w:sz w:val="23"/>
                <w:szCs w:val="23"/>
              </w:rPr>
              <w:t>1,9</w:t>
            </w:r>
            <w:r w:rsidR="008D2E40" w:rsidRPr="006737C6">
              <w:rPr>
                <w:b/>
                <w:sz w:val="23"/>
                <w:szCs w:val="23"/>
              </w:rPr>
              <w:t>24</w:t>
            </w:r>
            <w:r w:rsidRPr="006737C6">
              <w:rPr>
                <w:b/>
                <w:sz w:val="23"/>
                <w:szCs w:val="23"/>
              </w:rPr>
              <w:t>.6</w:t>
            </w:r>
          </w:p>
        </w:tc>
        <w:tc>
          <w:tcPr>
            <w:tcW w:w="1618" w:type="dxa"/>
            <w:gridSpan w:val="2"/>
            <w:tcBorders>
              <w:top w:val="single" w:sz="4" w:space="0" w:color="auto"/>
            </w:tcBorders>
            <w:shd w:val="clear" w:color="auto" w:fill="FFFFFF" w:themeFill="background1"/>
            <w:noWrap/>
            <w:vAlign w:val="bottom"/>
            <w:hideMark/>
          </w:tcPr>
          <w:p w:rsidR="00991D5C" w:rsidRPr="006737C6" w:rsidRDefault="00DF2C2A">
            <w:pPr>
              <w:jc w:val="right"/>
              <w:rPr>
                <w:sz w:val="23"/>
                <w:szCs w:val="23"/>
              </w:rPr>
            </w:pPr>
            <w:r w:rsidRPr="006737C6">
              <w:rPr>
                <w:sz w:val="23"/>
                <w:szCs w:val="23"/>
              </w:rPr>
              <w:t>165.3</w:t>
            </w:r>
          </w:p>
        </w:tc>
        <w:tc>
          <w:tcPr>
            <w:tcW w:w="1551" w:type="dxa"/>
            <w:gridSpan w:val="2"/>
            <w:tcBorders>
              <w:top w:val="single" w:sz="4" w:space="0" w:color="auto"/>
            </w:tcBorders>
            <w:shd w:val="clear" w:color="auto" w:fill="FFFFFF" w:themeFill="background1"/>
            <w:noWrap/>
            <w:vAlign w:val="bottom"/>
            <w:hideMark/>
          </w:tcPr>
          <w:p w:rsidR="00991D5C" w:rsidRPr="006737C6" w:rsidRDefault="00991D5C">
            <w:pPr>
              <w:jc w:val="right"/>
              <w:rPr>
                <w:b/>
                <w:sz w:val="23"/>
                <w:szCs w:val="23"/>
              </w:rPr>
            </w:pPr>
            <w:r w:rsidRPr="006737C6">
              <w:rPr>
                <w:b/>
                <w:sz w:val="23"/>
                <w:szCs w:val="23"/>
              </w:rPr>
              <w:t>2,</w:t>
            </w:r>
            <w:r w:rsidR="00DF2C2A" w:rsidRPr="006737C6">
              <w:rPr>
                <w:b/>
                <w:sz w:val="23"/>
                <w:szCs w:val="23"/>
              </w:rPr>
              <w:t>0</w:t>
            </w:r>
            <w:r w:rsidR="008D2E40" w:rsidRPr="006737C6">
              <w:rPr>
                <w:b/>
                <w:sz w:val="23"/>
                <w:szCs w:val="23"/>
              </w:rPr>
              <w:t>89</w:t>
            </w:r>
            <w:r w:rsidRPr="006737C6">
              <w:rPr>
                <w:b/>
                <w:sz w:val="23"/>
                <w:szCs w:val="23"/>
              </w:rPr>
              <w:t>.</w:t>
            </w:r>
            <w:r w:rsidR="00DF2C2A" w:rsidRPr="006737C6">
              <w:rPr>
                <w:b/>
                <w:sz w:val="23"/>
                <w:szCs w:val="23"/>
              </w:rPr>
              <w:t>9</w:t>
            </w:r>
          </w:p>
        </w:tc>
      </w:tr>
      <w:tr w:rsidR="00991D5C" w:rsidRPr="002F17B5" w:rsidTr="003F3D21">
        <w:trPr>
          <w:trHeight w:val="330"/>
          <w:jc w:val="center"/>
        </w:trPr>
        <w:tc>
          <w:tcPr>
            <w:tcW w:w="4211" w:type="dxa"/>
            <w:shd w:val="clear" w:color="auto" w:fill="FFFFFF" w:themeFill="background1"/>
            <w:hideMark/>
          </w:tcPr>
          <w:p w:rsidR="00991D5C" w:rsidRPr="002F17B5" w:rsidRDefault="00991D5C" w:rsidP="005853E2">
            <w:pPr>
              <w:autoSpaceDE/>
              <w:autoSpaceDN/>
              <w:adjustRightInd/>
              <w:spacing w:before="0" w:after="0"/>
              <w:jc w:val="left"/>
              <w:rPr>
                <w:rFonts w:eastAsia="Times New Roman" w:cs="Arial"/>
                <w:b/>
                <w:bCs/>
                <w:lang w:eastAsia="en-GB"/>
              </w:rPr>
            </w:pPr>
            <w:r w:rsidRPr="002F17B5">
              <w:rPr>
                <w:rFonts w:eastAsia="Times New Roman" w:cs="Arial"/>
                <w:b/>
                <w:bCs/>
                <w:lang w:eastAsia="en-GB"/>
              </w:rPr>
              <w:t>Surplus or Deficit on the provision of services</w:t>
            </w:r>
          </w:p>
        </w:tc>
        <w:tc>
          <w:tcPr>
            <w:tcW w:w="1284" w:type="dxa"/>
            <w:tcBorders>
              <w:top w:val="single" w:sz="4" w:space="0" w:color="auto"/>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711.6</w:t>
            </w:r>
          </w:p>
        </w:tc>
        <w:tc>
          <w:tcPr>
            <w:tcW w:w="1417" w:type="dxa"/>
            <w:gridSpan w:val="2"/>
            <w:tcBorders>
              <w:top w:val="single" w:sz="4" w:space="0" w:color="auto"/>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(12.0)</w:t>
            </w:r>
          </w:p>
        </w:tc>
        <w:tc>
          <w:tcPr>
            <w:tcW w:w="1985" w:type="dxa"/>
            <w:gridSpan w:val="2"/>
            <w:tcBorders>
              <w:top w:val="single" w:sz="4" w:space="0" w:color="auto"/>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63.9</w:t>
            </w:r>
          </w:p>
        </w:tc>
        <w:tc>
          <w:tcPr>
            <w:tcW w:w="1843" w:type="dxa"/>
            <w:gridSpan w:val="2"/>
            <w:tcBorders>
              <w:top w:val="single" w:sz="4" w:space="0" w:color="auto"/>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(32.6)</w:t>
            </w:r>
          </w:p>
        </w:tc>
        <w:tc>
          <w:tcPr>
            <w:tcW w:w="1417" w:type="dxa"/>
            <w:gridSpan w:val="2"/>
            <w:tcBorders>
              <w:top w:val="single" w:sz="4" w:space="0" w:color="auto"/>
              <w:bottom w:val="single" w:sz="4" w:space="0" w:color="auto"/>
            </w:tcBorders>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730.9</w:t>
            </w:r>
          </w:p>
        </w:tc>
        <w:tc>
          <w:tcPr>
            <w:tcW w:w="1618" w:type="dxa"/>
            <w:gridSpan w:val="2"/>
            <w:tcBorders>
              <w:top w:val="single" w:sz="4" w:space="0" w:color="auto"/>
              <w:bottom w:val="single" w:sz="4" w:space="0" w:color="auto"/>
            </w:tcBorders>
            <w:shd w:val="clear" w:color="auto" w:fill="FFFFFF" w:themeFill="background1"/>
            <w:noWrap/>
            <w:vAlign w:val="bottom"/>
            <w:hideMark/>
          </w:tcPr>
          <w:p w:rsidR="00991D5C" w:rsidRPr="006737C6" w:rsidRDefault="00991D5C" w:rsidP="005853E2">
            <w:pPr>
              <w:jc w:val="right"/>
              <w:rPr>
                <w:sz w:val="23"/>
                <w:szCs w:val="23"/>
              </w:rPr>
            </w:pPr>
            <w:r w:rsidRPr="006737C6">
              <w:rPr>
                <w:sz w:val="23"/>
                <w:szCs w:val="23"/>
              </w:rPr>
              <w:t>(763.9)</w:t>
            </w:r>
          </w:p>
        </w:tc>
        <w:tc>
          <w:tcPr>
            <w:tcW w:w="1551" w:type="dxa"/>
            <w:gridSpan w:val="2"/>
            <w:tcBorders>
              <w:top w:val="single" w:sz="4" w:space="0" w:color="auto"/>
              <w:bottom w:val="single" w:sz="4" w:space="0" w:color="auto"/>
            </w:tcBorders>
            <w:shd w:val="clear" w:color="auto" w:fill="FFFFFF" w:themeFill="background1"/>
            <w:noWrap/>
            <w:vAlign w:val="bottom"/>
            <w:hideMark/>
          </w:tcPr>
          <w:p w:rsidR="00991D5C" w:rsidRPr="006737C6" w:rsidRDefault="00991D5C" w:rsidP="005853E2">
            <w:pPr>
              <w:jc w:val="right"/>
              <w:rPr>
                <w:b/>
                <w:sz w:val="23"/>
                <w:szCs w:val="23"/>
              </w:rPr>
            </w:pPr>
            <w:r w:rsidRPr="006737C6">
              <w:rPr>
                <w:b/>
                <w:sz w:val="23"/>
                <w:szCs w:val="23"/>
              </w:rPr>
              <w:t>(33.0)</w:t>
            </w:r>
          </w:p>
        </w:tc>
      </w:tr>
    </w:tbl>
    <w:p w:rsidR="00404D97" w:rsidRPr="00141ABD" w:rsidRDefault="00404D97" w:rsidP="00404D97">
      <w:pPr>
        <w:pStyle w:val="ListParagraph"/>
        <w:spacing w:before="40" w:after="0"/>
        <w:ind w:left="0" w:right="454"/>
        <w:rPr>
          <w:sz w:val="22"/>
          <w:szCs w:val="22"/>
        </w:rPr>
      </w:pPr>
      <w:r>
        <w:rPr>
          <w:sz w:val="22"/>
          <w:szCs w:val="22"/>
        </w:rPr>
        <w:t>*Non Distributed comparatives have been restated as a result of improvement made to reporting systems</w:t>
      </w:r>
    </w:p>
    <w:p w:rsidR="002775EE" w:rsidRDefault="00404D97" w:rsidP="006737C6">
      <w:pPr>
        <w:pStyle w:val="ListParagraph"/>
        <w:spacing w:before="0" w:after="0"/>
        <w:ind w:left="57"/>
      </w:pPr>
      <w:r w:rsidRPr="00CF29BE">
        <w:rPr>
          <w:sz w:val="22"/>
          <w:szCs w:val="22"/>
        </w:rPr>
        <w:t>*</w:t>
      </w:r>
      <w:r>
        <w:rPr>
          <w:sz w:val="22"/>
          <w:szCs w:val="22"/>
        </w:rPr>
        <w:t>*</w:t>
      </w:r>
      <w:r w:rsidRPr="00CF29BE">
        <w:rPr>
          <w:sz w:val="22"/>
          <w:szCs w:val="22"/>
        </w:rPr>
        <w:t>Comparatives</w:t>
      </w:r>
      <w:r>
        <w:rPr>
          <w:sz w:val="22"/>
          <w:szCs w:val="22"/>
        </w:rPr>
        <w:t xml:space="preserve"> relating to pension interest</w:t>
      </w:r>
      <w:r w:rsidRPr="00CF29BE">
        <w:rPr>
          <w:sz w:val="22"/>
          <w:szCs w:val="22"/>
        </w:rPr>
        <w:t xml:space="preserve"> have been restated to reflect the changes to the </w:t>
      </w:r>
      <w:r>
        <w:rPr>
          <w:bCs/>
          <w:iCs/>
          <w:sz w:val="22"/>
          <w:szCs w:val="22"/>
        </w:rPr>
        <w:t xml:space="preserve">IAS19 accounting standard. </w:t>
      </w:r>
    </w:p>
    <w:p w:rsidR="00991D5C" w:rsidRPr="002F17B5" w:rsidRDefault="00991D5C" w:rsidP="00991D5C">
      <w:pPr>
        <w:rPr>
          <w:sz w:val="20"/>
          <w:szCs w:val="20"/>
        </w:rPr>
        <w:sectPr w:rsidR="00991D5C" w:rsidRPr="002F17B5" w:rsidSect="008E0F34">
          <w:headerReference w:type="even" r:id="rId47"/>
          <w:headerReference w:type="default" r:id="rId48"/>
          <w:footerReference w:type="default" r:id="rId49"/>
          <w:headerReference w:type="first" r:id="rId50"/>
          <w:pgSz w:w="16838" w:h="11906" w:orient="landscape" w:code="9"/>
          <w:pgMar w:top="720" w:right="720" w:bottom="720" w:left="720" w:header="283" w:footer="283" w:gutter="0"/>
          <w:cols w:space="708"/>
          <w:docGrid w:linePitch="360"/>
        </w:sectPr>
      </w:pPr>
    </w:p>
    <w:p w:rsidR="00E34346" w:rsidRPr="002F17B5" w:rsidRDefault="00D41223" w:rsidP="003A5B8C">
      <w:pPr>
        <w:pStyle w:val="Heading3-numbered"/>
        <w:rPr>
          <w:i w:val="0"/>
          <w:sz w:val="26"/>
        </w:rPr>
      </w:pPr>
      <w:r w:rsidRPr="002F17B5">
        <w:rPr>
          <w:i w:val="0"/>
          <w:sz w:val="26"/>
        </w:rPr>
        <w:lastRenderedPageBreak/>
        <w:t xml:space="preserve">  </w:t>
      </w:r>
      <w:r w:rsidR="00E34346" w:rsidRPr="002F17B5">
        <w:rPr>
          <w:i w:val="0"/>
          <w:sz w:val="26"/>
        </w:rPr>
        <w:t>Grant Income</w:t>
      </w:r>
    </w:p>
    <w:p w:rsidR="00B70B4B" w:rsidRPr="002F17B5" w:rsidRDefault="00B70B4B">
      <w:pPr>
        <w:pStyle w:val="Heading3-numbered"/>
        <w:numPr>
          <w:ilvl w:val="0"/>
          <w:numId w:val="0"/>
        </w:numPr>
        <w:ind w:left="720"/>
        <w:rPr>
          <w:i w:val="0"/>
          <w:sz w:val="8"/>
        </w:rPr>
      </w:pPr>
    </w:p>
    <w:p w:rsidR="00E34346" w:rsidRPr="002F17B5" w:rsidRDefault="00E34346" w:rsidP="00E34346">
      <w:pPr>
        <w:pStyle w:val="BodyText10"/>
      </w:pPr>
      <w:r w:rsidRPr="002F17B5">
        <w:t>The authority credited the following grants and contributions to the Comprehensive Income a</w:t>
      </w:r>
      <w:r w:rsidR="00B72452">
        <w:t>nd Expenditure Statement.</w:t>
      </w:r>
    </w:p>
    <w:tbl>
      <w:tblPr>
        <w:tblW w:w="0" w:type="auto"/>
        <w:jc w:val="center"/>
        <w:tblLayout w:type="fixed"/>
        <w:tblLook w:val="04A0" w:firstRow="1" w:lastRow="0" w:firstColumn="1" w:lastColumn="0" w:noHBand="0" w:noVBand="1"/>
      </w:tblPr>
      <w:tblGrid>
        <w:gridCol w:w="6835"/>
        <w:gridCol w:w="1843"/>
        <w:gridCol w:w="1850"/>
      </w:tblGrid>
      <w:tr w:rsidR="00E62353" w:rsidRPr="002F17B5" w:rsidTr="00B54507">
        <w:trPr>
          <w:trHeight w:val="315"/>
          <w:jc w:val="center"/>
        </w:trPr>
        <w:tc>
          <w:tcPr>
            <w:tcW w:w="6835" w:type="dxa"/>
            <w:shd w:val="clear" w:color="auto" w:fill="FFFFFF" w:themeFill="background1"/>
            <w:noWrap/>
            <w:vAlign w:val="bottom"/>
            <w:hideMark/>
          </w:tcPr>
          <w:p w:rsidR="00E62353" w:rsidRPr="002F17B5" w:rsidRDefault="00E62353" w:rsidP="004F1705">
            <w:pPr>
              <w:autoSpaceDE/>
              <w:autoSpaceDN/>
              <w:adjustRightInd/>
              <w:spacing w:before="0" w:after="0"/>
              <w:jc w:val="left"/>
              <w:rPr>
                <w:rFonts w:ascii="Calibri" w:eastAsia="Times New Roman" w:hAnsi="Calibri" w:cs="Arial"/>
                <w:szCs w:val="22"/>
                <w:lang w:eastAsia="en-GB"/>
              </w:rPr>
            </w:pPr>
          </w:p>
        </w:tc>
        <w:tc>
          <w:tcPr>
            <w:tcW w:w="1843" w:type="dxa"/>
            <w:shd w:val="clear" w:color="auto" w:fill="FFFFFF" w:themeFill="background1"/>
            <w:noWrap/>
            <w:vAlign w:val="bottom"/>
            <w:hideMark/>
          </w:tcPr>
          <w:p w:rsidR="00E62353" w:rsidRPr="002F17B5" w:rsidRDefault="00CD4CF3" w:rsidP="00E62353">
            <w:pPr>
              <w:autoSpaceDE/>
              <w:autoSpaceDN/>
              <w:adjustRightInd/>
              <w:spacing w:before="0" w:after="0"/>
              <w:ind w:right="175"/>
              <w:jc w:val="right"/>
              <w:rPr>
                <w:rFonts w:eastAsia="Times New Roman" w:cs="Arial"/>
                <w:b/>
                <w:bCs/>
                <w:lang w:eastAsia="en-GB"/>
              </w:rPr>
            </w:pPr>
            <w:r w:rsidRPr="002F17B5">
              <w:rPr>
                <w:rFonts w:eastAsia="Times New Roman" w:cs="Arial"/>
                <w:b/>
                <w:bCs/>
                <w:lang w:eastAsia="en-GB"/>
              </w:rPr>
              <w:t>2013/14</w:t>
            </w:r>
          </w:p>
        </w:tc>
        <w:tc>
          <w:tcPr>
            <w:tcW w:w="1850" w:type="dxa"/>
            <w:shd w:val="clear" w:color="auto" w:fill="auto"/>
            <w:noWrap/>
            <w:vAlign w:val="bottom"/>
            <w:hideMark/>
          </w:tcPr>
          <w:p w:rsidR="00E62353" w:rsidRPr="002F17B5" w:rsidRDefault="00CD4CF3" w:rsidP="0021200B">
            <w:pPr>
              <w:autoSpaceDE/>
              <w:autoSpaceDN/>
              <w:adjustRightInd/>
              <w:spacing w:before="0" w:after="0"/>
              <w:ind w:right="176"/>
              <w:jc w:val="right"/>
              <w:rPr>
                <w:rFonts w:eastAsia="Times New Roman" w:cs="Arial"/>
                <w:b/>
                <w:bCs/>
                <w:lang w:eastAsia="en-GB"/>
              </w:rPr>
            </w:pPr>
            <w:r w:rsidRPr="002F17B5">
              <w:rPr>
                <w:rFonts w:eastAsia="Times New Roman" w:cs="Arial"/>
                <w:b/>
                <w:bCs/>
                <w:lang w:eastAsia="en-GB"/>
              </w:rPr>
              <w:t>2012/13</w:t>
            </w:r>
            <w:r w:rsidR="00022BA0" w:rsidRPr="002F17B5">
              <w:rPr>
                <w:rFonts w:eastAsia="Times New Roman" w:cs="Arial"/>
                <w:b/>
                <w:bCs/>
                <w:lang w:eastAsia="en-GB"/>
              </w:rPr>
              <w:t xml:space="preserve"> </w:t>
            </w:r>
          </w:p>
        </w:tc>
      </w:tr>
      <w:tr w:rsidR="00E62353" w:rsidRPr="002F17B5" w:rsidTr="00B54507">
        <w:trPr>
          <w:trHeight w:val="315"/>
          <w:jc w:val="center"/>
        </w:trPr>
        <w:tc>
          <w:tcPr>
            <w:tcW w:w="6835" w:type="dxa"/>
            <w:shd w:val="clear" w:color="auto" w:fill="FFFFFF" w:themeFill="background1"/>
            <w:noWrap/>
            <w:vAlign w:val="bottom"/>
            <w:hideMark/>
          </w:tcPr>
          <w:p w:rsidR="00E62353" w:rsidRPr="002F17B5" w:rsidRDefault="00E62353" w:rsidP="004F1705">
            <w:pPr>
              <w:autoSpaceDE/>
              <w:autoSpaceDN/>
              <w:adjustRightInd/>
              <w:spacing w:before="0" w:after="0"/>
              <w:jc w:val="left"/>
              <w:rPr>
                <w:rFonts w:ascii="Calibri" w:eastAsia="Times New Roman" w:hAnsi="Calibri" w:cs="Arial"/>
                <w:szCs w:val="22"/>
                <w:lang w:eastAsia="en-GB"/>
              </w:rPr>
            </w:pPr>
          </w:p>
        </w:tc>
        <w:tc>
          <w:tcPr>
            <w:tcW w:w="1843" w:type="dxa"/>
            <w:shd w:val="clear" w:color="auto" w:fill="FFFFFF" w:themeFill="background1"/>
            <w:noWrap/>
            <w:vAlign w:val="bottom"/>
            <w:hideMark/>
          </w:tcPr>
          <w:p w:rsidR="00E62353" w:rsidRPr="002F17B5" w:rsidRDefault="00022BA0" w:rsidP="00E62353">
            <w:pPr>
              <w:autoSpaceDE/>
              <w:autoSpaceDN/>
              <w:adjustRightInd/>
              <w:spacing w:before="0" w:after="0"/>
              <w:ind w:right="175"/>
              <w:jc w:val="right"/>
              <w:rPr>
                <w:rFonts w:eastAsia="Times New Roman" w:cs="Arial"/>
                <w:b/>
                <w:bCs/>
                <w:lang w:eastAsia="en-GB"/>
              </w:rPr>
            </w:pPr>
            <w:r w:rsidRPr="002F17B5">
              <w:rPr>
                <w:rFonts w:eastAsia="Times New Roman" w:cs="Arial"/>
                <w:b/>
                <w:bCs/>
                <w:lang w:eastAsia="en-GB"/>
              </w:rPr>
              <w:t xml:space="preserve"> £m </w:t>
            </w:r>
          </w:p>
        </w:tc>
        <w:tc>
          <w:tcPr>
            <w:tcW w:w="1850" w:type="dxa"/>
            <w:shd w:val="clear" w:color="auto" w:fill="auto"/>
            <w:noWrap/>
            <w:vAlign w:val="bottom"/>
            <w:hideMark/>
          </w:tcPr>
          <w:p w:rsidR="00E62353" w:rsidRPr="002F17B5" w:rsidRDefault="00022BA0" w:rsidP="00E62353">
            <w:pPr>
              <w:autoSpaceDE/>
              <w:autoSpaceDN/>
              <w:adjustRightInd/>
              <w:spacing w:before="0" w:after="0"/>
              <w:ind w:right="176"/>
              <w:jc w:val="right"/>
              <w:rPr>
                <w:rFonts w:eastAsia="Times New Roman" w:cs="Arial"/>
                <w:b/>
                <w:bCs/>
                <w:lang w:eastAsia="en-GB"/>
              </w:rPr>
            </w:pPr>
            <w:r w:rsidRPr="002F17B5">
              <w:rPr>
                <w:rFonts w:eastAsia="Times New Roman" w:cs="Arial"/>
                <w:b/>
                <w:bCs/>
                <w:lang w:eastAsia="en-GB"/>
              </w:rPr>
              <w:t xml:space="preserve"> £m </w:t>
            </w:r>
          </w:p>
        </w:tc>
      </w:tr>
      <w:tr w:rsidR="00E62353" w:rsidRPr="002F17B5" w:rsidTr="00B54507">
        <w:trPr>
          <w:trHeight w:val="340"/>
          <w:jc w:val="center"/>
        </w:trPr>
        <w:tc>
          <w:tcPr>
            <w:tcW w:w="6835" w:type="dxa"/>
            <w:shd w:val="clear" w:color="auto" w:fill="FFFFFF" w:themeFill="background1"/>
            <w:noWrap/>
            <w:vAlign w:val="bottom"/>
            <w:hideMark/>
          </w:tcPr>
          <w:p w:rsidR="00E62353" w:rsidRPr="002F17B5" w:rsidRDefault="00286D86" w:rsidP="004F1705">
            <w:pPr>
              <w:autoSpaceDE/>
              <w:autoSpaceDN/>
              <w:adjustRightInd/>
              <w:spacing w:before="0" w:after="0"/>
              <w:jc w:val="left"/>
              <w:rPr>
                <w:rFonts w:eastAsia="Times New Roman" w:cs="Arial"/>
                <w:b/>
                <w:bCs/>
                <w:szCs w:val="22"/>
                <w:lang w:eastAsia="en-GB"/>
              </w:rPr>
            </w:pPr>
            <w:r w:rsidRPr="002F17B5">
              <w:rPr>
                <w:rFonts w:eastAsia="Times New Roman" w:cs="Arial"/>
                <w:b/>
                <w:bCs/>
                <w:szCs w:val="22"/>
                <w:lang w:eastAsia="en-GB"/>
              </w:rPr>
              <w:t>Credited to Taxation and Non Specific Grant Income</w:t>
            </w:r>
          </w:p>
        </w:tc>
        <w:tc>
          <w:tcPr>
            <w:tcW w:w="1843" w:type="dxa"/>
            <w:shd w:val="clear" w:color="auto" w:fill="FFFFFF" w:themeFill="background1"/>
            <w:noWrap/>
            <w:vAlign w:val="bottom"/>
            <w:hideMark/>
          </w:tcPr>
          <w:p w:rsidR="00E62353" w:rsidRPr="002F17B5" w:rsidRDefault="00E62353" w:rsidP="00E62353">
            <w:pPr>
              <w:autoSpaceDE/>
              <w:autoSpaceDN/>
              <w:adjustRightInd/>
              <w:spacing w:before="0" w:after="0"/>
              <w:ind w:right="175"/>
              <w:jc w:val="right"/>
              <w:rPr>
                <w:rFonts w:eastAsia="Times New Roman" w:cs="Arial"/>
                <w:b/>
                <w:bCs/>
                <w:lang w:eastAsia="en-GB"/>
              </w:rPr>
            </w:pPr>
          </w:p>
        </w:tc>
        <w:tc>
          <w:tcPr>
            <w:tcW w:w="1850" w:type="dxa"/>
            <w:shd w:val="clear" w:color="auto" w:fill="auto"/>
            <w:noWrap/>
            <w:vAlign w:val="bottom"/>
            <w:hideMark/>
          </w:tcPr>
          <w:p w:rsidR="00E62353" w:rsidRPr="002F17B5" w:rsidRDefault="00E62353" w:rsidP="004F1705">
            <w:pPr>
              <w:autoSpaceDE/>
              <w:autoSpaceDN/>
              <w:adjustRightInd/>
              <w:spacing w:before="0" w:after="0"/>
              <w:ind w:right="176"/>
              <w:jc w:val="right"/>
              <w:rPr>
                <w:rFonts w:eastAsia="Times New Roman" w:cs="Arial"/>
                <w:b/>
                <w:bCs/>
                <w:lang w:eastAsia="en-GB"/>
              </w:rPr>
            </w:pPr>
          </w:p>
        </w:tc>
      </w:tr>
      <w:tr w:rsidR="00E62353" w:rsidRPr="002F17B5" w:rsidTr="00B54507">
        <w:trPr>
          <w:trHeight w:val="352"/>
          <w:jc w:val="center"/>
        </w:trPr>
        <w:tc>
          <w:tcPr>
            <w:tcW w:w="6835" w:type="dxa"/>
            <w:shd w:val="clear" w:color="auto" w:fill="FFFFFF" w:themeFill="background1"/>
            <w:noWrap/>
            <w:vAlign w:val="bottom"/>
            <w:hideMark/>
          </w:tcPr>
          <w:p w:rsidR="00FD4939" w:rsidRPr="002F17B5" w:rsidRDefault="00286D86" w:rsidP="004F1705">
            <w:pPr>
              <w:autoSpaceDE/>
              <w:autoSpaceDN/>
              <w:adjustRightInd/>
              <w:spacing w:before="0" w:after="0"/>
              <w:rPr>
                <w:rFonts w:eastAsia="Times New Roman" w:cs="Arial"/>
                <w:b/>
                <w:bCs/>
                <w:szCs w:val="22"/>
                <w:lang w:eastAsia="en-GB"/>
              </w:rPr>
            </w:pPr>
            <w:r w:rsidRPr="002F17B5">
              <w:rPr>
                <w:rFonts w:eastAsia="Times New Roman" w:cs="Arial"/>
                <w:b/>
                <w:bCs/>
                <w:szCs w:val="22"/>
                <w:lang w:eastAsia="en-GB"/>
              </w:rPr>
              <w:t>Capital Grants</w:t>
            </w:r>
          </w:p>
        </w:tc>
        <w:tc>
          <w:tcPr>
            <w:tcW w:w="1843" w:type="dxa"/>
            <w:shd w:val="clear" w:color="auto" w:fill="FFFFFF" w:themeFill="background1"/>
            <w:noWrap/>
            <w:vAlign w:val="bottom"/>
          </w:tcPr>
          <w:p w:rsidR="00E62353" w:rsidRPr="002F17B5" w:rsidRDefault="00E62353" w:rsidP="00E62353">
            <w:pPr>
              <w:autoSpaceDE/>
              <w:autoSpaceDN/>
              <w:adjustRightInd/>
              <w:spacing w:before="0" w:after="0"/>
              <w:ind w:right="175"/>
              <w:jc w:val="center"/>
              <w:rPr>
                <w:rFonts w:eastAsia="Times New Roman" w:cs="Arial"/>
                <w:b/>
                <w:bCs/>
                <w:szCs w:val="22"/>
                <w:lang w:eastAsia="en-GB"/>
              </w:rPr>
            </w:pPr>
          </w:p>
        </w:tc>
        <w:tc>
          <w:tcPr>
            <w:tcW w:w="1850" w:type="dxa"/>
            <w:shd w:val="clear" w:color="auto" w:fill="auto"/>
            <w:noWrap/>
            <w:vAlign w:val="bottom"/>
          </w:tcPr>
          <w:p w:rsidR="00E62353" w:rsidRPr="002F17B5" w:rsidRDefault="00E62353" w:rsidP="004F1705">
            <w:pPr>
              <w:autoSpaceDE/>
              <w:autoSpaceDN/>
              <w:adjustRightInd/>
              <w:spacing w:before="0" w:after="0"/>
              <w:ind w:right="176"/>
              <w:jc w:val="center"/>
              <w:rPr>
                <w:rFonts w:eastAsia="Times New Roman" w:cs="Arial"/>
                <w:b/>
                <w:bCs/>
                <w:szCs w:val="22"/>
                <w:lang w:eastAsia="en-GB"/>
              </w:rPr>
            </w:pPr>
          </w:p>
        </w:tc>
      </w:tr>
      <w:tr w:rsidR="0021200B" w:rsidRPr="002F17B5" w:rsidTr="00B54507">
        <w:trPr>
          <w:trHeight w:val="340"/>
          <w:jc w:val="center"/>
        </w:trPr>
        <w:tc>
          <w:tcPr>
            <w:tcW w:w="6835" w:type="dxa"/>
            <w:shd w:val="clear" w:color="auto" w:fill="FFFFFF" w:themeFill="background1"/>
            <w:noWrap/>
            <w:vAlign w:val="bottom"/>
            <w:hideMark/>
          </w:tcPr>
          <w:p w:rsidR="0021200B" w:rsidRPr="002F17B5" w:rsidRDefault="0021200B" w:rsidP="004F1705">
            <w:pPr>
              <w:autoSpaceDE/>
              <w:autoSpaceDN/>
              <w:adjustRightInd/>
              <w:spacing w:before="0" w:after="0"/>
              <w:jc w:val="left"/>
              <w:rPr>
                <w:rFonts w:eastAsia="Times New Roman" w:cs="Arial"/>
                <w:szCs w:val="22"/>
                <w:lang w:eastAsia="en-GB"/>
              </w:rPr>
            </w:pPr>
            <w:r w:rsidRPr="002F17B5">
              <w:rPr>
                <w:rFonts w:eastAsia="Times New Roman" w:cs="Arial"/>
                <w:szCs w:val="22"/>
                <w:lang w:eastAsia="en-GB"/>
              </w:rPr>
              <w:t xml:space="preserve">Department of Education </w:t>
            </w:r>
          </w:p>
        </w:tc>
        <w:tc>
          <w:tcPr>
            <w:tcW w:w="1843" w:type="dxa"/>
            <w:shd w:val="clear" w:color="auto" w:fill="FFFFFF" w:themeFill="background1"/>
            <w:noWrap/>
            <w:vAlign w:val="bottom"/>
            <w:hideMark/>
          </w:tcPr>
          <w:p w:rsidR="0021200B" w:rsidRPr="002F17B5" w:rsidRDefault="001B440C" w:rsidP="00E62353">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24.4</w:t>
            </w: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43.1</w:t>
            </w:r>
          </w:p>
        </w:tc>
      </w:tr>
      <w:tr w:rsidR="0021200B" w:rsidRPr="002F17B5" w:rsidTr="00B54507">
        <w:trPr>
          <w:trHeight w:val="340"/>
          <w:jc w:val="center"/>
        </w:trPr>
        <w:tc>
          <w:tcPr>
            <w:tcW w:w="6835" w:type="dxa"/>
            <w:shd w:val="clear" w:color="auto" w:fill="FFFFFF" w:themeFill="background1"/>
            <w:noWrap/>
            <w:vAlign w:val="bottom"/>
            <w:hideMark/>
          </w:tcPr>
          <w:p w:rsidR="0021200B" w:rsidRPr="002F17B5" w:rsidRDefault="0021200B" w:rsidP="004F1705">
            <w:pPr>
              <w:autoSpaceDE/>
              <w:autoSpaceDN/>
              <w:adjustRightInd/>
              <w:spacing w:before="0" w:after="0"/>
              <w:jc w:val="left"/>
              <w:rPr>
                <w:rFonts w:eastAsia="Times New Roman" w:cs="Arial"/>
                <w:szCs w:val="22"/>
                <w:lang w:eastAsia="en-GB"/>
              </w:rPr>
            </w:pPr>
            <w:r w:rsidRPr="002F17B5">
              <w:rPr>
                <w:rFonts w:eastAsia="Times New Roman" w:cs="Arial"/>
                <w:szCs w:val="22"/>
                <w:lang w:eastAsia="en-GB"/>
              </w:rPr>
              <w:t>Department of Transport</w:t>
            </w:r>
          </w:p>
        </w:tc>
        <w:tc>
          <w:tcPr>
            <w:tcW w:w="1843" w:type="dxa"/>
            <w:shd w:val="clear" w:color="auto" w:fill="FFFFFF" w:themeFill="background1"/>
            <w:noWrap/>
            <w:vAlign w:val="bottom"/>
            <w:hideMark/>
          </w:tcPr>
          <w:p w:rsidR="0021200B" w:rsidRPr="002F17B5" w:rsidRDefault="001B440C" w:rsidP="00E62353">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55.6</w:t>
            </w: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28.9</w:t>
            </w:r>
          </w:p>
        </w:tc>
      </w:tr>
      <w:tr w:rsidR="0021200B" w:rsidRPr="002F17B5" w:rsidTr="00B54507">
        <w:trPr>
          <w:trHeight w:val="189"/>
          <w:jc w:val="center"/>
        </w:trPr>
        <w:tc>
          <w:tcPr>
            <w:tcW w:w="6835" w:type="dxa"/>
            <w:shd w:val="clear" w:color="auto" w:fill="FFFFFF" w:themeFill="background1"/>
            <w:noWrap/>
            <w:hideMark/>
          </w:tcPr>
          <w:p w:rsidR="0021200B" w:rsidRPr="002F17B5" w:rsidRDefault="0021200B" w:rsidP="00E62353">
            <w:pPr>
              <w:autoSpaceDE/>
              <w:autoSpaceDN/>
              <w:adjustRightInd/>
              <w:spacing w:before="0" w:after="0"/>
              <w:jc w:val="left"/>
              <w:rPr>
                <w:rFonts w:eastAsia="Times New Roman" w:cs="Arial"/>
                <w:bCs/>
                <w:szCs w:val="22"/>
                <w:lang w:eastAsia="en-GB"/>
              </w:rPr>
            </w:pPr>
            <w:r w:rsidRPr="002F17B5">
              <w:rPr>
                <w:rFonts w:eastAsia="Times New Roman" w:cs="Arial"/>
                <w:bCs/>
                <w:szCs w:val="22"/>
                <w:lang w:eastAsia="en-GB"/>
              </w:rPr>
              <w:t>Other Grants</w:t>
            </w:r>
          </w:p>
        </w:tc>
        <w:tc>
          <w:tcPr>
            <w:tcW w:w="1843" w:type="dxa"/>
            <w:shd w:val="clear" w:color="auto" w:fill="FFFFFF" w:themeFill="background1"/>
            <w:noWrap/>
            <w:hideMark/>
          </w:tcPr>
          <w:p w:rsidR="0021200B" w:rsidRPr="002F17B5" w:rsidRDefault="00F149C0" w:rsidP="00E62353">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18.1</w:t>
            </w:r>
          </w:p>
        </w:tc>
        <w:tc>
          <w:tcPr>
            <w:tcW w:w="1850" w:type="dxa"/>
            <w:shd w:val="clear" w:color="auto" w:fill="auto"/>
            <w:noWrap/>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10.4</w:t>
            </w:r>
          </w:p>
        </w:tc>
      </w:tr>
      <w:tr w:rsidR="0021200B" w:rsidRPr="002F17B5" w:rsidTr="00B54507">
        <w:trPr>
          <w:trHeight w:val="340"/>
          <w:jc w:val="center"/>
        </w:trPr>
        <w:tc>
          <w:tcPr>
            <w:tcW w:w="6835" w:type="dxa"/>
            <w:shd w:val="clear" w:color="auto" w:fill="FFFFFF" w:themeFill="background1"/>
            <w:noWrap/>
            <w:vAlign w:val="bottom"/>
            <w:hideMark/>
          </w:tcPr>
          <w:p w:rsidR="0021200B" w:rsidRPr="002F17B5" w:rsidRDefault="0021200B" w:rsidP="004F1705">
            <w:pPr>
              <w:autoSpaceDE/>
              <w:autoSpaceDN/>
              <w:adjustRightInd/>
              <w:spacing w:before="0" w:after="0"/>
              <w:jc w:val="left"/>
              <w:rPr>
                <w:rFonts w:eastAsia="Times New Roman" w:cs="Arial"/>
                <w:b/>
                <w:bCs/>
                <w:szCs w:val="22"/>
                <w:lang w:eastAsia="en-GB"/>
              </w:rPr>
            </w:pPr>
          </w:p>
          <w:p w:rsidR="0021200B" w:rsidRPr="002F17B5" w:rsidRDefault="0021200B" w:rsidP="00B72452">
            <w:pPr>
              <w:autoSpaceDE/>
              <w:autoSpaceDN/>
              <w:adjustRightInd/>
              <w:spacing w:before="0" w:after="0"/>
              <w:jc w:val="left"/>
              <w:rPr>
                <w:rFonts w:eastAsia="Times New Roman" w:cs="Arial"/>
                <w:b/>
                <w:bCs/>
                <w:szCs w:val="22"/>
                <w:lang w:eastAsia="en-GB"/>
              </w:rPr>
            </w:pPr>
            <w:r w:rsidRPr="002F17B5">
              <w:rPr>
                <w:rFonts w:eastAsia="Times New Roman" w:cs="Arial"/>
                <w:b/>
                <w:bCs/>
                <w:szCs w:val="22"/>
                <w:lang w:eastAsia="en-GB"/>
              </w:rPr>
              <w:t>Total Recognised</w:t>
            </w:r>
            <w:r w:rsidR="00227F9C">
              <w:rPr>
                <w:rFonts w:eastAsia="Times New Roman" w:cs="Arial"/>
                <w:b/>
                <w:bCs/>
                <w:szCs w:val="22"/>
                <w:lang w:eastAsia="en-GB"/>
              </w:rPr>
              <w:t xml:space="preserve"> Capital</w:t>
            </w:r>
            <w:r w:rsidRPr="002F17B5">
              <w:rPr>
                <w:rFonts w:eastAsia="Times New Roman" w:cs="Arial"/>
                <w:b/>
                <w:bCs/>
                <w:szCs w:val="22"/>
                <w:lang w:eastAsia="en-GB"/>
              </w:rPr>
              <w:t xml:space="preserve"> Grants and Contributions </w:t>
            </w:r>
          </w:p>
        </w:tc>
        <w:tc>
          <w:tcPr>
            <w:tcW w:w="1843" w:type="dxa"/>
            <w:shd w:val="clear" w:color="auto" w:fill="FFFFFF" w:themeFill="background1"/>
            <w:noWrap/>
            <w:vAlign w:val="bottom"/>
            <w:hideMark/>
          </w:tcPr>
          <w:p w:rsidR="0021200B" w:rsidRPr="002F17B5" w:rsidRDefault="00F149C0" w:rsidP="00F75AD4">
            <w:pPr>
              <w:autoSpaceDE/>
              <w:autoSpaceDN/>
              <w:adjustRightInd/>
              <w:spacing w:before="0" w:after="0"/>
              <w:ind w:right="175"/>
              <w:jc w:val="right"/>
              <w:rPr>
                <w:rFonts w:eastAsia="Times New Roman" w:cs="Arial"/>
                <w:b/>
                <w:bCs/>
                <w:szCs w:val="22"/>
                <w:lang w:eastAsia="en-GB"/>
              </w:rPr>
            </w:pPr>
            <w:r w:rsidRPr="002F17B5">
              <w:rPr>
                <w:rFonts w:eastAsia="Times New Roman" w:cs="Arial"/>
                <w:b/>
                <w:bCs/>
                <w:szCs w:val="22"/>
                <w:lang w:eastAsia="en-GB"/>
              </w:rPr>
              <w:t>98.1</w:t>
            </w: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right"/>
              <w:rPr>
                <w:rFonts w:eastAsia="Times New Roman" w:cs="Arial"/>
                <w:b/>
                <w:bCs/>
                <w:szCs w:val="22"/>
                <w:lang w:eastAsia="en-GB"/>
              </w:rPr>
            </w:pPr>
            <w:r w:rsidRPr="002F17B5">
              <w:rPr>
                <w:rFonts w:eastAsia="Times New Roman" w:cs="Arial"/>
                <w:b/>
                <w:bCs/>
                <w:szCs w:val="22"/>
                <w:lang w:eastAsia="en-GB"/>
              </w:rPr>
              <w:t>82.4</w:t>
            </w:r>
          </w:p>
        </w:tc>
      </w:tr>
      <w:tr w:rsidR="0021200B" w:rsidRPr="002F17B5" w:rsidTr="00B54507">
        <w:trPr>
          <w:trHeight w:val="149"/>
          <w:jc w:val="center"/>
        </w:trPr>
        <w:tc>
          <w:tcPr>
            <w:tcW w:w="6835" w:type="dxa"/>
            <w:shd w:val="clear" w:color="auto" w:fill="FFFFFF" w:themeFill="background1"/>
            <w:noWrap/>
            <w:vAlign w:val="bottom"/>
            <w:hideMark/>
          </w:tcPr>
          <w:p w:rsidR="0021200B" w:rsidRPr="002F17B5" w:rsidRDefault="0021200B" w:rsidP="004F1705">
            <w:pPr>
              <w:autoSpaceDE/>
              <w:autoSpaceDN/>
              <w:adjustRightInd/>
              <w:spacing w:before="0" w:after="0"/>
              <w:jc w:val="left"/>
              <w:rPr>
                <w:rFonts w:ascii="Calibri" w:eastAsia="Times New Roman" w:hAnsi="Calibri" w:cs="Arial"/>
                <w:sz w:val="16"/>
                <w:szCs w:val="16"/>
                <w:lang w:eastAsia="en-GB"/>
              </w:rPr>
            </w:pPr>
          </w:p>
        </w:tc>
        <w:tc>
          <w:tcPr>
            <w:tcW w:w="1843" w:type="dxa"/>
            <w:shd w:val="clear" w:color="auto" w:fill="FFFFFF" w:themeFill="background1"/>
            <w:noWrap/>
            <w:vAlign w:val="bottom"/>
            <w:hideMark/>
          </w:tcPr>
          <w:p w:rsidR="0021200B" w:rsidRPr="002F17B5" w:rsidRDefault="0021200B" w:rsidP="00E62353">
            <w:pPr>
              <w:autoSpaceDE/>
              <w:autoSpaceDN/>
              <w:adjustRightInd/>
              <w:spacing w:before="0" w:after="0"/>
              <w:ind w:right="175"/>
              <w:jc w:val="left"/>
              <w:rPr>
                <w:rFonts w:ascii="Calibri" w:eastAsia="Times New Roman" w:hAnsi="Calibri" w:cs="Arial"/>
                <w:sz w:val="16"/>
                <w:szCs w:val="16"/>
                <w:lang w:eastAsia="en-GB"/>
              </w:rPr>
            </w:pP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left"/>
              <w:rPr>
                <w:rFonts w:ascii="Calibri" w:eastAsia="Times New Roman" w:hAnsi="Calibri" w:cs="Arial"/>
                <w:sz w:val="16"/>
                <w:szCs w:val="16"/>
                <w:lang w:eastAsia="en-GB"/>
              </w:rPr>
            </w:pPr>
          </w:p>
        </w:tc>
      </w:tr>
      <w:tr w:rsidR="0021200B" w:rsidRPr="002F17B5" w:rsidTr="00B54507">
        <w:trPr>
          <w:trHeight w:val="340"/>
          <w:jc w:val="center"/>
        </w:trPr>
        <w:tc>
          <w:tcPr>
            <w:tcW w:w="6835" w:type="dxa"/>
            <w:shd w:val="clear" w:color="auto" w:fill="FFFFFF" w:themeFill="background1"/>
            <w:noWrap/>
            <w:vAlign w:val="bottom"/>
            <w:hideMark/>
          </w:tcPr>
          <w:p w:rsidR="0021200B" w:rsidRPr="002F17B5" w:rsidRDefault="0021200B" w:rsidP="004F1705">
            <w:pPr>
              <w:autoSpaceDE/>
              <w:autoSpaceDN/>
              <w:adjustRightInd/>
              <w:spacing w:before="0" w:after="0"/>
              <w:jc w:val="left"/>
              <w:rPr>
                <w:rFonts w:eastAsia="Times New Roman" w:cs="Arial"/>
                <w:b/>
                <w:bCs/>
                <w:szCs w:val="22"/>
                <w:lang w:eastAsia="en-GB"/>
              </w:rPr>
            </w:pPr>
            <w:r w:rsidRPr="002F17B5">
              <w:rPr>
                <w:rFonts w:eastAsia="Times New Roman" w:cs="Arial"/>
                <w:b/>
                <w:bCs/>
                <w:szCs w:val="22"/>
                <w:lang w:eastAsia="en-GB"/>
              </w:rPr>
              <w:t>Credited to Services - All Services</w:t>
            </w:r>
          </w:p>
        </w:tc>
        <w:tc>
          <w:tcPr>
            <w:tcW w:w="1843" w:type="dxa"/>
            <w:shd w:val="clear" w:color="auto" w:fill="FFFFFF" w:themeFill="background1"/>
            <w:noWrap/>
            <w:vAlign w:val="bottom"/>
            <w:hideMark/>
          </w:tcPr>
          <w:p w:rsidR="0021200B" w:rsidRPr="002F17B5" w:rsidRDefault="0021200B" w:rsidP="00E62353">
            <w:pPr>
              <w:autoSpaceDE/>
              <w:autoSpaceDN/>
              <w:adjustRightInd/>
              <w:spacing w:before="0" w:after="0"/>
              <w:ind w:right="175"/>
              <w:jc w:val="left"/>
              <w:rPr>
                <w:rFonts w:ascii="Calibri" w:eastAsia="Times New Roman" w:hAnsi="Calibri" w:cs="Arial"/>
                <w:szCs w:val="22"/>
                <w:lang w:eastAsia="en-GB"/>
              </w:rPr>
            </w:pP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left"/>
              <w:rPr>
                <w:rFonts w:ascii="Calibri" w:eastAsia="Times New Roman" w:hAnsi="Calibri" w:cs="Arial"/>
                <w:szCs w:val="22"/>
                <w:lang w:eastAsia="en-GB"/>
              </w:rPr>
            </w:pPr>
          </w:p>
        </w:tc>
      </w:tr>
      <w:tr w:rsidR="0021200B" w:rsidRPr="002F17B5" w:rsidTr="00B54507">
        <w:trPr>
          <w:trHeight w:val="340"/>
          <w:jc w:val="center"/>
        </w:trPr>
        <w:tc>
          <w:tcPr>
            <w:tcW w:w="6835" w:type="dxa"/>
            <w:shd w:val="clear" w:color="auto" w:fill="FFFFFF" w:themeFill="background1"/>
            <w:noWrap/>
            <w:vAlign w:val="bottom"/>
            <w:hideMark/>
          </w:tcPr>
          <w:p w:rsidR="0021200B" w:rsidRPr="002F17B5" w:rsidRDefault="001B440C" w:rsidP="004F1705">
            <w:pPr>
              <w:autoSpaceDE/>
              <w:autoSpaceDN/>
              <w:adjustRightInd/>
              <w:spacing w:before="0" w:after="0"/>
              <w:rPr>
                <w:rFonts w:eastAsia="Times New Roman" w:cs="Arial"/>
                <w:szCs w:val="22"/>
                <w:lang w:eastAsia="en-GB"/>
              </w:rPr>
            </w:pPr>
            <w:r w:rsidRPr="002F17B5">
              <w:rPr>
                <w:rFonts w:eastAsia="Times New Roman" w:cs="Arial"/>
                <w:szCs w:val="22"/>
                <w:lang w:eastAsia="en-GB"/>
              </w:rPr>
              <w:t>Department of Education *</w:t>
            </w:r>
          </w:p>
        </w:tc>
        <w:tc>
          <w:tcPr>
            <w:tcW w:w="1843" w:type="dxa"/>
            <w:shd w:val="clear" w:color="auto" w:fill="FFFFFF" w:themeFill="background1"/>
            <w:noWrap/>
            <w:vAlign w:val="bottom"/>
            <w:hideMark/>
          </w:tcPr>
          <w:p w:rsidR="0021200B" w:rsidRPr="002F17B5" w:rsidRDefault="001B440C" w:rsidP="00E62353">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832.9</w:t>
            </w: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789.7</w:t>
            </w:r>
          </w:p>
        </w:tc>
      </w:tr>
      <w:tr w:rsidR="0021200B" w:rsidRPr="002F17B5" w:rsidTr="00B54507">
        <w:trPr>
          <w:trHeight w:val="340"/>
          <w:jc w:val="center"/>
        </w:trPr>
        <w:tc>
          <w:tcPr>
            <w:tcW w:w="6835" w:type="dxa"/>
            <w:shd w:val="clear" w:color="auto" w:fill="FFFFFF" w:themeFill="background1"/>
            <w:noWrap/>
            <w:vAlign w:val="bottom"/>
            <w:hideMark/>
          </w:tcPr>
          <w:p w:rsidR="0021200B" w:rsidRPr="002F17B5" w:rsidRDefault="0021200B" w:rsidP="00746A1C">
            <w:pPr>
              <w:autoSpaceDE/>
              <w:autoSpaceDN/>
              <w:adjustRightInd/>
              <w:spacing w:before="0" w:after="0"/>
              <w:rPr>
                <w:rFonts w:eastAsia="Times New Roman" w:cs="Arial"/>
                <w:szCs w:val="22"/>
                <w:lang w:eastAsia="en-GB"/>
              </w:rPr>
            </w:pPr>
            <w:r w:rsidRPr="002F17B5">
              <w:rPr>
                <w:rFonts w:eastAsia="Times New Roman" w:cs="Arial"/>
                <w:szCs w:val="22"/>
                <w:lang w:eastAsia="en-GB"/>
              </w:rPr>
              <w:t>Department of Health</w:t>
            </w:r>
            <w:r w:rsidR="00C443B2">
              <w:rPr>
                <w:rFonts w:eastAsia="Times New Roman" w:cs="Arial"/>
                <w:szCs w:val="22"/>
                <w:lang w:eastAsia="en-GB"/>
              </w:rPr>
              <w:t xml:space="preserve"> **</w:t>
            </w:r>
          </w:p>
        </w:tc>
        <w:tc>
          <w:tcPr>
            <w:tcW w:w="1843" w:type="dxa"/>
            <w:shd w:val="clear" w:color="auto" w:fill="FFFFFF" w:themeFill="background1"/>
            <w:noWrap/>
            <w:vAlign w:val="bottom"/>
            <w:hideMark/>
          </w:tcPr>
          <w:p w:rsidR="0021200B" w:rsidRPr="002F17B5" w:rsidRDefault="001B440C" w:rsidP="00E62353">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59.2</w:t>
            </w: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56.0</w:t>
            </w:r>
          </w:p>
        </w:tc>
      </w:tr>
      <w:tr w:rsidR="0021200B" w:rsidRPr="002F17B5" w:rsidTr="00B54507">
        <w:trPr>
          <w:trHeight w:val="340"/>
          <w:jc w:val="center"/>
        </w:trPr>
        <w:tc>
          <w:tcPr>
            <w:tcW w:w="6835" w:type="dxa"/>
            <w:shd w:val="clear" w:color="auto" w:fill="FFFFFF" w:themeFill="background1"/>
            <w:noWrap/>
            <w:vAlign w:val="bottom"/>
            <w:hideMark/>
          </w:tcPr>
          <w:p w:rsidR="0021200B" w:rsidRPr="002F17B5" w:rsidRDefault="0021200B" w:rsidP="004F1705">
            <w:pPr>
              <w:autoSpaceDE/>
              <w:autoSpaceDN/>
              <w:adjustRightInd/>
              <w:spacing w:before="0" w:after="0"/>
              <w:rPr>
                <w:rFonts w:eastAsia="Times New Roman" w:cs="Arial"/>
                <w:szCs w:val="22"/>
                <w:lang w:eastAsia="en-GB"/>
              </w:rPr>
            </w:pPr>
            <w:r w:rsidRPr="002F17B5">
              <w:rPr>
                <w:rFonts w:eastAsia="Times New Roman" w:cs="Arial"/>
                <w:szCs w:val="22"/>
                <w:lang w:eastAsia="en-GB"/>
              </w:rPr>
              <w:t>Other - Central Government Departments</w:t>
            </w:r>
          </w:p>
        </w:tc>
        <w:tc>
          <w:tcPr>
            <w:tcW w:w="1843" w:type="dxa"/>
            <w:shd w:val="clear" w:color="auto" w:fill="FFFFFF" w:themeFill="background1"/>
            <w:noWrap/>
            <w:vAlign w:val="bottom"/>
            <w:hideMark/>
          </w:tcPr>
          <w:p w:rsidR="0021200B" w:rsidRPr="002F17B5" w:rsidRDefault="001B440C">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53.6</w:t>
            </w: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43.0</w:t>
            </w:r>
          </w:p>
        </w:tc>
      </w:tr>
      <w:tr w:rsidR="0021200B" w:rsidRPr="002F17B5" w:rsidTr="00B54507">
        <w:trPr>
          <w:trHeight w:val="340"/>
          <w:jc w:val="center"/>
        </w:trPr>
        <w:tc>
          <w:tcPr>
            <w:tcW w:w="6835" w:type="dxa"/>
            <w:shd w:val="clear" w:color="auto" w:fill="FFFFFF" w:themeFill="background1"/>
            <w:noWrap/>
            <w:vAlign w:val="bottom"/>
            <w:hideMark/>
          </w:tcPr>
          <w:p w:rsidR="0021200B" w:rsidRPr="002F17B5" w:rsidRDefault="0021200B" w:rsidP="004F1705">
            <w:pPr>
              <w:autoSpaceDE/>
              <w:autoSpaceDN/>
              <w:adjustRightInd/>
              <w:spacing w:before="0" w:after="0"/>
              <w:rPr>
                <w:rFonts w:eastAsia="Times New Roman" w:cs="Arial"/>
                <w:szCs w:val="22"/>
                <w:lang w:eastAsia="en-GB"/>
              </w:rPr>
            </w:pPr>
            <w:r w:rsidRPr="002F17B5">
              <w:rPr>
                <w:rFonts w:eastAsia="Times New Roman" w:cs="Arial"/>
                <w:szCs w:val="22"/>
                <w:lang w:eastAsia="en-GB"/>
              </w:rPr>
              <w:t>Other Grants</w:t>
            </w:r>
          </w:p>
        </w:tc>
        <w:tc>
          <w:tcPr>
            <w:tcW w:w="1843" w:type="dxa"/>
            <w:shd w:val="clear" w:color="auto" w:fill="FFFFFF" w:themeFill="background1"/>
            <w:noWrap/>
            <w:vAlign w:val="bottom"/>
            <w:hideMark/>
          </w:tcPr>
          <w:p w:rsidR="0021200B" w:rsidRPr="002F17B5" w:rsidRDefault="001B440C" w:rsidP="00E62353">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0.5</w:t>
            </w:r>
          </w:p>
        </w:tc>
        <w:tc>
          <w:tcPr>
            <w:tcW w:w="1850" w:type="dxa"/>
            <w:shd w:val="clear" w:color="auto" w:fill="auto"/>
            <w:noWrap/>
            <w:vAlign w:val="bottom"/>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8.8</w:t>
            </w:r>
          </w:p>
        </w:tc>
      </w:tr>
      <w:tr w:rsidR="0021200B" w:rsidRPr="002F17B5" w:rsidTr="00B54507">
        <w:trPr>
          <w:trHeight w:val="490"/>
          <w:jc w:val="center"/>
        </w:trPr>
        <w:tc>
          <w:tcPr>
            <w:tcW w:w="6835" w:type="dxa"/>
            <w:shd w:val="clear" w:color="auto" w:fill="FFFFFF" w:themeFill="background1"/>
            <w:noWrap/>
            <w:vAlign w:val="center"/>
            <w:hideMark/>
          </w:tcPr>
          <w:p w:rsidR="0021200B" w:rsidRPr="002F17B5" w:rsidRDefault="0021200B" w:rsidP="007B7242">
            <w:pPr>
              <w:autoSpaceDE/>
              <w:autoSpaceDN/>
              <w:adjustRightInd/>
              <w:spacing w:before="0" w:after="0"/>
              <w:jc w:val="left"/>
              <w:rPr>
                <w:rFonts w:eastAsia="Times New Roman" w:cs="Arial"/>
                <w:szCs w:val="22"/>
                <w:lang w:eastAsia="en-GB"/>
              </w:rPr>
            </w:pPr>
            <w:r w:rsidRPr="002F17B5">
              <w:rPr>
                <w:rFonts w:eastAsia="Times New Roman" w:cs="Arial"/>
                <w:bCs/>
                <w:szCs w:val="22"/>
                <w:lang w:eastAsia="en-GB"/>
              </w:rPr>
              <w:t>Contributions</w:t>
            </w:r>
          </w:p>
        </w:tc>
        <w:tc>
          <w:tcPr>
            <w:tcW w:w="1843" w:type="dxa"/>
            <w:shd w:val="clear" w:color="auto" w:fill="FFFFFF" w:themeFill="background1"/>
            <w:noWrap/>
            <w:vAlign w:val="center"/>
            <w:hideMark/>
          </w:tcPr>
          <w:p w:rsidR="0021200B" w:rsidRPr="002F17B5" w:rsidRDefault="001B440C" w:rsidP="007B7242">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w:t>
            </w:r>
          </w:p>
        </w:tc>
        <w:tc>
          <w:tcPr>
            <w:tcW w:w="1850" w:type="dxa"/>
            <w:shd w:val="clear" w:color="auto" w:fill="auto"/>
            <w:noWrap/>
            <w:vAlign w:val="center"/>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szCs w:val="22"/>
                <w:lang w:eastAsia="en-GB"/>
              </w:rPr>
              <w:t>1.1</w:t>
            </w:r>
          </w:p>
        </w:tc>
      </w:tr>
      <w:tr w:rsidR="0021200B" w:rsidRPr="002F17B5" w:rsidTr="00B54507">
        <w:trPr>
          <w:trHeight w:val="340"/>
          <w:jc w:val="center"/>
        </w:trPr>
        <w:tc>
          <w:tcPr>
            <w:tcW w:w="6835" w:type="dxa"/>
            <w:shd w:val="clear" w:color="auto" w:fill="FFFFFF" w:themeFill="background1"/>
            <w:vAlign w:val="center"/>
            <w:hideMark/>
          </w:tcPr>
          <w:p w:rsidR="0021200B" w:rsidRPr="002F17B5" w:rsidRDefault="0021200B" w:rsidP="00E62353">
            <w:pPr>
              <w:autoSpaceDE/>
              <w:autoSpaceDN/>
              <w:adjustRightInd/>
              <w:spacing w:before="0" w:after="0"/>
              <w:jc w:val="left"/>
              <w:rPr>
                <w:rFonts w:eastAsia="Times New Roman" w:cs="Arial"/>
                <w:b/>
                <w:bCs/>
                <w:sz w:val="4"/>
                <w:szCs w:val="22"/>
                <w:lang w:eastAsia="en-GB"/>
              </w:rPr>
            </w:pPr>
          </w:p>
          <w:p w:rsidR="0021200B" w:rsidRPr="002F17B5" w:rsidRDefault="0021200B" w:rsidP="00E62353">
            <w:pPr>
              <w:autoSpaceDE/>
              <w:autoSpaceDN/>
              <w:adjustRightInd/>
              <w:spacing w:before="0" w:after="0"/>
              <w:jc w:val="left"/>
              <w:rPr>
                <w:rFonts w:eastAsia="Times New Roman" w:cs="Arial"/>
                <w:b/>
                <w:bCs/>
                <w:szCs w:val="22"/>
                <w:lang w:eastAsia="en-GB"/>
              </w:rPr>
            </w:pPr>
            <w:r w:rsidRPr="002F17B5">
              <w:rPr>
                <w:rFonts w:eastAsia="Times New Roman" w:cs="Arial"/>
                <w:b/>
                <w:bCs/>
                <w:szCs w:val="22"/>
                <w:lang w:eastAsia="en-GB"/>
              </w:rPr>
              <w:t>Total</w:t>
            </w:r>
            <w:r w:rsidR="00227F9C">
              <w:rPr>
                <w:rFonts w:eastAsia="Times New Roman" w:cs="Arial"/>
                <w:b/>
                <w:bCs/>
                <w:szCs w:val="22"/>
                <w:lang w:eastAsia="en-GB"/>
              </w:rPr>
              <w:t xml:space="preserve"> (Grants and Contributions) credited to services</w:t>
            </w:r>
          </w:p>
          <w:p w:rsidR="0021200B" w:rsidRPr="002F17B5" w:rsidRDefault="0021200B" w:rsidP="00E62353">
            <w:pPr>
              <w:autoSpaceDE/>
              <w:autoSpaceDN/>
              <w:adjustRightInd/>
              <w:spacing w:before="0" w:after="0"/>
              <w:jc w:val="left"/>
              <w:rPr>
                <w:rFonts w:eastAsia="Times New Roman" w:cs="Arial"/>
                <w:sz w:val="6"/>
                <w:szCs w:val="22"/>
                <w:lang w:eastAsia="en-GB"/>
              </w:rPr>
            </w:pPr>
          </w:p>
        </w:tc>
        <w:tc>
          <w:tcPr>
            <w:tcW w:w="1843" w:type="dxa"/>
            <w:shd w:val="clear" w:color="auto" w:fill="FFFFFF" w:themeFill="background1"/>
            <w:noWrap/>
            <w:vAlign w:val="center"/>
            <w:hideMark/>
          </w:tcPr>
          <w:p w:rsidR="0021200B" w:rsidRPr="002F17B5" w:rsidRDefault="00182B10" w:rsidP="00FB2142">
            <w:pPr>
              <w:autoSpaceDE/>
              <w:autoSpaceDN/>
              <w:adjustRightInd/>
              <w:spacing w:before="0" w:after="0"/>
              <w:ind w:right="175"/>
              <w:jc w:val="right"/>
              <w:rPr>
                <w:rFonts w:eastAsia="Times New Roman" w:cs="Arial"/>
                <w:b/>
                <w:szCs w:val="22"/>
                <w:lang w:eastAsia="en-GB"/>
              </w:rPr>
            </w:pPr>
            <w:r w:rsidRPr="002F17B5">
              <w:rPr>
                <w:rFonts w:eastAsia="Times New Roman" w:cs="Arial"/>
                <w:b/>
                <w:szCs w:val="22"/>
                <w:lang w:eastAsia="en-GB"/>
              </w:rPr>
              <w:t>946.2</w:t>
            </w:r>
          </w:p>
        </w:tc>
        <w:tc>
          <w:tcPr>
            <w:tcW w:w="1850" w:type="dxa"/>
            <w:shd w:val="clear" w:color="auto" w:fill="auto"/>
            <w:noWrap/>
            <w:vAlign w:val="center"/>
            <w:hideMark/>
          </w:tcPr>
          <w:p w:rsidR="0021200B" w:rsidRPr="002F17B5" w:rsidRDefault="0021200B" w:rsidP="0021200B">
            <w:pPr>
              <w:autoSpaceDE/>
              <w:autoSpaceDN/>
              <w:adjustRightInd/>
              <w:spacing w:before="0" w:after="0"/>
              <w:ind w:right="175"/>
              <w:jc w:val="right"/>
              <w:rPr>
                <w:rFonts w:eastAsia="Times New Roman" w:cs="Arial"/>
                <w:szCs w:val="22"/>
                <w:lang w:eastAsia="en-GB"/>
              </w:rPr>
            </w:pPr>
            <w:r w:rsidRPr="002F17B5">
              <w:rPr>
                <w:rFonts w:eastAsia="Times New Roman" w:cs="Arial"/>
                <w:b/>
                <w:bCs/>
                <w:szCs w:val="22"/>
                <w:lang w:eastAsia="en-GB"/>
              </w:rPr>
              <w:t>898.6</w:t>
            </w:r>
          </w:p>
        </w:tc>
      </w:tr>
    </w:tbl>
    <w:p w:rsidR="009B6469" w:rsidRDefault="009B6469" w:rsidP="00E34346">
      <w:pPr>
        <w:pStyle w:val="BodyText10"/>
        <w:rPr>
          <w:sz w:val="22"/>
        </w:rPr>
      </w:pPr>
      <w:r w:rsidRPr="002F17B5">
        <w:rPr>
          <w:sz w:val="22"/>
        </w:rPr>
        <w:t xml:space="preserve">* Figure includes Dedicated Schools Grant </w:t>
      </w:r>
      <w:r w:rsidR="001B440C" w:rsidRPr="002F17B5">
        <w:rPr>
          <w:sz w:val="22"/>
        </w:rPr>
        <w:t>of £754.1m (£744.7 in</w:t>
      </w:r>
      <w:r w:rsidR="00011429" w:rsidRPr="002F17B5">
        <w:rPr>
          <w:sz w:val="22"/>
        </w:rPr>
        <w:t xml:space="preserve"> </w:t>
      </w:r>
      <w:r w:rsidR="00CD4CF3" w:rsidRPr="002F17B5">
        <w:rPr>
          <w:sz w:val="22"/>
        </w:rPr>
        <w:t>2012/13</w:t>
      </w:r>
      <w:r w:rsidR="00011429" w:rsidRPr="002F17B5">
        <w:rPr>
          <w:sz w:val="22"/>
        </w:rPr>
        <w:t>)</w:t>
      </w:r>
    </w:p>
    <w:p w:rsidR="00C443B2" w:rsidRPr="002F17B5" w:rsidRDefault="00C443B2" w:rsidP="00E34346">
      <w:pPr>
        <w:pStyle w:val="BodyText10"/>
        <w:rPr>
          <w:sz w:val="22"/>
        </w:rPr>
      </w:pPr>
      <w:r>
        <w:rPr>
          <w:sz w:val="22"/>
        </w:rPr>
        <w:t xml:space="preserve">** Figure includes </w:t>
      </w:r>
      <w:r w:rsidR="00A87CCB">
        <w:rPr>
          <w:sz w:val="22"/>
        </w:rPr>
        <w:t xml:space="preserve">ring fenced </w:t>
      </w:r>
      <w:r>
        <w:rPr>
          <w:sz w:val="22"/>
        </w:rPr>
        <w:t>Public Health Grant of £58.0m</w:t>
      </w:r>
      <w:r w:rsidR="00D26F1C">
        <w:rPr>
          <w:sz w:val="22"/>
        </w:rPr>
        <w:t xml:space="preserve"> (£0m in 2012/13)</w:t>
      </w:r>
    </w:p>
    <w:p w:rsidR="000068C0" w:rsidRPr="002F17B5" w:rsidRDefault="000068C0">
      <w:pPr>
        <w:autoSpaceDE/>
        <w:autoSpaceDN/>
        <w:adjustRightInd/>
        <w:spacing w:after="20"/>
        <w:jc w:val="right"/>
        <w:rPr>
          <w:rFonts w:eastAsia="Times New Roman"/>
          <w:color w:val="auto"/>
          <w:lang w:eastAsia="en-GB"/>
        </w:rPr>
      </w:pPr>
    </w:p>
    <w:p w:rsidR="00EF40CF" w:rsidRPr="002F17B5" w:rsidRDefault="00EF40CF">
      <w:pPr>
        <w:autoSpaceDE/>
        <w:autoSpaceDN/>
        <w:adjustRightInd/>
        <w:spacing w:after="20"/>
        <w:jc w:val="right"/>
        <w:rPr>
          <w:rFonts w:eastAsia="Times New Roman"/>
          <w:color w:val="auto"/>
          <w:sz w:val="16"/>
          <w:lang w:eastAsia="en-GB"/>
        </w:rPr>
      </w:pPr>
    </w:p>
    <w:p w:rsidR="00AB4059" w:rsidRPr="002F17B5" w:rsidRDefault="00D41223" w:rsidP="0021200B">
      <w:pPr>
        <w:pStyle w:val="Heading3-numbered"/>
        <w:ind w:hanging="644"/>
        <w:rPr>
          <w:i w:val="0"/>
          <w:sz w:val="26"/>
        </w:rPr>
      </w:pPr>
      <w:r w:rsidRPr="002F17B5">
        <w:rPr>
          <w:i w:val="0"/>
          <w:sz w:val="26"/>
        </w:rPr>
        <w:t xml:space="preserve">  </w:t>
      </w:r>
      <w:r w:rsidR="00AB4059" w:rsidRPr="002F17B5">
        <w:rPr>
          <w:i w:val="0"/>
          <w:sz w:val="26"/>
        </w:rPr>
        <w:t>Dedicated Schools Grant</w:t>
      </w:r>
    </w:p>
    <w:p w:rsidR="00AF48DD" w:rsidRPr="002F17B5" w:rsidRDefault="00AF48DD" w:rsidP="007B7242">
      <w:pPr>
        <w:spacing w:after="240"/>
      </w:pPr>
      <w:r w:rsidRPr="002F17B5">
        <w:t>Our spending on schools is funded by the Dedicated Schools Grant (DSG): a grant provided by the Department for Children Schools and Families. DSG can only be used for spending which has been properly included in the schools budget.</w:t>
      </w:r>
    </w:p>
    <w:p w:rsidR="00AF48DD" w:rsidRDefault="00AF48DD" w:rsidP="00B54507">
      <w:pPr>
        <w:spacing w:after="20"/>
      </w:pPr>
      <w:r w:rsidRPr="002F17B5">
        <w:t>This includes:</w:t>
      </w:r>
    </w:p>
    <w:p w:rsidR="006728BA" w:rsidRPr="002F17B5" w:rsidRDefault="006728BA" w:rsidP="00B54507">
      <w:pPr>
        <w:spacing w:after="20"/>
      </w:pPr>
    </w:p>
    <w:p w:rsidR="0021200B" w:rsidRDefault="00AF48DD" w:rsidP="00B54507">
      <w:pPr>
        <w:numPr>
          <w:ilvl w:val="0"/>
          <w:numId w:val="52"/>
        </w:numPr>
        <w:autoSpaceDE/>
        <w:autoSpaceDN/>
        <w:adjustRightInd/>
        <w:spacing w:before="0" w:after="20"/>
        <w:ind w:left="567" w:hanging="567"/>
        <w:jc w:val="left"/>
      </w:pPr>
      <w:r w:rsidRPr="002F17B5">
        <w:t xml:space="preserve">parts of a restricted range of services which we provide across the county (central services); </w:t>
      </w:r>
    </w:p>
    <w:p w:rsidR="006728BA" w:rsidRPr="002F17B5" w:rsidRDefault="006728BA" w:rsidP="006728BA">
      <w:pPr>
        <w:autoSpaceDE/>
        <w:autoSpaceDN/>
        <w:adjustRightInd/>
        <w:spacing w:before="0" w:after="20"/>
        <w:ind w:left="567"/>
        <w:jc w:val="left"/>
      </w:pPr>
    </w:p>
    <w:p w:rsidR="00AF48DD" w:rsidRPr="002F17B5" w:rsidRDefault="00AF48DD" w:rsidP="00B54507">
      <w:pPr>
        <w:numPr>
          <w:ilvl w:val="0"/>
          <w:numId w:val="52"/>
        </w:numPr>
        <w:autoSpaceDE/>
        <w:autoSpaceDN/>
        <w:adjustRightInd/>
        <w:spacing w:before="0" w:after="20"/>
        <w:ind w:left="567" w:hanging="567"/>
        <w:jc w:val="left"/>
      </w:pPr>
      <w:r w:rsidRPr="002F17B5">
        <w:t>the individual schools budget, which is divided into a budget share for each school</w:t>
      </w:r>
    </w:p>
    <w:p w:rsidR="00B70B4B" w:rsidRDefault="00AF48DD" w:rsidP="00B54507">
      <w:pPr>
        <w:spacing w:after="40"/>
      </w:pPr>
      <w:r w:rsidRPr="002F17B5">
        <w:t xml:space="preserve">The following table shows how DSG was used for </w:t>
      </w:r>
      <w:r w:rsidR="00CD4CF3" w:rsidRPr="002F17B5">
        <w:t>2013/14</w:t>
      </w:r>
      <w:r w:rsidRPr="002F17B5">
        <w:t>:</w:t>
      </w:r>
    </w:p>
    <w:p w:rsidR="006728BA" w:rsidRDefault="006728BA" w:rsidP="00B54507">
      <w:pPr>
        <w:spacing w:after="40"/>
      </w:pPr>
    </w:p>
    <w:p w:rsidR="006728BA" w:rsidRDefault="006728BA" w:rsidP="00B54507">
      <w:pPr>
        <w:spacing w:after="40"/>
      </w:pPr>
    </w:p>
    <w:p w:rsidR="006728BA" w:rsidRDefault="006728BA" w:rsidP="00B54507">
      <w:pPr>
        <w:spacing w:after="40"/>
      </w:pPr>
    </w:p>
    <w:p w:rsidR="006728BA" w:rsidRPr="002F17B5" w:rsidRDefault="006728BA" w:rsidP="00B54507">
      <w:pPr>
        <w:spacing w:after="40"/>
      </w:pPr>
    </w:p>
    <w:tbl>
      <w:tblPr>
        <w:tblW w:w="10197" w:type="dxa"/>
        <w:jc w:val="center"/>
        <w:tblLook w:val="04A0" w:firstRow="1" w:lastRow="0" w:firstColumn="1" w:lastColumn="0" w:noHBand="0" w:noVBand="1"/>
      </w:tblPr>
      <w:tblGrid>
        <w:gridCol w:w="5250"/>
        <w:gridCol w:w="1701"/>
        <w:gridCol w:w="2107"/>
        <w:gridCol w:w="19"/>
        <w:gridCol w:w="1120"/>
      </w:tblGrid>
      <w:tr w:rsidR="00AF48DD" w:rsidRPr="002F17B5" w:rsidTr="00746A1C">
        <w:trPr>
          <w:trHeight w:val="630"/>
          <w:jc w:val="center"/>
        </w:trPr>
        <w:tc>
          <w:tcPr>
            <w:tcW w:w="5250" w:type="dxa"/>
            <w:shd w:val="clear" w:color="auto" w:fill="FFFFFF" w:themeFill="background1"/>
            <w:noWrap/>
            <w:vAlign w:val="bottom"/>
            <w:hideMark/>
          </w:tcPr>
          <w:p w:rsidR="00AF48DD" w:rsidRPr="002F17B5" w:rsidRDefault="00AF48DD" w:rsidP="00AF48DD">
            <w:pPr>
              <w:autoSpaceDE/>
              <w:autoSpaceDN/>
              <w:adjustRightInd/>
              <w:spacing w:before="0" w:after="0"/>
              <w:jc w:val="left"/>
              <w:rPr>
                <w:rFonts w:eastAsia="Times New Roman" w:cs="Arial"/>
                <w:b/>
                <w:bCs/>
                <w:lang w:eastAsia="en-GB"/>
              </w:rPr>
            </w:pPr>
          </w:p>
        </w:tc>
        <w:tc>
          <w:tcPr>
            <w:tcW w:w="1701" w:type="dxa"/>
            <w:shd w:val="clear" w:color="auto" w:fill="FFFFFF" w:themeFill="background1"/>
            <w:vAlign w:val="bottom"/>
            <w:hideMark/>
          </w:tcPr>
          <w:p w:rsidR="00AF48DD" w:rsidRPr="002F17B5" w:rsidRDefault="00AF48DD" w:rsidP="00AF48DD">
            <w:pPr>
              <w:autoSpaceDE/>
              <w:autoSpaceDN/>
              <w:adjustRightInd/>
              <w:spacing w:before="0" w:after="0"/>
              <w:jc w:val="center"/>
              <w:rPr>
                <w:rFonts w:eastAsia="Times New Roman" w:cs="Arial"/>
                <w:b/>
                <w:bCs/>
                <w:lang w:eastAsia="en-GB"/>
              </w:rPr>
            </w:pPr>
            <w:r w:rsidRPr="002F17B5">
              <w:rPr>
                <w:rFonts w:eastAsia="Times New Roman" w:cs="Arial"/>
                <w:b/>
                <w:bCs/>
                <w:lang w:eastAsia="en-GB"/>
              </w:rPr>
              <w:t>Central Expenditure</w:t>
            </w:r>
          </w:p>
        </w:tc>
        <w:tc>
          <w:tcPr>
            <w:tcW w:w="2107" w:type="dxa"/>
            <w:shd w:val="clear" w:color="auto" w:fill="FFFFFF" w:themeFill="background1"/>
            <w:vAlign w:val="bottom"/>
            <w:hideMark/>
          </w:tcPr>
          <w:p w:rsidR="00AF48DD" w:rsidRPr="002F17B5" w:rsidRDefault="00AF48DD" w:rsidP="00AF48DD">
            <w:pPr>
              <w:autoSpaceDE/>
              <w:autoSpaceDN/>
              <w:adjustRightInd/>
              <w:spacing w:before="0" w:after="0"/>
              <w:jc w:val="center"/>
              <w:rPr>
                <w:rFonts w:eastAsia="Times New Roman" w:cs="Arial"/>
                <w:b/>
                <w:bCs/>
                <w:lang w:eastAsia="en-GB"/>
              </w:rPr>
            </w:pPr>
            <w:r w:rsidRPr="002F17B5">
              <w:rPr>
                <w:rFonts w:eastAsia="Times New Roman" w:cs="Arial"/>
                <w:b/>
                <w:bCs/>
                <w:lang w:eastAsia="en-GB"/>
              </w:rPr>
              <w:t>Individual Schools Budget</w:t>
            </w:r>
          </w:p>
        </w:tc>
        <w:tc>
          <w:tcPr>
            <w:tcW w:w="1139" w:type="dxa"/>
            <w:gridSpan w:val="2"/>
            <w:shd w:val="clear" w:color="auto" w:fill="FFFFFF" w:themeFill="background1"/>
            <w:vAlign w:val="bottom"/>
            <w:hideMark/>
          </w:tcPr>
          <w:p w:rsidR="00AF48DD" w:rsidRPr="002F17B5" w:rsidRDefault="00AF48DD" w:rsidP="00AF48DD">
            <w:pPr>
              <w:autoSpaceDE/>
              <w:autoSpaceDN/>
              <w:adjustRightInd/>
              <w:spacing w:before="0" w:after="0"/>
              <w:jc w:val="right"/>
              <w:rPr>
                <w:rFonts w:eastAsia="Times New Roman" w:cs="Arial"/>
                <w:b/>
                <w:bCs/>
                <w:lang w:eastAsia="en-GB"/>
              </w:rPr>
            </w:pPr>
            <w:r w:rsidRPr="002F17B5">
              <w:rPr>
                <w:rFonts w:eastAsia="Times New Roman" w:cs="Arial"/>
                <w:b/>
                <w:bCs/>
                <w:lang w:eastAsia="en-GB"/>
              </w:rPr>
              <w:t>Total</w:t>
            </w:r>
          </w:p>
        </w:tc>
      </w:tr>
      <w:tr w:rsidR="00AF48DD" w:rsidRPr="002F17B5" w:rsidTr="00746A1C">
        <w:trPr>
          <w:trHeight w:val="330"/>
          <w:jc w:val="center"/>
        </w:trPr>
        <w:tc>
          <w:tcPr>
            <w:tcW w:w="5250" w:type="dxa"/>
            <w:shd w:val="clear" w:color="auto" w:fill="FFFFFF" w:themeFill="background1"/>
            <w:noWrap/>
            <w:vAlign w:val="bottom"/>
            <w:hideMark/>
          </w:tcPr>
          <w:p w:rsidR="00AF48DD" w:rsidRPr="002F17B5" w:rsidRDefault="00AF48DD" w:rsidP="00AF48DD">
            <w:pPr>
              <w:autoSpaceDE/>
              <w:autoSpaceDN/>
              <w:adjustRightInd/>
              <w:spacing w:before="0" w:after="0"/>
              <w:jc w:val="left"/>
              <w:rPr>
                <w:rFonts w:eastAsia="Times New Roman" w:cs="Arial"/>
                <w:b/>
                <w:bCs/>
                <w:lang w:eastAsia="en-GB"/>
              </w:rPr>
            </w:pPr>
          </w:p>
        </w:tc>
        <w:tc>
          <w:tcPr>
            <w:tcW w:w="1701" w:type="dxa"/>
            <w:shd w:val="clear" w:color="auto" w:fill="FFFFFF" w:themeFill="background1"/>
            <w:noWrap/>
            <w:vAlign w:val="bottom"/>
            <w:hideMark/>
          </w:tcPr>
          <w:p w:rsidR="00AF48DD" w:rsidRPr="002F17B5" w:rsidRDefault="00AF48DD" w:rsidP="00AF48DD">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2126" w:type="dxa"/>
            <w:gridSpan w:val="2"/>
            <w:shd w:val="clear" w:color="auto" w:fill="FFFFFF" w:themeFill="background1"/>
            <w:noWrap/>
            <w:vAlign w:val="bottom"/>
            <w:hideMark/>
          </w:tcPr>
          <w:p w:rsidR="00AF48DD" w:rsidRPr="002F17B5" w:rsidRDefault="00AF48DD" w:rsidP="00AF48DD">
            <w:pPr>
              <w:autoSpaceDE/>
              <w:autoSpaceDN/>
              <w:adjustRightInd/>
              <w:spacing w:before="0" w:after="0"/>
              <w:jc w:val="center"/>
              <w:rPr>
                <w:rFonts w:eastAsia="Times New Roman" w:cs="Arial"/>
                <w:b/>
                <w:bCs/>
                <w:lang w:eastAsia="en-GB"/>
              </w:rPr>
            </w:pPr>
            <w:r w:rsidRPr="002F17B5">
              <w:rPr>
                <w:rFonts w:eastAsia="Times New Roman" w:cs="Arial"/>
                <w:b/>
                <w:bCs/>
                <w:lang w:eastAsia="en-GB"/>
              </w:rPr>
              <w:t xml:space="preserve">            £m</w:t>
            </w:r>
          </w:p>
        </w:tc>
        <w:tc>
          <w:tcPr>
            <w:tcW w:w="1120" w:type="dxa"/>
            <w:shd w:val="clear" w:color="auto" w:fill="FFFFFF" w:themeFill="background1"/>
            <w:noWrap/>
            <w:vAlign w:val="bottom"/>
            <w:hideMark/>
          </w:tcPr>
          <w:p w:rsidR="00AF48DD" w:rsidRPr="002F17B5" w:rsidRDefault="00AF48DD" w:rsidP="00AF48DD">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r>
      <w:tr w:rsidR="00AF48DD" w:rsidRPr="002F17B5" w:rsidTr="007177E8">
        <w:trPr>
          <w:trHeight w:val="315"/>
          <w:jc w:val="center"/>
        </w:trPr>
        <w:tc>
          <w:tcPr>
            <w:tcW w:w="5250" w:type="dxa"/>
            <w:shd w:val="clear" w:color="auto" w:fill="FFFFFF" w:themeFill="background1"/>
            <w:hideMark/>
          </w:tcPr>
          <w:p w:rsidR="00AF48DD" w:rsidRPr="002F17B5" w:rsidRDefault="00AF48DD" w:rsidP="00AF48DD">
            <w:pPr>
              <w:autoSpaceDE/>
              <w:autoSpaceDN/>
              <w:adjustRightInd/>
              <w:spacing w:before="0" w:after="0"/>
              <w:jc w:val="left"/>
              <w:rPr>
                <w:rFonts w:eastAsia="Times New Roman" w:cs="Arial"/>
                <w:lang w:eastAsia="en-GB"/>
              </w:rPr>
            </w:pPr>
          </w:p>
        </w:tc>
        <w:tc>
          <w:tcPr>
            <w:tcW w:w="1701" w:type="dxa"/>
            <w:shd w:val="clear" w:color="auto" w:fill="FFFFFF" w:themeFill="background1"/>
            <w:noWrap/>
            <w:vAlign w:val="bottom"/>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2126" w:type="dxa"/>
            <w:gridSpan w:val="2"/>
            <w:shd w:val="clear" w:color="auto" w:fill="FFFFFF" w:themeFill="background1"/>
            <w:noWrap/>
            <w:vAlign w:val="bottom"/>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120" w:type="dxa"/>
            <w:shd w:val="clear" w:color="auto" w:fill="FFFFFF" w:themeFill="background1"/>
            <w:noWrap/>
            <w:vAlign w:val="bottom"/>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 </w:t>
            </w:r>
          </w:p>
        </w:tc>
      </w:tr>
      <w:tr w:rsidR="00AF48DD" w:rsidRPr="002F17B5" w:rsidTr="00746A1C">
        <w:trPr>
          <w:trHeight w:val="600"/>
          <w:jc w:val="center"/>
        </w:trPr>
        <w:tc>
          <w:tcPr>
            <w:tcW w:w="5250" w:type="dxa"/>
            <w:shd w:val="clear" w:color="auto" w:fill="FFFFFF" w:themeFill="background1"/>
            <w:vAlign w:val="center"/>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 xml:space="preserve">Final DSG for </w:t>
            </w:r>
            <w:r w:rsidR="00CD4CF3" w:rsidRPr="002F17B5">
              <w:rPr>
                <w:rFonts w:eastAsia="Times New Roman" w:cs="Arial"/>
                <w:lang w:eastAsia="en-GB"/>
              </w:rPr>
              <w:t>2013/14</w:t>
            </w:r>
            <w:r w:rsidRPr="002F17B5">
              <w:rPr>
                <w:rFonts w:eastAsia="Times New Roman" w:cs="Arial"/>
                <w:lang w:eastAsia="en-GB"/>
              </w:rPr>
              <w:t xml:space="preserve"> before academy recoupment</w:t>
            </w:r>
          </w:p>
        </w:tc>
        <w:tc>
          <w:tcPr>
            <w:tcW w:w="1701" w:type="dxa"/>
            <w:shd w:val="clear" w:color="auto" w:fill="FFFFFF" w:themeFill="background1"/>
            <w:noWrap/>
            <w:vAlign w:val="center"/>
            <w:hideMark/>
          </w:tcPr>
          <w:p w:rsidR="00AF48DD" w:rsidRPr="002F17B5" w:rsidRDefault="00AF48DD" w:rsidP="007B7242">
            <w:pPr>
              <w:jc w:val="right"/>
            </w:pPr>
          </w:p>
        </w:tc>
        <w:tc>
          <w:tcPr>
            <w:tcW w:w="2126" w:type="dxa"/>
            <w:gridSpan w:val="2"/>
            <w:shd w:val="clear" w:color="auto" w:fill="FFFFFF" w:themeFill="background1"/>
            <w:noWrap/>
            <w:vAlign w:val="center"/>
            <w:hideMark/>
          </w:tcPr>
          <w:p w:rsidR="00AF48DD" w:rsidRPr="002F17B5" w:rsidRDefault="00AF48DD" w:rsidP="007B7242">
            <w:pPr>
              <w:jc w:val="right"/>
            </w:pPr>
          </w:p>
        </w:tc>
        <w:tc>
          <w:tcPr>
            <w:tcW w:w="1120" w:type="dxa"/>
            <w:shd w:val="clear" w:color="auto" w:fill="FFFFFF" w:themeFill="background1"/>
            <w:noWrap/>
            <w:vAlign w:val="center"/>
            <w:hideMark/>
          </w:tcPr>
          <w:p w:rsidR="00AF48DD" w:rsidRPr="002F17B5" w:rsidRDefault="00AF48DD" w:rsidP="007B7242">
            <w:pPr>
              <w:jc w:val="right"/>
            </w:pPr>
            <w:r w:rsidRPr="002F17B5">
              <w:t>(8</w:t>
            </w:r>
            <w:r w:rsidR="00D21215">
              <w:t>31.7</w:t>
            </w:r>
            <w:r w:rsidRPr="002F17B5">
              <w:t>)</w:t>
            </w:r>
          </w:p>
        </w:tc>
      </w:tr>
      <w:tr w:rsidR="00AF48DD" w:rsidRPr="002F17B5" w:rsidTr="007177E8">
        <w:trPr>
          <w:trHeight w:val="300"/>
          <w:jc w:val="center"/>
        </w:trPr>
        <w:tc>
          <w:tcPr>
            <w:tcW w:w="5250" w:type="dxa"/>
            <w:shd w:val="clear" w:color="auto" w:fill="FFFFFF" w:themeFill="background1"/>
            <w:noWrap/>
            <w:vAlign w:val="center"/>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 xml:space="preserve">Academy figure recouped for </w:t>
            </w:r>
            <w:r w:rsidR="00CD4CF3" w:rsidRPr="002F17B5">
              <w:rPr>
                <w:rFonts w:eastAsia="Times New Roman" w:cs="Arial"/>
                <w:lang w:eastAsia="en-GB"/>
              </w:rPr>
              <w:t>2013/14</w:t>
            </w:r>
          </w:p>
        </w:tc>
        <w:tc>
          <w:tcPr>
            <w:tcW w:w="1701" w:type="dxa"/>
            <w:tcBorders>
              <w:bottom w:val="single" w:sz="4" w:space="0" w:color="auto"/>
            </w:tcBorders>
            <w:shd w:val="clear" w:color="auto" w:fill="FFFFFF" w:themeFill="background1"/>
            <w:noWrap/>
            <w:vAlign w:val="center"/>
            <w:hideMark/>
          </w:tcPr>
          <w:p w:rsidR="00AF48DD" w:rsidRPr="002F17B5" w:rsidRDefault="00AF48DD" w:rsidP="007B7242">
            <w:pPr>
              <w:jc w:val="right"/>
            </w:pPr>
          </w:p>
        </w:tc>
        <w:tc>
          <w:tcPr>
            <w:tcW w:w="2126" w:type="dxa"/>
            <w:gridSpan w:val="2"/>
            <w:tcBorders>
              <w:bottom w:val="single" w:sz="4" w:space="0" w:color="auto"/>
            </w:tcBorders>
            <w:shd w:val="clear" w:color="auto" w:fill="FFFFFF" w:themeFill="background1"/>
            <w:noWrap/>
            <w:vAlign w:val="center"/>
            <w:hideMark/>
          </w:tcPr>
          <w:p w:rsidR="00AF48DD" w:rsidRPr="002F17B5" w:rsidRDefault="00AF48DD" w:rsidP="007B7242">
            <w:pPr>
              <w:jc w:val="right"/>
            </w:pPr>
          </w:p>
        </w:tc>
        <w:tc>
          <w:tcPr>
            <w:tcW w:w="1120" w:type="dxa"/>
            <w:tcBorders>
              <w:bottom w:val="single" w:sz="4" w:space="0" w:color="auto"/>
            </w:tcBorders>
            <w:shd w:val="clear" w:color="auto" w:fill="FFFFFF" w:themeFill="background1"/>
            <w:noWrap/>
            <w:vAlign w:val="center"/>
            <w:hideMark/>
          </w:tcPr>
          <w:p w:rsidR="00AF48DD" w:rsidRPr="002F17B5" w:rsidRDefault="00B36331" w:rsidP="007B7242">
            <w:pPr>
              <w:jc w:val="right"/>
            </w:pPr>
            <w:r w:rsidRPr="002F17B5">
              <w:t>77.6</w:t>
            </w:r>
          </w:p>
        </w:tc>
      </w:tr>
      <w:tr w:rsidR="00AF48DD" w:rsidRPr="002F17B5" w:rsidTr="007177E8">
        <w:trPr>
          <w:trHeight w:val="600"/>
          <w:jc w:val="center"/>
        </w:trPr>
        <w:tc>
          <w:tcPr>
            <w:tcW w:w="5250" w:type="dxa"/>
            <w:shd w:val="clear" w:color="auto" w:fill="FFFFFF" w:themeFill="background1"/>
            <w:vAlign w:val="center"/>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Total DSG after Academy recoupment</w:t>
            </w:r>
            <w:r w:rsidRPr="002F17B5">
              <w:rPr>
                <w:rFonts w:eastAsia="Times New Roman" w:cs="Arial"/>
                <w:lang w:eastAsia="en-GB"/>
              </w:rPr>
              <w:br/>
              <w:t xml:space="preserve"> for </w:t>
            </w:r>
            <w:r w:rsidR="00CD4CF3" w:rsidRPr="002F17B5">
              <w:rPr>
                <w:rFonts w:eastAsia="Times New Roman" w:cs="Arial"/>
                <w:lang w:eastAsia="en-GB"/>
              </w:rPr>
              <w:t>2013/14</w:t>
            </w:r>
          </w:p>
        </w:tc>
        <w:tc>
          <w:tcPr>
            <w:tcW w:w="1701" w:type="dxa"/>
            <w:tcBorders>
              <w:top w:val="single" w:sz="4" w:space="0" w:color="auto"/>
            </w:tcBorders>
            <w:shd w:val="clear" w:color="auto" w:fill="FFFFFF" w:themeFill="background1"/>
            <w:noWrap/>
            <w:vAlign w:val="center"/>
            <w:hideMark/>
          </w:tcPr>
          <w:p w:rsidR="00AF48DD" w:rsidRPr="002F17B5" w:rsidRDefault="00AF48DD" w:rsidP="007B7242">
            <w:pPr>
              <w:jc w:val="right"/>
            </w:pPr>
          </w:p>
        </w:tc>
        <w:tc>
          <w:tcPr>
            <w:tcW w:w="2126" w:type="dxa"/>
            <w:gridSpan w:val="2"/>
            <w:tcBorders>
              <w:top w:val="single" w:sz="4" w:space="0" w:color="auto"/>
            </w:tcBorders>
            <w:shd w:val="clear" w:color="auto" w:fill="FFFFFF" w:themeFill="background1"/>
            <w:noWrap/>
            <w:vAlign w:val="center"/>
            <w:hideMark/>
          </w:tcPr>
          <w:p w:rsidR="00AF48DD" w:rsidRPr="002F17B5" w:rsidRDefault="00AF48DD" w:rsidP="007B7242">
            <w:pPr>
              <w:jc w:val="right"/>
            </w:pPr>
          </w:p>
        </w:tc>
        <w:tc>
          <w:tcPr>
            <w:tcW w:w="1120" w:type="dxa"/>
            <w:tcBorders>
              <w:top w:val="single" w:sz="4" w:space="0" w:color="auto"/>
            </w:tcBorders>
            <w:shd w:val="clear" w:color="auto" w:fill="FFFFFF" w:themeFill="background1"/>
            <w:noWrap/>
            <w:vAlign w:val="center"/>
            <w:hideMark/>
          </w:tcPr>
          <w:p w:rsidR="00AF48DD" w:rsidRPr="002F17B5" w:rsidRDefault="00C80F30" w:rsidP="007B7242">
            <w:pPr>
              <w:jc w:val="right"/>
            </w:pPr>
            <w:r w:rsidRPr="002F17B5">
              <w:t>(7</w:t>
            </w:r>
            <w:r w:rsidR="00D21215">
              <w:t>54.1</w:t>
            </w:r>
            <w:r w:rsidR="00AF48DD" w:rsidRPr="002F17B5">
              <w:t>)</w:t>
            </w:r>
          </w:p>
        </w:tc>
      </w:tr>
      <w:tr w:rsidR="00AF48DD" w:rsidRPr="002F17B5" w:rsidTr="007177E8">
        <w:trPr>
          <w:trHeight w:val="300"/>
          <w:jc w:val="center"/>
        </w:trPr>
        <w:tc>
          <w:tcPr>
            <w:tcW w:w="5250" w:type="dxa"/>
            <w:shd w:val="clear" w:color="auto" w:fill="FFFFFF" w:themeFill="background1"/>
            <w:noWrap/>
            <w:vAlign w:val="center"/>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 xml:space="preserve">Brought forward from </w:t>
            </w:r>
            <w:r w:rsidR="00CD4CF3" w:rsidRPr="002F17B5">
              <w:rPr>
                <w:rFonts w:eastAsia="Times New Roman" w:cs="Arial"/>
                <w:lang w:eastAsia="en-GB"/>
              </w:rPr>
              <w:t>2012/13</w:t>
            </w:r>
          </w:p>
        </w:tc>
        <w:tc>
          <w:tcPr>
            <w:tcW w:w="1701" w:type="dxa"/>
            <w:tcBorders>
              <w:bottom w:val="single" w:sz="4" w:space="0" w:color="auto"/>
            </w:tcBorders>
            <w:shd w:val="clear" w:color="auto" w:fill="FFFFFF" w:themeFill="background1"/>
            <w:noWrap/>
            <w:vAlign w:val="center"/>
            <w:hideMark/>
          </w:tcPr>
          <w:p w:rsidR="00AF48DD" w:rsidRPr="002F17B5" w:rsidRDefault="00AF48DD" w:rsidP="007B7242">
            <w:pPr>
              <w:jc w:val="right"/>
            </w:pPr>
          </w:p>
        </w:tc>
        <w:tc>
          <w:tcPr>
            <w:tcW w:w="2126" w:type="dxa"/>
            <w:gridSpan w:val="2"/>
            <w:tcBorders>
              <w:bottom w:val="single" w:sz="4" w:space="0" w:color="auto"/>
            </w:tcBorders>
            <w:shd w:val="clear" w:color="auto" w:fill="FFFFFF" w:themeFill="background1"/>
            <w:noWrap/>
            <w:vAlign w:val="center"/>
            <w:hideMark/>
          </w:tcPr>
          <w:p w:rsidR="00AF48DD" w:rsidRPr="002F17B5" w:rsidRDefault="00AF48DD" w:rsidP="007B7242">
            <w:pPr>
              <w:jc w:val="right"/>
            </w:pPr>
          </w:p>
        </w:tc>
        <w:tc>
          <w:tcPr>
            <w:tcW w:w="1120" w:type="dxa"/>
            <w:tcBorders>
              <w:bottom w:val="single" w:sz="4" w:space="0" w:color="auto"/>
            </w:tcBorders>
            <w:shd w:val="clear" w:color="auto" w:fill="FFFFFF" w:themeFill="background1"/>
            <w:noWrap/>
            <w:vAlign w:val="center"/>
            <w:hideMark/>
          </w:tcPr>
          <w:p w:rsidR="00AF48DD" w:rsidRPr="002F17B5" w:rsidRDefault="00B36331" w:rsidP="007B7242">
            <w:pPr>
              <w:jc w:val="right"/>
            </w:pPr>
            <w:r w:rsidRPr="002F17B5">
              <w:t>(18.5</w:t>
            </w:r>
            <w:r w:rsidR="00AF48DD" w:rsidRPr="002F17B5">
              <w:t>)</w:t>
            </w:r>
          </w:p>
        </w:tc>
      </w:tr>
      <w:tr w:rsidR="00AF48DD" w:rsidRPr="002F17B5" w:rsidTr="007177E8">
        <w:trPr>
          <w:trHeight w:val="600"/>
          <w:jc w:val="center"/>
        </w:trPr>
        <w:tc>
          <w:tcPr>
            <w:tcW w:w="5250" w:type="dxa"/>
            <w:shd w:val="clear" w:color="auto" w:fill="FFFFFF" w:themeFill="background1"/>
            <w:vAlign w:val="center"/>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 xml:space="preserve">Agreed initial budgeted distribution in </w:t>
            </w:r>
            <w:r w:rsidR="00CD4CF3" w:rsidRPr="002F17B5">
              <w:rPr>
                <w:rFonts w:eastAsia="Times New Roman" w:cs="Arial"/>
                <w:lang w:eastAsia="en-GB"/>
              </w:rPr>
              <w:t>2013/14</w:t>
            </w:r>
          </w:p>
        </w:tc>
        <w:tc>
          <w:tcPr>
            <w:tcW w:w="1701" w:type="dxa"/>
            <w:tcBorders>
              <w:top w:val="single" w:sz="4" w:space="0" w:color="auto"/>
            </w:tcBorders>
            <w:shd w:val="clear" w:color="auto" w:fill="FFFFFF" w:themeFill="background1"/>
            <w:noWrap/>
            <w:vAlign w:val="center"/>
            <w:hideMark/>
          </w:tcPr>
          <w:p w:rsidR="00AF48DD" w:rsidRPr="002F17B5" w:rsidRDefault="00AF48DD" w:rsidP="007B7242">
            <w:pPr>
              <w:jc w:val="right"/>
            </w:pPr>
            <w:r w:rsidRPr="002F17B5">
              <w:t>(</w:t>
            </w:r>
            <w:r w:rsidR="00B36331" w:rsidRPr="002F17B5">
              <w:t>61.4</w:t>
            </w:r>
            <w:r w:rsidRPr="002F17B5">
              <w:t>)</w:t>
            </w:r>
          </w:p>
        </w:tc>
        <w:tc>
          <w:tcPr>
            <w:tcW w:w="2126" w:type="dxa"/>
            <w:gridSpan w:val="2"/>
            <w:tcBorders>
              <w:top w:val="single" w:sz="4" w:space="0" w:color="auto"/>
            </w:tcBorders>
            <w:shd w:val="clear" w:color="auto" w:fill="FFFFFF" w:themeFill="background1"/>
            <w:noWrap/>
            <w:vAlign w:val="center"/>
            <w:hideMark/>
          </w:tcPr>
          <w:p w:rsidR="00AF48DD" w:rsidRPr="002F17B5" w:rsidRDefault="00AF48DD" w:rsidP="007B7242">
            <w:pPr>
              <w:jc w:val="right"/>
            </w:pPr>
            <w:r w:rsidRPr="002F17B5">
              <w:t>(</w:t>
            </w:r>
            <w:r w:rsidR="00B36331" w:rsidRPr="002F17B5">
              <w:t>711.2</w:t>
            </w:r>
            <w:r w:rsidRPr="002F17B5">
              <w:t>)</w:t>
            </w:r>
          </w:p>
        </w:tc>
        <w:tc>
          <w:tcPr>
            <w:tcW w:w="1120" w:type="dxa"/>
            <w:tcBorders>
              <w:top w:val="single" w:sz="4" w:space="0" w:color="auto"/>
            </w:tcBorders>
            <w:shd w:val="clear" w:color="auto" w:fill="FFFFFF" w:themeFill="background1"/>
            <w:noWrap/>
            <w:vAlign w:val="center"/>
            <w:hideMark/>
          </w:tcPr>
          <w:p w:rsidR="00AF48DD" w:rsidRPr="002F17B5" w:rsidRDefault="00B36331" w:rsidP="007B7242">
            <w:pPr>
              <w:jc w:val="right"/>
            </w:pPr>
            <w:r w:rsidRPr="002F17B5">
              <w:t>(772.6</w:t>
            </w:r>
            <w:r w:rsidR="00AF48DD" w:rsidRPr="002F17B5">
              <w:t>)</w:t>
            </w:r>
          </w:p>
        </w:tc>
      </w:tr>
      <w:tr w:rsidR="00AF48DD" w:rsidRPr="002F17B5" w:rsidTr="007177E8">
        <w:trPr>
          <w:trHeight w:val="315"/>
          <w:jc w:val="center"/>
        </w:trPr>
        <w:tc>
          <w:tcPr>
            <w:tcW w:w="5250" w:type="dxa"/>
            <w:shd w:val="clear" w:color="auto" w:fill="FFFFFF" w:themeFill="background1"/>
            <w:noWrap/>
            <w:vAlign w:val="center"/>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 xml:space="preserve">Final budgeted distribution for </w:t>
            </w:r>
            <w:r w:rsidR="00CD4CF3" w:rsidRPr="002F17B5">
              <w:rPr>
                <w:rFonts w:eastAsia="Times New Roman" w:cs="Arial"/>
                <w:lang w:eastAsia="en-GB"/>
              </w:rPr>
              <w:t>2013/14</w:t>
            </w:r>
          </w:p>
        </w:tc>
        <w:tc>
          <w:tcPr>
            <w:tcW w:w="1701" w:type="dxa"/>
            <w:tcBorders>
              <w:top w:val="single" w:sz="4" w:space="0" w:color="auto"/>
              <w:bottom w:val="single" w:sz="4" w:space="0" w:color="auto"/>
            </w:tcBorders>
            <w:shd w:val="clear" w:color="auto" w:fill="FFFFFF" w:themeFill="background1"/>
            <w:noWrap/>
            <w:vAlign w:val="center"/>
            <w:hideMark/>
          </w:tcPr>
          <w:p w:rsidR="00AF48DD" w:rsidRPr="002F17B5" w:rsidRDefault="00AF48DD" w:rsidP="007B7242">
            <w:pPr>
              <w:jc w:val="right"/>
            </w:pPr>
            <w:r w:rsidRPr="002F17B5">
              <w:t>(</w:t>
            </w:r>
            <w:r w:rsidR="00B36331" w:rsidRPr="002F17B5">
              <w:t>61.4</w:t>
            </w:r>
            <w:r w:rsidRPr="002F17B5">
              <w:t>)</w:t>
            </w:r>
          </w:p>
        </w:tc>
        <w:tc>
          <w:tcPr>
            <w:tcW w:w="2126" w:type="dxa"/>
            <w:gridSpan w:val="2"/>
            <w:tcBorders>
              <w:top w:val="single" w:sz="4" w:space="0" w:color="auto"/>
              <w:bottom w:val="single" w:sz="4" w:space="0" w:color="auto"/>
            </w:tcBorders>
            <w:shd w:val="clear" w:color="auto" w:fill="FFFFFF" w:themeFill="background1"/>
            <w:noWrap/>
            <w:vAlign w:val="center"/>
            <w:hideMark/>
          </w:tcPr>
          <w:p w:rsidR="00AF48DD" w:rsidRPr="002F17B5" w:rsidRDefault="00AF48DD" w:rsidP="007B7242">
            <w:pPr>
              <w:jc w:val="right"/>
            </w:pPr>
            <w:r w:rsidRPr="002F17B5">
              <w:t>(</w:t>
            </w:r>
            <w:r w:rsidR="00B36331" w:rsidRPr="002F17B5">
              <w:t>711.2</w:t>
            </w:r>
            <w:r w:rsidRPr="002F17B5">
              <w:t>)</w:t>
            </w:r>
          </w:p>
        </w:tc>
        <w:tc>
          <w:tcPr>
            <w:tcW w:w="1120" w:type="dxa"/>
            <w:tcBorders>
              <w:top w:val="single" w:sz="4" w:space="0" w:color="auto"/>
              <w:bottom w:val="single" w:sz="4" w:space="0" w:color="auto"/>
            </w:tcBorders>
            <w:shd w:val="clear" w:color="auto" w:fill="FFFFFF" w:themeFill="background1"/>
            <w:noWrap/>
            <w:vAlign w:val="center"/>
            <w:hideMark/>
          </w:tcPr>
          <w:p w:rsidR="00AF48DD" w:rsidRPr="002F17B5" w:rsidRDefault="00B36331" w:rsidP="007B7242">
            <w:pPr>
              <w:jc w:val="right"/>
            </w:pPr>
            <w:r w:rsidRPr="002F17B5">
              <w:t>(772.6</w:t>
            </w:r>
            <w:r w:rsidR="00AF48DD" w:rsidRPr="002F17B5">
              <w:t>)</w:t>
            </w:r>
          </w:p>
        </w:tc>
      </w:tr>
      <w:tr w:rsidR="00AF48DD" w:rsidRPr="002F17B5" w:rsidTr="007177E8">
        <w:trPr>
          <w:trHeight w:val="300"/>
          <w:jc w:val="center"/>
        </w:trPr>
        <w:tc>
          <w:tcPr>
            <w:tcW w:w="5250" w:type="dxa"/>
            <w:shd w:val="clear" w:color="auto" w:fill="FFFFFF" w:themeFill="background1"/>
            <w:noWrap/>
            <w:vAlign w:val="center"/>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Less actual central expenditure</w:t>
            </w:r>
          </w:p>
        </w:tc>
        <w:tc>
          <w:tcPr>
            <w:tcW w:w="1701" w:type="dxa"/>
            <w:tcBorders>
              <w:top w:val="single" w:sz="4" w:space="0" w:color="auto"/>
            </w:tcBorders>
            <w:shd w:val="clear" w:color="auto" w:fill="FFFFFF" w:themeFill="background1"/>
            <w:noWrap/>
            <w:vAlign w:val="center"/>
            <w:hideMark/>
          </w:tcPr>
          <w:p w:rsidR="00AF48DD" w:rsidRPr="002F17B5" w:rsidRDefault="00B36331" w:rsidP="007B7242">
            <w:pPr>
              <w:jc w:val="right"/>
            </w:pPr>
            <w:r w:rsidRPr="002F17B5">
              <w:t>38.5</w:t>
            </w:r>
          </w:p>
        </w:tc>
        <w:tc>
          <w:tcPr>
            <w:tcW w:w="2126" w:type="dxa"/>
            <w:gridSpan w:val="2"/>
            <w:tcBorders>
              <w:top w:val="single" w:sz="4" w:space="0" w:color="auto"/>
            </w:tcBorders>
            <w:shd w:val="clear" w:color="auto" w:fill="FFFFFF" w:themeFill="background1"/>
            <w:noWrap/>
            <w:vAlign w:val="center"/>
            <w:hideMark/>
          </w:tcPr>
          <w:p w:rsidR="00B70B4B" w:rsidRPr="002F17B5" w:rsidRDefault="007E455C" w:rsidP="007B7242">
            <w:pPr>
              <w:jc w:val="right"/>
            </w:pPr>
            <w:r w:rsidRPr="002F17B5">
              <w:t xml:space="preserve">               </w:t>
            </w:r>
            <w:r w:rsidR="00AF48DD" w:rsidRPr="002F17B5">
              <w:t>-</w:t>
            </w:r>
          </w:p>
        </w:tc>
        <w:tc>
          <w:tcPr>
            <w:tcW w:w="1120" w:type="dxa"/>
            <w:tcBorders>
              <w:top w:val="single" w:sz="4" w:space="0" w:color="auto"/>
            </w:tcBorders>
            <w:shd w:val="clear" w:color="auto" w:fill="FFFFFF" w:themeFill="background1"/>
            <w:noWrap/>
            <w:vAlign w:val="center"/>
            <w:hideMark/>
          </w:tcPr>
          <w:p w:rsidR="00AF48DD" w:rsidRPr="002F17B5" w:rsidRDefault="00B36331" w:rsidP="007B7242">
            <w:pPr>
              <w:jc w:val="right"/>
            </w:pPr>
            <w:r w:rsidRPr="002F17B5">
              <w:t>38.5</w:t>
            </w:r>
          </w:p>
        </w:tc>
      </w:tr>
      <w:tr w:rsidR="00AF48DD" w:rsidRPr="002F17B5" w:rsidTr="007177E8">
        <w:trPr>
          <w:trHeight w:val="315"/>
          <w:jc w:val="center"/>
        </w:trPr>
        <w:tc>
          <w:tcPr>
            <w:tcW w:w="5250" w:type="dxa"/>
            <w:shd w:val="clear" w:color="auto" w:fill="FFFFFF" w:themeFill="background1"/>
            <w:noWrap/>
            <w:vAlign w:val="center"/>
            <w:hideMark/>
          </w:tcPr>
          <w:p w:rsidR="00AF48DD" w:rsidRPr="002F17B5" w:rsidRDefault="00AF48DD" w:rsidP="00AF48DD">
            <w:pPr>
              <w:autoSpaceDE/>
              <w:autoSpaceDN/>
              <w:adjustRightInd/>
              <w:spacing w:before="0" w:after="0"/>
              <w:jc w:val="left"/>
              <w:rPr>
                <w:rFonts w:eastAsia="Times New Roman" w:cs="Arial"/>
                <w:lang w:eastAsia="en-GB"/>
              </w:rPr>
            </w:pPr>
            <w:r w:rsidRPr="002F17B5">
              <w:rPr>
                <w:rFonts w:eastAsia="Times New Roman" w:cs="Arial"/>
                <w:lang w:eastAsia="en-GB"/>
              </w:rPr>
              <w:t>Less actual ISB deployed to schools</w:t>
            </w:r>
          </w:p>
        </w:tc>
        <w:tc>
          <w:tcPr>
            <w:tcW w:w="1701" w:type="dxa"/>
            <w:tcBorders>
              <w:bottom w:val="single" w:sz="4" w:space="0" w:color="auto"/>
            </w:tcBorders>
            <w:shd w:val="clear" w:color="auto" w:fill="FFFFFF" w:themeFill="background1"/>
            <w:noWrap/>
            <w:vAlign w:val="center"/>
            <w:hideMark/>
          </w:tcPr>
          <w:p w:rsidR="00B70B4B" w:rsidRPr="002F17B5" w:rsidRDefault="007E455C" w:rsidP="007B7242">
            <w:pPr>
              <w:jc w:val="right"/>
            </w:pPr>
            <w:r w:rsidRPr="002F17B5">
              <w:t xml:space="preserve">          </w:t>
            </w:r>
            <w:r w:rsidR="00AF48DD" w:rsidRPr="002F17B5">
              <w:t>-</w:t>
            </w:r>
          </w:p>
        </w:tc>
        <w:tc>
          <w:tcPr>
            <w:tcW w:w="2126" w:type="dxa"/>
            <w:gridSpan w:val="2"/>
            <w:tcBorders>
              <w:bottom w:val="single" w:sz="4" w:space="0" w:color="auto"/>
            </w:tcBorders>
            <w:shd w:val="clear" w:color="auto" w:fill="FFFFFF" w:themeFill="background1"/>
            <w:noWrap/>
            <w:vAlign w:val="center"/>
            <w:hideMark/>
          </w:tcPr>
          <w:p w:rsidR="00AF48DD" w:rsidRPr="002F17B5" w:rsidRDefault="00B36331" w:rsidP="007B7242">
            <w:pPr>
              <w:jc w:val="right"/>
            </w:pPr>
            <w:r w:rsidRPr="002F17B5">
              <w:t>711.2</w:t>
            </w:r>
          </w:p>
        </w:tc>
        <w:tc>
          <w:tcPr>
            <w:tcW w:w="1120" w:type="dxa"/>
            <w:tcBorders>
              <w:bottom w:val="single" w:sz="4" w:space="0" w:color="auto"/>
            </w:tcBorders>
            <w:shd w:val="clear" w:color="auto" w:fill="FFFFFF" w:themeFill="background1"/>
            <w:noWrap/>
            <w:vAlign w:val="center"/>
            <w:hideMark/>
          </w:tcPr>
          <w:p w:rsidR="00AF48DD" w:rsidRPr="002F17B5" w:rsidRDefault="00B36331" w:rsidP="007B7242">
            <w:pPr>
              <w:jc w:val="right"/>
            </w:pPr>
            <w:r w:rsidRPr="002F17B5">
              <w:t>711.2</w:t>
            </w:r>
          </w:p>
        </w:tc>
      </w:tr>
      <w:tr w:rsidR="00AF48DD" w:rsidRPr="002F17B5" w:rsidTr="007177E8">
        <w:trPr>
          <w:trHeight w:val="535"/>
          <w:jc w:val="center"/>
        </w:trPr>
        <w:tc>
          <w:tcPr>
            <w:tcW w:w="5250" w:type="dxa"/>
            <w:shd w:val="clear" w:color="auto" w:fill="FFFFFF" w:themeFill="background1"/>
            <w:noWrap/>
            <w:vAlign w:val="center"/>
            <w:hideMark/>
          </w:tcPr>
          <w:p w:rsidR="00AF48DD" w:rsidRPr="002F17B5" w:rsidRDefault="00AF48DD" w:rsidP="00AF48DD">
            <w:pPr>
              <w:autoSpaceDE/>
              <w:autoSpaceDN/>
              <w:adjustRightInd/>
              <w:spacing w:before="0" w:after="0"/>
              <w:jc w:val="left"/>
              <w:rPr>
                <w:rFonts w:eastAsia="Times New Roman" w:cs="Arial"/>
                <w:b/>
                <w:lang w:eastAsia="en-GB"/>
              </w:rPr>
            </w:pPr>
            <w:r w:rsidRPr="002F17B5">
              <w:rPr>
                <w:rFonts w:eastAsia="Times New Roman" w:cs="Arial"/>
                <w:b/>
                <w:lang w:eastAsia="en-GB"/>
              </w:rPr>
              <w:t>Carry forward to 201</w:t>
            </w:r>
            <w:r w:rsidR="00D14697">
              <w:rPr>
                <w:rFonts w:eastAsia="Times New Roman" w:cs="Arial"/>
                <w:b/>
                <w:lang w:eastAsia="en-GB"/>
              </w:rPr>
              <w:t>4/15</w:t>
            </w:r>
          </w:p>
        </w:tc>
        <w:tc>
          <w:tcPr>
            <w:tcW w:w="1701" w:type="dxa"/>
            <w:tcBorders>
              <w:top w:val="single" w:sz="4" w:space="0" w:color="auto"/>
            </w:tcBorders>
            <w:shd w:val="clear" w:color="auto" w:fill="FFFFFF" w:themeFill="background1"/>
            <w:noWrap/>
            <w:vAlign w:val="center"/>
            <w:hideMark/>
          </w:tcPr>
          <w:p w:rsidR="00AF48DD" w:rsidRPr="002F17B5" w:rsidRDefault="00CE0536" w:rsidP="007B7242">
            <w:pPr>
              <w:jc w:val="right"/>
              <w:rPr>
                <w:b/>
              </w:rPr>
            </w:pPr>
            <w:r w:rsidRPr="002F17B5">
              <w:rPr>
                <w:b/>
              </w:rPr>
              <w:t>(22.9</w:t>
            </w:r>
            <w:r w:rsidR="00AF48DD" w:rsidRPr="002F17B5">
              <w:rPr>
                <w:b/>
              </w:rPr>
              <w:t>)</w:t>
            </w:r>
          </w:p>
        </w:tc>
        <w:tc>
          <w:tcPr>
            <w:tcW w:w="2126" w:type="dxa"/>
            <w:gridSpan w:val="2"/>
            <w:tcBorders>
              <w:top w:val="single" w:sz="4" w:space="0" w:color="auto"/>
            </w:tcBorders>
            <w:shd w:val="clear" w:color="auto" w:fill="FFFFFF" w:themeFill="background1"/>
            <w:noWrap/>
            <w:vAlign w:val="center"/>
            <w:hideMark/>
          </w:tcPr>
          <w:p w:rsidR="00B70B4B" w:rsidRPr="002F17B5" w:rsidRDefault="007E455C" w:rsidP="007B7242">
            <w:pPr>
              <w:jc w:val="right"/>
              <w:rPr>
                <w:b/>
              </w:rPr>
            </w:pPr>
            <w:r w:rsidRPr="002F17B5">
              <w:rPr>
                <w:b/>
              </w:rPr>
              <w:t xml:space="preserve">               </w:t>
            </w:r>
            <w:r w:rsidR="00AF48DD" w:rsidRPr="002F17B5">
              <w:rPr>
                <w:b/>
              </w:rPr>
              <w:t>-</w:t>
            </w:r>
          </w:p>
        </w:tc>
        <w:tc>
          <w:tcPr>
            <w:tcW w:w="1120" w:type="dxa"/>
            <w:tcBorders>
              <w:top w:val="single" w:sz="4" w:space="0" w:color="auto"/>
            </w:tcBorders>
            <w:shd w:val="clear" w:color="auto" w:fill="FFFFFF" w:themeFill="background1"/>
            <w:noWrap/>
            <w:vAlign w:val="center"/>
            <w:hideMark/>
          </w:tcPr>
          <w:p w:rsidR="00AF48DD" w:rsidRPr="002F17B5" w:rsidRDefault="00CE0536" w:rsidP="007B7242">
            <w:pPr>
              <w:jc w:val="right"/>
              <w:rPr>
                <w:b/>
              </w:rPr>
            </w:pPr>
            <w:r w:rsidRPr="002F17B5">
              <w:rPr>
                <w:b/>
              </w:rPr>
              <w:t>(22.9</w:t>
            </w:r>
            <w:r w:rsidR="00AF48DD" w:rsidRPr="002F17B5">
              <w:rPr>
                <w:b/>
              </w:rPr>
              <w:t>)</w:t>
            </w:r>
          </w:p>
        </w:tc>
      </w:tr>
    </w:tbl>
    <w:p w:rsidR="007177E8" w:rsidRPr="002F17B5" w:rsidRDefault="007177E8" w:rsidP="007B7242">
      <w:pPr>
        <w:pStyle w:val="BodyText10"/>
        <w:ind w:right="260"/>
      </w:pPr>
    </w:p>
    <w:p w:rsidR="00D14697" w:rsidRPr="00427D51" w:rsidRDefault="00D14697" w:rsidP="00D14697">
      <w:pPr>
        <w:rPr>
          <w:rFonts w:cs="Arial"/>
        </w:rPr>
      </w:pPr>
      <w:r w:rsidRPr="00427D51">
        <w:rPr>
          <w:rFonts w:cs="Arial"/>
        </w:rPr>
        <w:t>Comparative data for 2012/13 can be seen below:</w:t>
      </w:r>
    </w:p>
    <w:tbl>
      <w:tblPr>
        <w:tblW w:w="10197" w:type="dxa"/>
        <w:jc w:val="center"/>
        <w:tblLook w:val="04A0" w:firstRow="1" w:lastRow="0" w:firstColumn="1" w:lastColumn="0" w:noHBand="0" w:noVBand="1"/>
      </w:tblPr>
      <w:tblGrid>
        <w:gridCol w:w="5250"/>
        <w:gridCol w:w="1701"/>
        <w:gridCol w:w="2107"/>
        <w:gridCol w:w="19"/>
        <w:gridCol w:w="1120"/>
      </w:tblGrid>
      <w:tr w:rsidR="00D14697" w:rsidRPr="002F17B5" w:rsidTr="00D14697">
        <w:trPr>
          <w:trHeight w:val="630"/>
          <w:jc w:val="center"/>
        </w:trPr>
        <w:tc>
          <w:tcPr>
            <w:tcW w:w="5250" w:type="dxa"/>
            <w:shd w:val="clear" w:color="auto" w:fill="FFFFFF" w:themeFill="background1"/>
            <w:noWrap/>
            <w:vAlign w:val="bottom"/>
            <w:hideMark/>
          </w:tcPr>
          <w:p w:rsidR="00D14697" w:rsidRPr="002F17B5" w:rsidRDefault="00D14697" w:rsidP="00D14697">
            <w:pPr>
              <w:autoSpaceDE/>
              <w:autoSpaceDN/>
              <w:adjustRightInd/>
              <w:spacing w:before="0" w:after="0"/>
              <w:jc w:val="left"/>
              <w:rPr>
                <w:rFonts w:eastAsia="Times New Roman" w:cs="Arial"/>
                <w:b/>
                <w:bCs/>
                <w:lang w:eastAsia="en-GB"/>
              </w:rPr>
            </w:pPr>
          </w:p>
        </w:tc>
        <w:tc>
          <w:tcPr>
            <w:tcW w:w="1701" w:type="dxa"/>
            <w:shd w:val="clear" w:color="auto" w:fill="FFFFFF" w:themeFill="background1"/>
            <w:vAlign w:val="bottom"/>
            <w:hideMark/>
          </w:tcPr>
          <w:p w:rsidR="00D14697" w:rsidRPr="002F17B5" w:rsidRDefault="00D14697" w:rsidP="00D14697">
            <w:pPr>
              <w:autoSpaceDE/>
              <w:autoSpaceDN/>
              <w:adjustRightInd/>
              <w:spacing w:before="0" w:after="0"/>
              <w:jc w:val="center"/>
              <w:rPr>
                <w:rFonts w:eastAsia="Times New Roman" w:cs="Arial"/>
                <w:b/>
                <w:bCs/>
                <w:lang w:eastAsia="en-GB"/>
              </w:rPr>
            </w:pPr>
            <w:r w:rsidRPr="002F17B5">
              <w:rPr>
                <w:rFonts w:eastAsia="Times New Roman" w:cs="Arial"/>
                <w:b/>
                <w:bCs/>
                <w:lang w:eastAsia="en-GB"/>
              </w:rPr>
              <w:t>Central Expenditure</w:t>
            </w:r>
          </w:p>
        </w:tc>
        <w:tc>
          <w:tcPr>
            <w:tcW w:w="2107" w:type="dxa"/>
            <w:shd w:val="clear" w:color="auto" w:fill="FFFFFF" w:themeFill="background1"/>
            <w:vAlign w:val="bottom"/>
            <w:hideMark/>
          </w:tcPr>
          <w:p w:rsidR="00D14697" w:rsidRPr="002F17B5" w:rsidRDefault="00D14697" w:rsidP="00D14697">
            <w:pPr>
              <w:autoSpaceDE/>
              <w:autoSpaceDN/>
              <w:adjustRightInd/>
              <w:spacing w:before="0" w:after="0"/>
              <w:jc w:val="center"/>
              <w:rPr>
                <w:rFonts w:eastAsia="Times New Roman" w:cs="Arial"/>
                <w:b/>
                <w:bCs/>
                <w:lang w:eastAsia="en-GB"/>
              </w:rPr>
            </w:pPr>
            <w:r w:rsidRPr="002F17B5">
              <w:rPr>
                <w:rFonts w:eastAsia="Times New Roman" w:cs="Arial"/>
                <w:b/>
                <w:bCs/>
                <w:lang w:eastAsia="en-GB"/>
              </w:rPr>
              <w:t>Individual Schools Budget</w:t>
            </w:r>
          </w:p>
        </w:tc>
        <w:tc>
          <w:tcPr>
            <w:tcW w:w="1139" w:type="dxa"/>
            <w:gridSpan w:val="2"/>
            <w:shd w:val="clear" w:color="auto" w:fill="FFFFFF" w:themeFill="background1"/>
            <w:vAlign w:val="bottom"/>
            <w:hideMark/>
          </w:tcPr>
          <w:p w:rsidR="00D14697" w:rsidRPr="002F17B5" w:rsidRDefault="00D14697" w:rsidP="00D14697">
            <w:pPr>
              <w:autoSpaceDE/>
              <w:autoSpaceDN/>
              <w:adjustRightInd/>
              <w:spacing w:before="0" w:after="0"/>
              <w:jc w:val="right"/>
              <w:rPr>
                <w:rFonts w:eastAsia="Times New Roman" w:cs="Arial"/>
                <w:b/>
                <w:bCs/>
                <w:lang w:eastAsia="en-GB"/>
              </w:rPr>
            </w:pPr>
            <w:r w:rsidRPr="002F17B5">
              <w:rPr>
                <w:rFonts w:eastAsia="Times New Roman" w:cs="Arial"/>
                <w:b/>
                <w:bCs/>
                <w:lang w:eastAsia="en-GB"/>
              </w:rPr>
              <w:t>Total</w:t>
            </w:r>
          </w:p>
        </w:tc>
      </w:tr>
      <w:tr w:rsidR="00D14697" w:rsidRPr="002F17B5" w:rsidTr="00D14697">
        <w:trPr>
          <w:trHeight w:val="330"/>
          <w:jc w:val="center"/>
        </w:trPr>
        <w:tc>
          <w:tcPr>
            <w:tcW w:w="5250" w:type="dxa"/>
            <w:shd w:val="clear" w:color="auto" w:fill="FFFFFF" w:themeFill="background1"/>
            <w:noWrap/>
            <w:vAlign w:val="bottom"/>
            <w:hideMark/>
          </w:tcPr>
          <w:p w:rsidR="00D14697" w:rsidRPr="002F17B5" w:rsidRDefault="00D14697" w:rsidP="00D14697">
            <w:pPr>
              <w:autoSpaceDE/>
              <w:autoSpaceDN/>
              <w:adjustRightInd/>
              <w:spacing w:before="0" w:after="0"/>
              <w:jc w:val="left"/>
              <w:rPr>
                <w:rFonts w:eastAsia="Times New Roman" w:cs="Arial"/>
                <w:b/>
                <w:bCs/>
                <w:lang w:eastAsia="en-GB"/>
              </w:rPr>
            </w:pPr>
          </w:p>
        </w:tc>
        <w:tc>
          <w:tcPr>
            <w:tcW w:w="1701" w:type="dxa"/>
            <w:shd w:val="clear" w:color="auto" w:fill="FFFFFF" w:themeFill="background1"/>
            <w:noWrap/>
            <w:vAlign w:val="bottom"/>
            <w:hideMark/>
          </w:tcPr>
          <w:p w:rsidR="00D14697" w:rsidRPr="002F17B5" w:rsidRDefault="00D14697" w:rsidP="00D14697">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2126" w:type="dxa"/>
            <w:gridSpan w:val="2"/>
            <w:shd w:val="clear" w:color="auto" w:fill="FFFFFF" w:themeFill="background1"/>
            <w:noWrap/>
            <w:vAlign w:val="bottom"/>
            <w:hideMark/>
          </w:tcPr>
          <w:p w:rsidR="00D14697" w:rsidRPr="002F17B5" w:rsidRDefault="00D14697" w:rsidP="00D14697">
            <w:pPr>
              <w:autoSpaceDE/>
              <w:autoSpaceDN/>
              <w:adjustRightInd/>
              <w:spacing w:before="0" w:after="0"/>
              <w:jc w:val="center"/>
              <w:rPr>
                <w:rFonts w:eastAsia="Times New Roman" w:cs="Arial"/>
                <w:b/>
                <w:bCs/>
                <w:lang w:eastAsia="en-GB"/>
              </w:rPr>
            </w:pPr>
            <w:r w:rsidRPr="002F17B5">
              <w:rPr>
                <w:rFonts w:eastAsia="Times New Roman" w:cs="Arial"/>
                <w:b/>
                <w:bCs/>
                <w:lang w:eastAsia="en-GB"/>
              </w:rPr>
              <w:t xml:space="preserve">            £m</w:t>
            </w:r>
          </w:p>
        </w:tc>
        <w:tc>
          <w:tcPr>
            <w:tcW w:w="1120" w:type="dxa"/>
            <w:shd w:val="clear" w:color="auto" w:fill="FFFFFF" w:themeFill="background1"/>
            <w:noWrap/>
            <w:vAlign w:val="bottom"/>
            <w:hideMark/>
          </w:tcPr>
          <w:p w:rsidR="00D14697" w:rsidRPr="002F17B5" w:rsidRDefault="00D14697" w:rsidP="00D14697">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r>
      <w:tr w:rsidR="00D14697" w:rsidRPr="002F17B5" w:rsidTr="00D14697">
        <w:trPr>
          <w:trHeight w:val="315"/>
          <w:jc w:val="center"/>
        </w:trPr>
        <w:tc>
          <w:tcPr>
            <w:tcW w:w="5250" w:type="dxa"/>
            <w:shd w:val="clear" w:color="auto" w:fill="FFFFFF" w:themeFill="background1"/>
            <w:hideMark/>
          </w:tcPr>
          <w:p w:rsidR="00D14697" w:rsidRPr="002F17B5" w:rsidRDefault="00D14697" w:rsidP="00D14697">
            <w:pPr>
              <w:autoSpaceDE/>
              <w:autoSpaceDN/>
              <w:adjustRightInd/>
              <w:spacing w:before="0" w:after="0"/>
              <w:jc w:val="left"/>
              <w:rPr>
                <w:rFonts w:eastAsia="Times New Roman" w:cs="Arial"/>
                <w:lang w:eastAsia="en-GB"/>
              </w:rPr>
            </w:pPr>
          </w:p>
        </w:tc>
        <w:tc>
          <w:tcPr>
            <w:tcW w:w="1701" w:type="dxa"/>
            <w:shd w:val="clear" w:color="auto" w:fill="FFFFFF" w:themeFill="background1"/>
            <w:noWrap/>
            <w:vAlign w:val="bottom"/>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2126" w:type="dxa"/>
            <w:gridSpan w:val="2"/>
            <w:shd w:val="clear" w:color="auto" w:fill="FFFFFF" w:themeFill="background1"/>
            <w:noWrap/>
            <w:vAlign w:val="bottom"/>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120" w:type="dxa"/>
            <w:shd w:val="clear" w:color="auto" w:fill="FFFFFF" w:themeFill="background1"/>
            <w:noWrap/>
            <w:vAlign w:val="bottom"/>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 </w:t>
            </w:r>
          </w:p>
        </w:tc>
      </w:tr>
      <w:tr w:rsidR="00D14697" w:rsidRPr="002F17B5" w:rsidTr="00D14697">
        <w:trPr>
          <w:trHeight w:val="600"/>
          <w:jc w:val="center"/>
        </w:trPr>
        <w:tc>
          <w:tcPr>
            <w:tcW w:w="5250" w:type="dxa"/>
            <w:shd w:val="clear" w:color="auto" w:fill="FFFFFF" w:themeFill="background1"/>
            <w:vAlign w:val="center"/>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 xml:space="preserve">Final DSG for </w:t>
            </w:r>
            <w:r>
              <w:rPr>
                <w:rFonts w:eastAsia="Times New Roman" w:cs="Arial"/>
                <w:lang w:eastAsia="en-GB"/>
              </w:rPr>
              <w:t>2012/13</w:t>
            </w:r>
            <w:r w:rsidRPr="002F17B5">
              <w:rPr>
                <w:rFonts w:eastAsia="Times New Roman" w:cs="Arial"/>
                <w:lang w:eastAsia="en-GB"/>
              </w:rPr>
              <w:t xml:space="preserve"> before academy recoupment</w:t>
            </w:r>
          </w:p>
        </w:tc>
        <w:tc>
          <w:tcPr>
            <w:tcW w:w="1701" w:type="dxa"/>
            <w:shd w:val="clear" w:color="auto" w:fill="FFFFFF" w:themeFill="background1"/>
            <w:noWrap/>
            <w:vAlign w:val="center"/>
            <w:hideMark/>
          </w:tcPr>
          <w:p w:rsidR="00D14697" w:rsidRPr="002F17B5" w:rsidRDefault="00D14697" w:rsidP="00D14697">
            <w:pPr>
              <w:jc w:val="right"/>
            </w:pPr>
          </w:p>
        </w:tc>
        <w:tc>
          <w:tcPr>
            <w:tcW w:w="2126" w:type="dxa"/>
            <w:gridSpan w:val="2"/>
            <w:shd w:val="clear" w:color="auto" w:fill="FFFFFF" w:themeFill="background1"/>
            <w:noWrap/>
            <w:vAlign w:val="center"/>
            <w:hideMark/>
          </w:tcPr>
          <w:p w:rsidR="00D14697" w:rsidRPr="002F17B5" w:rsidRDefault="00D14697" w:rsidP="00D14697">
            <w:pPr>
              <w:jc w:val="right"/>
            </w:pPr>
          </w:p>
        </w:tc>
        <w:tc>
          <w:tcPr>
            <w:tcW w:w="1120" w:type="dxa"/>
            <w:shd w:val="clear" w:color="auto" w:fill="FFFFFF" w:themeFill="background1"/>
            <w:noWrap/>
            <w:vAlign w:val="center"/>
            <w:hideMark/>
          </w:tcPr>
          <w:p w:rsidR="00D14697" w:rsidRPr="002F17B5" w:rsidRDefault="00D14697" w:rsidP="00D14697">
            <w:pPr>
              <w:jc w:val="right"/>
            </w:pPr>
            <w:r w:rsidRPr="002F17B5">
              <w:t>(8</w:t>
            </w:r>
            <w:r>
              <w:t>07.8</w:t>
            </w:r>
            <w:r w:rsidRPr="002F17B5">
              <w:t>)</w:t>
            </w:r>
          </w:p>
        </w:tc>
      </w:tr>
      <w:tr w:rsidR="00D14697" w:rsidRPr="002F17B5" w:rsidTr="00D14697">
        <w:trPr>
          <w:trHeight w:val="300"/>
          <w:jc w:val="center"/>
        </w:trPr>
        <w:tc>
          <w:tcPr>
            <w:tcW w:w="5250" w:type="dxa"/>
            <w:shd w:val="clear" w:color="auto" w:fill="FFFFFF" w:themeFill="background1"/>
            <w:noWrap/>
            <w:vAlign w:val="center"/>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 xml:space="preserve">Academy figure recouped for </w:t>
            </w:r>
            <w:r>
              <w:rPr>
                <w:rFonts w:eastAsia="Times New Roman" w:cs="Arial"/>
                <w:lang w:eastAsia="en-GB"/>
              </w:rPr>
              <w:t>2012/13</w:t>
            </w:r>
          </w:p>
        </w:tc>
        <w:tc>
          <w:tcPr>
            <w:tcW w:w="1701" w:type="dxa"/>
            <w:tcBorders>
              <w:bottom w:val="single" w:sz="4" w:space="0" w:color="auto"/>
            </w:tcBorders>
            <w:shd w:val="clear" w:color="auto" w:fill="FFFFFF" w:themeFill="background1"/>
            <w:noWrap/>
            <w:vAlign w:val="center"/>
            <w:hideMark/>
          </w:tcPr>
          <w:p w:rsidR="00D14697" w:rsidRPr="002F17B5" w:rsidRDefault="00D14697" w:rsidP="00D14697">
            <w:pPr>
              <w:jc w:val="right"/>
            </w:pPr>
          </w:p>
        </w:tc>
        <w:tc>
          <w:tcPr>
            <w:tcW w:w="2126" w:type="dxa"/>
            <w:gridSpan w:val="2"/>
            <w:tcBorders>
              <w:bottom w:val="single" w:sz="4" w:space="0" w:color="auto"/>
            </w:tcBorders>
            <w:shd w:val="clear" w:color="auto" w:fill="FFFFFF" w:themeFill="background1"/>
            <w:noWrap/>
            <w:vAlign w:val="center"/>
            <w:hideMark/>
          </w:tcPr>
          <w:p w:rsidR="00D14697" w:rsidRPr="002F17B5" w:rsidRDefault="00D14697" w:rsidP="00D14697">
            <w:pPr>
              <w:jc w:val="right"/>
            </w:pPr>
          </w:p>
        </w:tc>
        <w:tc>
          <w:tcPr>
            <w:tcW w:w="1120" w:type="dxa"/>
            <w:tcBorders>
              <w:bottom w:val="single" w:sz="4" w:space="0" w:color="auto"/>
            </w:tcBorders>
            <w:shd w:val="clear" w:color="auto" w:fill="FFFFFF" w:themeFill="background1"/>
            <w:noWrap/>
            <w:vAlign w:val="center"/>
            <w:hideMark/>
          </w:tcPr>
          <w:p w:rsidR="00D14697" w:rsidRPr="002F17B5" w:rsidRDefault="00D14697" w:rsidP="00DC5228">
            <w:pPr>
              <w:jc w:val="right"/>
            </w:pPr>
            <w:r>
              <w:t>63.</w:t>
            </w:r>
            <w:r w:rsidR="00DC5228">
              <w:t>0</w:t>
            </w:r>
          </w:p>
        </w:tc>
      </w:tr>
      <w:tr w:rsidR="00D14697" w:rsidRPr="002F17B5" w:rsidTr="00D14697">
        <w:trPr>
          <w:trHeight w:val="600"/>
          <w:jc w:val="center"/>
        </w:trPr>
        <w:tc>
          <w:tcPr>
            <w:tcW w:w="5250" w:type="dxa"/>
            <w:shd w:val="clear" w:color="auto" w:fill="FFFFFF" w:themeFill="background1"/>
            <w:vAlign w:val="center"/>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Total DSG after Academy recoupment</w:t>
            </w:r>
            <w:r w:rsidRPr="002F17B5">
              <w:rPr>
                <w:rFonts w:eastAsia="Times New Roman" w:cs="Arial"/>
                <w:lang w:eastAsia="en-GB"/>
              </w:rPr>
              <w:br/>
              <w:t xml:space="preserve"> for </w:t>
            </w:r>
            <w:r>
              <w:rPr>
                <w:rFonts w:eastAsia="Times New Roman" w:cs="Arial"/>
                <w:lang w:eastAsia="en-GB"/>
              </w:rPr>
              <w:t>2012/13</w:t>
            </w:r>
          </w:p>
        </w:tc>
        <w:tc>
          <w:tcPr>
            <w:tcW w:w="1701" w:type="dxa"/>
            <w:tcBorders>
              <w:top w:val="single" w:sz="4" w:space="0" w:color="auto"/>
            </w:tcBorders>
            <w:shd w:val="clear" w:color="auto" w:fill="FFFFFF" w:themeFill="background1"/>
            <w:noWrap/>
            <w:vAlign w:val="center"/>
            <w:hideMark/>
          </w:tcPr>
          <w:p w:rsidR="00D14697" w:rsidRPr="002F17B5" w:rsidRDefault="00D14697" w:rsidP="00D14697">
            <w:pPr>
              <w:jc w:val="right"/>
            </w:pPr>
          </w:p>
        </w:tc>
        <w:tc>
          <w:tcPr>
            <w:tcW w:w="2126" w:type="dxa"/>
            <w:gridSpan w:val="2"/>
            <w:tcBorders>
              <w:top w:val="single" w:sz="4" w:space="0" w:color="auto"/>
            </w:tcBorders>
            <w:shd w:val="clear" w:color="auto" w:fill="FFFFFF" w:themeFill="background1"/>
            <w:noWrap/>
            <w:vAlign w:val="center"/>
            <w:hideMark/>
          </w:tcPr>
          <w:p w:rsidR="00D14697" w:rsidRPr="002F17B5" w:rsidRDefault="00D14697" w:rsidP="00D14697">
            <w:pPr>
              <w:jc w:val="right"/>
            </w:pPr>
          </w:p>
        </w:tc>
        <w:tc>
          <w:tcPr>
            <w:tcW w:w="1120" w:type="dxa"/>
            <w:tcBorders>
              <w:top w:val="single" w:sz="4" w:space="0" w:color="auto"/>
            </w:tcBorders>
            <w:shd w:val="clear" w:color="auto" w:fill="FFFFFF" w:themeFill="background1"/>
            <w:noWrap/>
            <w:vAlign w:val="center"/>
            <w:hideMark/>
          </w:tcPr>
          <w:p w:rsidR="00D14697" w:rsidRPr="002F17B5" w:rsidRDefault="00D14697" w:rsidP="00DC5228">
            <w:pPr>
              <w:jc w:val="right"/>
            </w:pPr>
            <w:r w:rsidRPr="002F17B5">
              <w:t>(7</w:t>
            </w:r>
            <w:r>
              <w:t>44.</w:t>
            </w:r>
            <w:r w:rsidR="00DC5228">
              <w:t>8</w:t>
            </w:r>
            <w:r w:rsidRPr="002F17B5">
              <w:t>)</w:t>
            </w:r>
          </w:p>
        </w:tc>
      </w:tr>
      <w:tr w:rsidR="00D14697" w:rsidRPr="002F17B5" w:rsidTr="00D14697">
        <w:trPr>
          <w:trHeight w:val="300"/>
          <w:jc w:val="center"/>
        </w:trPr>
        <w:tc>
          <w:tcPr>
            <w:tcW w:w="5250" w:type="dxa"/>
            <w:shd w:val="clear" w:color="auto" w:fill="FFFFFF" w:themeFill="background1"/>
            <w:noWrap/>
            <w:vAlign w:val="center"/>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 xml:space="preserve">Brought forward from </w:t>
            </w:r>
            <w:r>
              <w:rPr>
                <w:rFonts w:eastAsia="Times New Roman" w:cs="Arial"/>
                <w:lang w:eastAsia="en-GB"/>
              </w:rPr>
              <w:t>2011/12</w:t>
            </w:r>
          </w:p>
        </w:tc>
        <w:tc>
          <w:tcPr>
            <w:tcW w:w="1701" w:type="dxa"/>
            <w:tcBorders>
              <w:bottom w:val="single" w:sz="4" w:space="0" w:color="auto"/>
            </w:tcBorders>
            <w:shd w:val="clear" w:color="auto" w:fill="FFFFFF" w:themeFill="background1"/>
            <w:noWrap/>
            <w:vAlign w:val="center"/>
            <w:hideMark/>
          </w:tcPr>
          <w:p w:rsidR="00D14697" w:rsidRPr="002F17B5" w:rsidRDefault="00D14697" w:rsidP="00D14697">
            <w:pPr>
              <w:jc w:val="right"/>
            </w:pPr>
          </w:p>
        </w:tc>
        <w:tc>
          <w:tcPr>
            <w:tcW w:w="2126" w:type="dxa"/>
            <w:gridSpan w:val="2"/>
            <w:tcBorders>
              <w:bottom w:val="single" w:sz="4" w:space="0" w:color="auto"/>
            </w:tcBorders>
            <w:shd w:val="clear" w:color="auto" w:fill="FFFFFF" w:themeFill="background1"/>
            <w:noWrap/>
            <w:vAlign w:val="center"/>
            <w:hideMark/>
          </w:tcPr>
          <w:p w:rsidR="00D14697" w:rsidRPr="002F17B5" w:rsidRDefault="00D14697" w:rsidP="00D14697">
            <w:pPr>
              <w:jc w:val="right"/>
            </w:pPr>
          </w:p>
        </w:tc>
        <w:tc>
          <w:tcPr>
            <w:tcW w:w="1120" w:type="dxa"/>
            <w:tcBorders>
              <w:bottom w:val="single" w:sz="4" w:space="0" w:color="auto"/>
            </w:tcBorders>
            <w:shd w:val="clear" w:color="auto" w:fill="FFFFFF" w:themeFill="background1"/>
            <w:noWrap/>
            <w:vAlign w:val="center"/>
            <w:hideMark/>
          </w:tcPr>
          <w:p w:rsidR="00D14697" w:rsidRPr="002F17B5" w:rsidRDefault="00D14697">
            <w:pPr>
              <w:jc w:val="right"/>
            </w:pPr>
            <w:r w:rsidRPr="002F17B5">
              <w:t>(1</w:t>
            </w:r>
            <w:r>
              <w:t>6</w:t>
            </w:r>
            <w:r w:rsidRPr="002F17B5">
              <w:t>.5)</w:t>
            </w:r>
          </w:p>
        </w:tc>
      </w:tr>
      <w:tr w:rsidR="00D14697" w:rsidRPr="002F17B5" w:rsidTr="00D14697">
        <w:trPr>
          <w:trHeight w:val="600"/>
          <w:jc w:val="center"/>
        </w:trPr>
        <w:tc>
          <w:tcPr>
            <w:tcW w:w="5250" w:type="dxa"/>
            <w:shd w:val="clear" w:color="auto" w:fill="FFFFFF" w:themeFill="background1"/>
            <w:vAlign w:val="center"/>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 xml:space="preserve">Agreed initial budgeted distribution in </w:t>
            </w:r>
            <w:r>
              <w:rPr>
                <w:rFonts w:eastAsia="Times New Roman" w:cs="Arial"/>
                <w:lang w:eastAsia="en-GB"/>
              </w:rPr>
              <w:t>2012/13</w:t>
            </w:r>
          </w:p>
        </w:tc>
        <w:tc>
          <w:tcPr>
            <w:tcW w:w="1701" w:type="dxa"/>
            <w:tcBorders>
              <w:top w:val="single" w:sz="4" w:space="0" w:color="auto"/>
            </w:tcBorders>
            <w:shd w:val="clear" w:color="auto" w:fill="FFFFFF" w:themeFill="background1"/>
            <w:noWrap/>
            <w:vAlign w:val="center"/>
            <w:hideMark/>
          </w:tcPr>
          <w:p w:rsidR="00D14697" w:rsidRPr="002F17B5" w:rsidRDefault="00D14697" w:rsidP="00DC5228">
            <w:pPr>
              <w:jc w:val="right"/>
            </w:pPr>
            <w:r w:rsidRPr="002F17B5">
              <w:t>(</w:t>
            </w:r>
            <w:r w:rsidR="00DC5228">
              <w:t>71.5</w:t>
            </w:r>
            <w:r w:rsidRPr="002F17B5">
              <w:t>)</w:t>
            </w:r>
          </w:p>
        </w:tc>
        <w:tc>
          <w:tcPr>
            <w:tcW w:w="2126" w:type="dxa"/>
            <w:gridSpan w:val="2"/>
            <w:tcBorders>
              <w:top w:val="single" w:sz="4" w:space="0" w:color="auto"/>
            </w:tcBorders>
            <w:shd w:val="clear" w:color="auto" w:fill="FFFFFF" w:themeFill="background1"/>
            <w:noWrap/>
            <w:vAlign w:val="center"/>
            <w:hideMark/>
          </w:tcPr>
          <w:p w:rsidR="00D14697" w:rsidRPr="002F17B5" w:rsidRDefault="00D14697" w:rsidP="00DC5228">
            <w:pPr>
              <w:jc w:val="right"/>
            </w:pPr>
            <w:r w:rsidRPr="002F17B5">
              <w:t>(</w:t>
            </w:r>
            <w:r w:rsidR="00DC5228">
              <w:t>689.8</w:t>
            </w:r>
            <w:r w:rsidRPr="002F17B5">
              <w:t>)</w:t>
            </w:r>
          </w:p>
        </w:tc>
        <w:tc>
          <w:tcPr>
            <w:tcW w:w="1120" w:type="dxa"/>
            <w:tcBorders>
              <w:top w:val="single" w:sz="4" w:space="0" w:color="auto"/>
            </w:tcBorders>
            <w:shd w:val="clear" w:color="auto" w:fill="FFFFFF" w:themeFill="background1"/>
            <w:noWrap/>
            <w:vAlign w:val="center"/>
            <w:hideMark/>
          </w:tcPr>
          <w:p w:rsidR="00D14697" w:rsidRPr="002F17B5" w:rsidRDefault="00D14697" w:rsidP="00DC5228">
            <w:pPr>
              <w:jc w:val="right"/>
            </w:pPr>
            <w:r>
              <w:t>(761.</w:t>
            </w:r>
            <w:r w:rsidR="00DC5228">
              <w:t>3</w:t>
            </w:r>
            <w:r w:rsidRPr="002F17B5">
              <w:t>)</w:t>
            </w:r>
          </w:p>
        </w:tc>
      </w:tr>
      <w:tr w:rsidR="00D14697" w:rsidRPr="002F17B5" w:rsidTr="00D14697">
        <w:trPr>
          <w:trHeight w:val="315"/>
          <w:jc w:val="center"/>
        </w:trPr>
        <w:tc>
          <w:tcPr>
            <w:tcW w:w="5250" w:type="dxa"/>
            <w:shd w:val="clear" w:color="auto" w:fill="FFFFFF" w:themeFill="background1"/>
            <w:noWrap/>
            <w:vAlign w:val="center"/>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 xml:space="preserve">Final budgeted distribution for </w:t>
            </w:r>
            <w:r>
              <w:rPr>
                <w:rFonts w:eastAsia="Times New Roman" w:cs="Arial"/>
                <w:lang w:eastAsia="en-GB"/>
              </w:rPr>
              <w:t>2012/13</w:t>
            </w:r>
          </w:p>
        </w:tc>
        <w:tc>
          <w:tcPr>
            <w:tcW w:w="1701" w:type="dxa"/>
            <w:tcBorders>
              <w:top w:val="single" w:sz="4" w:space="0" w:color="auto"/>
              <w:bottom w:val="single" w:sz="4" w:space="0" w:color="auto"/>
            </w:tcBorders>
            <w:shd w:val="clear" w:color="auto" w:fill="FFFFFF" w:themeFill="background1"/>
            <w:noWrap/>
            <w:vAlign w:val="center"/>
            <w:hideMark/>
          </w:tcPr>
          <w:p w:rsidR="00D14697" w:rsidRPr="002F17B5" w:rsidRDefault="00D14697" w:rsidP="00DC5228">
            <w:pPr>
              <w:jc w:val="right"/>
            </w:pPr>
            <w:r w:rsidRPr="002F17B5">
              <w:t>(</w:t>
            </w:r>
            <w:r w:rsidR="00DC5228">
              <w:t>71.5</w:t>
            </w:r>
            <w:r w:rsidRPr="002F17B5">
              <w:t>)</w:t>
            </w:r>
          </w:p>
        </w:tc>
        <w:tc>
          <w:tcPr>
            <w:tcW w:w="2126" w:type="dxa"/>
            <w:gridSpan w:val="2"/>
            <w:tcBorders>
              <w:top w:val="single" w:sz="4" w:space="0" w:color="auto"/>
              <w:bottom w:val="single" w:sz="4" w:space="0" w:color="auto"/>
            </w:tcBorders>
            <w:shd w:val="clear" w:color="auto" w:fill="FFFFFF" w:themeFill="background1"/>
            <w:noWrap/>
            <w:vAlign w:val="center"/>
            <w:hideMark/>
          </w:tcPr>
          <w:p w:rsidR="00D14697" w:rsidRPr="002F17B5" w:rsidRDefault="00D14697" w:rsidP="00DC5228">
            <w:pPr>
              <w:jc w:val="right"/>
            </w:pPr>
            <w:r w:rsidRPr="002F17B5">
              <w:t>(</w:t>
            </w:r>
            <w:r w:rsidR="00DC5228">
              <w:t>689.8</w:t>
            </w:r>
            <w:r w:rsidRPr="002F17B5">
              <w:t>)</w:t>
            </w:r>
          </w:p>
        </w:tc>
        <w:tc>
          <w:tcPr>
            <w:tcW w:w="1120" w:type="dxa"/>
            <w:tcBorders>
              <w:top w:val="single" w:sz="4" w:space="0" w:color="auto"/>
              <w:bottom w:val="single" w:sz="4" w:space="0" w:color="auto"/>
            </w:tcBorders>
            <w:shd w:val="clear" w:color="auto" w:fill="FFFFFF" w:themeFill="background1"/>
            <w:noWrap/>
            <w:vAlign w:val="center"/>
            <w:hideMark/>
          </w:tcPr>
          <w:p w:rsidR="00D14697" w:rsidRPr="002F17B5" w:rsidRDefault="00D14697" w:rsidP="00DC5228">
            <w:pPr>
              <w:jc w:val="right"/>
            </w:pPr>
            <w:r>
              <w:t>(761.</w:t>
            </w:r>
            <w:r w:rsidR="00DC5228">
              <w:t>3</w:t>
            </w:r>
            <w:r w:rsidRPr="002F17B5">
              <w:t>)</w:t>
            </w:r>
          </w:p>
        </w:tc>
      </w:tr>
      <w:tr w:rsidR="00D14697" w:rsidRPr="002F17B5" w:rsidTr="00D14697">
        <w:trPr>
          <w:trHeight w:val="300"/>
          <w:jc w:val="center"/>
        </w:trPr>
        <w:tc>
          <w:tcPr>
            <w:tcW w:w="5250" w:type="dxa"/>
            <w:shd w:val="clear" w:color="auto" w:fill="FFFFFF" w:themeFill="background1"/>
            <w:noWrap/>
            <w:vAlign w:val="center"/>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Less actual central expenditure</w:t>
            </w:r>
          </w:p>
        </w:tc>
        <w:tc>
          <w:tcPr>
            <w:tcW w:w="1701" w:type="dxa"/>
            <w:tcBorders>
              <w:top w:val="single" w:sz="4" w:space="0" w:color="auto"/>
            </w:tcBorders>
            <w:shd w:val="clear" w:color="auto" w:fill="FFFFFF" w:themeFill="background1"/>
            <w:noWrap/>
            <w:vAlign w:val="center"/>
            <w:hideMark/>
          </w:tcPr>
          <w:p w:rsidR="00D14697" w:rsidRPr="002F17B5" w:rsidRDefault="00DC5228" w:rsidP="00DC5228">
            <w:pPr>
              <w:jc w:val="right"/>
            </w:pPr>
            <w:r>
              <w:t>53.0</w:t>
            </w:r>
          </w:p>
        </w:tc>
        <w:tc>
          <w:tcPr>
            <w:tcW w:w="2126" w:type="dxa"/>
            <w:gridSpan w:val="2"/>
            <w:tcBorders>
              <w:top w:val="single" w:sz="4" w:space="0" w:color="auto"/>
            </w:tcBorders>
            <w:shd w:val="clear" w:color="auto" w:fill="FFFFFF" w:themeFill="background1"/>
            <w:noWrap/>
            <w:vAlign w:val="center"/>
            <w:hideMark/>
          </w:tcPr>
          <w:p w:rsidR="00D14697" w:rsidRPr="002F17B5" w:rsidRDefault="00D14697" w:rsidP="00D14697">
            <w:pPr>
              <w:jc w:val="right"/>
            </w:pPr>
            <w:r w:rsidRPr="002F17B5">
              <w:t xml:space="preserve">               -</w:t>
            </w:r>
          </w:p>
        </w:tc>
        <w:tc>
          <w:tcPr>
            <w:tcW w:w="1120" w:type="dxa"/>
            <w:tcBorders>
              <w:top w:val="single" w:sz="4" w:space="0" w:color="auto"/>
            </w:tcBorders>
            <w:shd w:val="clear" w:color="auto" w:fill="FFFFFF" w:themeFill="background1"/>
            <w:noWrap/>
            <w:vAlign w:val="center"/>
            <w:hideMark/>
          </w:tcPr>
          <w:p w:rsidR="00D14697" w:rsidRPr="002F17B5" w:rsidRDefault="00DC5228" w:rsidP="00DC5228">
            <w:pPr>
              <w:jc w:val="right"/>
            </w:pPr>
            <w:r>
              <w:t>53.0</w:t>
            </w:r>
          </w:p>
        </w:tc>
      </w:tr>
      <w:tr w:rsidR="00D14697" w:rsidRPr="002F17B5" w:rsidTr="00D14697">
        <w:trPr>
          <w:trHeight w:val="315"/>
          <w:jc w:val="center"/>
        </w:trPr>
        <w:tc>
          <w:tcPr>
            <w:tcW w:w="5250" w:type="dxa"/>
            <w:shd w:val="clear" w:color="auto" w:fill="FFFFFF" w:themeFill="background1"/>
            <w:noWrap/>
            <w:vAlign w:val="center"/>
            <w:hideMark/>
          </w:tcPr>
          <w:p w:rsidR="00D14697" w:rsidRPr="002F17B5" w:rsidRDefault="00D14697" w:rsidP="00D14697">
            <w:pPr>
              <w:autoSpaceDE/>
              <w:autoSpaceDN/>
              <w:adjustRightInd/>
              <w:spacing w:before="0" w:after="0"/>
              <w:jc w:val="left"/>
              <w:rPr>
                <w:rFonts w:eastAsia="Times New Roman" w:cs="Arial"/>
                <w:lang w:eastAsia="en-GB"/>
              </w:rPr>
            </w:pPr>
            <w:r w:rsidRPr="002F17B5">
              <w:rPr>
                <w:rFonts w:eastAsia="Times New Roman" w:cs="Arial"/>
                <w:lang w:eastAsia="en-GB"/>
              </w:rPr>
              <w:t>Less actual ISB deployed to schools</w:t>
            </w:r>
          </w:p>
        </w:tc>
        <w:tc>
          <w:tcPr>
            <w:tcW w:w="1701" w:type="dxa"/>
            <w:tcBorders>
              <w:bottom w:val="single" w:sz="4" w:space="0" w:color="auto"/>
            </w:tcBorders>
            <w:shd w:val="clear" w:color="auto" w:fill="FFFFFF" w:themeFill="background1"/>
            <w:noWrap/>
            <w:vAlign w:val="center"/>
            <w:hideMark/>
          </w:tcPr>
          <w:p w:rsidR="00D14697" w:rsidRPr="002F17B5" w:rsidRDefault="00D14697" w:rsidP="00D14697">
            <w:pPr>
              <w:jc w:val="right"/>
            </w:pPr>
            <w:r w:rsidRPr="002F17B5">
              <w:t xml:space="preserve">          -</w:t>
            </w:r>
          </w:p>
        </w:tc>
        <w:tc>
          <w:tcPr>
            <w:tcW w:w="2126" w:type="dxa"/>
            <w:gridSpan w:val="2"/>
            <w:tcBorders>
              <w:bottom w:val="single" w:sz="4" w:space="0" w:color="auto"/>
            </w:tcBorders>
            <w:shd w:val="clear" w:color="auto" w:fill="FFFFFF" w:themeFill="background1"/>
            <w:noWrap/>
            <w:vAlign w:val="center"/>
            <w:hideMark/>
          </w:tcPr>
          <w:p w:rsidR="00D14697" w:rsidRPr="002F17B5" w:rsidRDefault="00DC5228" w:rsidP="00DC5228">
            <w:pPr>
              <w:jc w:val="right"/>
            </w:pPr>
            <w:r>
              <w:t>689.8</w:t>
            </w:r>
          </w:p>
        </w:tc>
        <w:tc>
          <w:tcPr>
            <w:tcW w:w="1120" w:type="dxa"/>
            <w:tcBorders>
              <w:bottom w:val="single" w:sz="4" w:space="0" w:color="auto"/>
            </w:tcBorders>
            <w:shd w:val="clear" w:color="auto" w:fill="FFFFFF" w:themeFill="background1"/>
            <w:noWrap/>
            <w:vAlign w:val="center"/>
            <w:hideMark/>
          </w:tcPr>
          <w:p w:rsidR="00D14697" w:rsidRPr="002F17B5" w:rsidRDefault="00DC5228" w:rsidP="00DC5228">
            <w:pPr>
              <w:jc w:val="right"/>
            </w:pPr>
            <w:r>
              <w:t>689.8</w:t>
            </w:r>
          </w:p>
        </w:tc>
      </w:tr>
      <w:tr w:rsidR="00D14697" w:rsidRPr="002F17B5" w:rsidTr="00D14697">
        <w:trPr>
          <w:trHeight w:val="535"/>
          <w:jc w:val="center"/>
        </w:trPr>
        <w:tc>
          <w:tcPr>
            <w:tcW w:w="5250" w:type="dxa"/>
            <w:shd w:val="clear" w:color="auto" w:fill="FFFFFF" w:themeFill="background1"/>
            <w:noWrap/>
            <w:vAlign w:val="center"/>
            <w:hideMark/>
          </w:tcPr>
          <w:p w:rsidR="00D14697" w:rsidRPr="002F17B5" w:rsidRDefault="00D14697" w:rsidP="00D14697">
            <w:pPr>
              <w:autoSpaceDE/>
              <w:autoSpaceDN/>
              <w:adjustRightInd/>
              <w:spacing w:before="0" w:after="0"/>
              <w:jc w:val="left"/>
              <w:rPr>
                <w:rFonts w:eastAsia="Times New Roman" w:cs="Arial"/>
                <w:b/>
                <w:lang w:eastAsia="en-GB"/>
              </w:rPr>
            </w:pPr>
            <w:r w:rsidRPr="002F17B5">
              <w:rPr>
                <w:rFonts w:eastAsia="Times New Roman" w:cs="Arial"/>
                <w:b/>
                <w:lang w:eastAsia="en-GB"/>
              </w:rPr>
              <w:t>Carry forward to 2013/14</w:t>
            </w:r>
          </w:p>
        </w:tc>
        <w:tc>
          <w:tcPr>
            <w:tcW w:w="1701" w:type="dxa"/>
            <w:tcBorders>
              <w:top w:val="single" w:sz="4" w:space="0" w:color="auto"/>
            </w:tcBorders>
            <w:shd w:val="clear" w:color="auto" w:fill="FFFFFF" w:themeFill="background1"/>
            <w:noWrap/>
            <w:vAlign w:val="center"/>
            <w:hideMark/>
          </w:tcPr>
          <w:p w:rsidR="00D14697" w:rsidRPr="002F17B5" w:rsidRDefault="00D14697" w:rsidP="00D14697">
            <w:pPr>
              <w:jc w:val="right"/>
              <w:rPr>
                <w:b/>
              </w:rPr>
            </w:pPr>
            <w:r>
              <w:rPr>
                <w:b/>
              </w:rPr>
              <w:t>(18.5</w:t>
            </w:r>
            <w:r w:rsidRPr="002F17B5">
              <w:rPr>
                <w:b/>
              </w:rPr>
              <w:t>)</w:t>
            </w:r>
          </w:p>
        </w:tc>
        <w:tc>
          <w:tcPr>
            <w:tcW w:w="2126" w:type="dxa"/>
            <w:gridSpan w:val="2"/>
            <w:tcBorders>
              <w:top w:val="single" w:sz="4" w:space="0" w:color="auto"/>
            </w:tcBorders>
            <w:shd w:val="clear" w:color="auto" w:fill="FFFFFF" w:themeFill="background1"/>
            <w:noWrap/>
            <w:vAlign w:val="center"/>
            <w:hideMark/>
          </w:tcPr>
          <w:p w:rsidR="00D14697" w:rsidRPr="002F17B5" w:rsidRDefault="00D14697" w:rsidP="00D14697">
            <w:pPr>
              <w:jc w:val="right"/>
              <w:rPr>
                <w:b/>
              </w:rPr>
            </w:pPr>
            <w:r w:rsidRPr="002F17B5">
              <w:rPr>
                <w:b/>
              </w:rPr>
              <w:t xml:space="preserve">               -</w:t>
            </w:r>
          </w:p>
        </w:tc>
        <w:tc>
          <w:tcPr>
            <w:tcW w:w="1120" w:type="dxa"/>
            <w:tcBorders>
              <w:top w:val="single" w:sz="4" w:space="0" w:color="auto"/>
            </w:tcBorders>
            <w:shd w:val="clear" w:color="auto" w:fill="FFFFFF" w:themeFill="background1"/>
            <w:noWrap/>
            <w:vAlign w:val="center"/>
            <w:hideMark/>
          </w:tcPr>
          <w:p w:rsidR="00D14697" w:rsidRPr="002F17B5" w:rsidRDefault="00D14697" w:rsidP="00D14697">
            <w:pPr>
              <w:jc w:val="right"/>
              <w:rPr>
                <w:b/>
              </w:rPr>
            </w:pPr>
            <w:r>
              <w:rPr>
                <w:b/>
              </w:rPr>
              <w:t>(18.5</w:t>
            </w:r>
            <w:r w:rsidRPr="002F17B5">
              <w:rPr>
                <w:b/>
              </w:rPr>
              <w:t>)</w:t>
            </w:r>
          </w:p>
        </w:tc>
      </w:tr>
    </w:tbl>
    <w:p w:rsidR="00D14697" w:rsidRDefault="00D14697" w:rsidP="007177E8">
      <w:pPr>
        <w:pStyle w:val="BodyText10"/>
        <w:ind w:left="113" w:right="260"/>
      </w:pPr>
    </w:p>
    <w:p w:rsidR="00E02831" w:rsidRPr="002F17B5" w:rsidRDefault="00AF48DD" w:rsidP="007177E8">
      <w:pPr>
        <w:pStyle w:val="BodyText10"/>
        <w:ind w:left="113" w:right="260"/>
      </w:pPr>
      <w:r w:rsidRPr="002F17B5">
        <w:lastRenderedPageBreak/>
        <w:t>NB: The Individual Schools Budget, and spending by schools, is funded by sources other than Dedicated Schools Grant</w:t>
      </w:r>
      <w:r w:rsidR="00FD4939" w:rsidRPr="002F17B5">
        <w:t>,</w:t>
      </w:r>
      <w:r w:rsidRPr="002F17B5">
        <w:t xml:space="preserve"> as set out </w:t>
      </w:r>
      <w:r w:rsidR="007B7242" w:rsidRPr="002F17B5">
        <w:t>below</w:t>
      </w:r>
      <w:r w:rsidR="00FD4939" w:rsidRPr="002F17B5">
        <w:t>:</w:t>
      </w:r>
    </w:p>
    <w:tbl>
      <w:tblPr>
        <w:tblW w:w="9991" w:type="dxa"/>
        <w:tblInd w:w="250" w:type="dxa"/>
        <w:tblLook w:val="04A0" w:firstRow="1" w:lastRow="0" w:firstColumn="1" w:lastColumn="0" w:noHBand="0" w:noVBand="1"/>
      </w:tblPr>
      <w:tblGrid>
        <w:gridCol w:w="5777"/>
        <w:gridCol w:w="1873"/>
        <w:gridCol w:w="2341"/>
      </w:tblGrid>
      <w:tr w:rsidR="007177E8" w:rsidRPr="002F17B5" w:rsidTr="007177E8">
        <w:trPr>
          <w:trHeight w:val="300"/>
        </w:trPr>
        <w:tc>
          <w:tcPr>
            <w:tcW w:w="5777" w:type="dxa"/>
            <w:shd w:val="clear" w:color="auto" w:fill="FFFFFF" w:themeFill="background1"/>
            <w:vAlign w:val="bottom"/>
            <w:hideMark/>
          </w:tcPr>
          <w:p w:rsidR="007177E8" w:rsidRPr="002F17B5" w:rsidRDefault="007177E8" w:rsidP="007177E8">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873" w:type="dxa"/>
            <w:shd w:val="clear" w:color="auto" w:fill="FFFFFF" w:themeFill="background1"/>
            <w:vAlign w:val="bottom"/>
            <w:hideMark/>
          </w:tcPr>
          <w:p w:rsidR="007177E8" w:rsidRPr="002F17B5" w:rsidRDefault="007177E8" w:rsidP="007177E8">
            <w:pPr>
              <w:autoSpaceDE/>
              <w:autoSpaceDN/>
              <w:adjustRightInd/>
              <w:spacing w:before="0" w:after="0"/>
              <w:jc w:val="right"/>
              <w:rPr>
                <w:rFonts w:eastAsia="Times New Roman" w:cs="Arial"/>
                <w:b/>
                <w:bCs/>
                <w:lang w:eastAsia="en-GB"/>
              </w:rPr>
            </w:pPr>
            <w:r w:rsidRPr="002F17B5">
              <w:rPr>
                <w:rFonts w:eastAsia="Times New Roman" w:cs="Arial"/>
                <w:b/>
                <w:bCs/>
                <w:lang w:eastAsia="en-GB"/>
              </w:rPr>
              <w:t>2013/14</w:t>
            </w:r>
          </w:p>
        </w:tc>
        <w:tc>
          <w:tcPr>
            <w:tcW w:w="2341" w:type="dxa"/>
            <w:shd w:val="clear" w:color="auto" w:fill="FFFFFF" w:themeFill="background1"/>
            <w:noWrap/>
            <w:vAlign w:val="bottom"/>
            <w:hideMark/>
          </w:tcPr>
          <w:p w:rsidR="007177E8" w:rsidRPr="002F17B5" w:rsidRDefault="007177E8" w:rsidP="007177E8">
            <w:pPr>
              <w:autoSpaceDE/>
              <w:autoSpaceDN/>
              <w:adjustRightInd/>
              <w:spacing w:before="0" w:after="0"/>
              <w:jc w:val="right"/>
              <w:rPr>
                <w:rFonts w:eastAsia="Times New Roman" w:cs="Arial"/>
                <w:b/>
                <w:bCs/>
                <w:lang w:eastAsia="en-GB"/>
              </w:rPr>
            </w:pPr>
            <w:r w:rsidRPr="002F17B5">
              <w:rPr>
                <w:rFonts w:eastAsia="Times New Roman" w:cs="Arial"/>
                <w:b/>
                <w:bCs/>
                <w:lang w:eastAsia="en-GB"/>
              </w:rPr>
              <w:t xml:space="preserve">2012/13 </w:t>
            </w:r>
          </w:p>
        </w:tc>
      </w:tr>
      <w:tr w:rsidR="007177E8" w:rsidRPr="002F17B5" w:rsidTr="007177E8">
        <w:trPr>
          <w:trHeight w:val="300"/>
        </w:trPr>
        <w:tc>
          <w:tcPr>
            <w:tcW w:w="5777" w:type="dxa"/>
            <w:shd w:val="clear" w:color="auto" w:fill="FFFFFF" w:themeFill="background1"/>
            <w:vAlign w:val="bottom"/>
            <w:hideMark/>
          </w:tcPr>
          <w:p w:rsidR="007177E8" w:rsidRPr="002F17B5" w:rsidRDefault="007177E8" w:rsidP="007177E8">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873" w:type="dxa"/>
            <w:shd w:val="clear" w:color="auto" w:fill="FFFFFF" w:themeFill="background1"/>
            <w:vAlign w:val="bottom"/>
            <w:hideMark/>
          </w:tcPr>
          <w:p w:rsidR="007177E8" w:rsidRPr="002F17B5" w:rsidRDefault="007177E8" w:rsidP="007177E8">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2341" w:type="dxa"/>
            <w:shd w:val="clear" w:color="auto" w:fill="FFFFFF" w:themeFill="background1"/>
            <w:noWrap/>
            <w:vAlign w:val="bottom"/>
            <w:hideMark/>
          </w:tcPr>
          <w:p w:rsidR="007177E8" w:rsidRPr="002F17B5" w:rsidRDefault="007177E8" w:rsidP="007177E8">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r>
      <w:tr w:rsidR="007177E8" w:rsidRPr="002F17B5" w:rsidTr="007177E8">
        <w:trPr>
          <w:trHeight w:val="300"/>
        </w:trPr>
        <w:tc>
          <w:tcPr>
            <w:tcW w:w="5777" w:type="dxa"/>
            <w:shd w:val="clear" w:color="auto" w:fill="FFFFFF" w:themeFill="background1"/>
            <w:vAlign w:val="bottom"/>
            <w:hideMark/>
          </w:tcPr>
          <w:p w:rsidR="007177E8" w:rsidRPr="002F17B5" w:rsidRDefault="007177E8" w:rsidP="008E55A4">
            <w:pPr>
              <w:autoSpaceDE/>
              <w:autoSpaceDN/>
              <w:adjustRightInd/>
              <w:spacing w:before="0" w:after="40"/>
              <w:jc w:val="left"/>
              <w:rPr>
                <w:rFonts w:eastAsia="Times New Roman" w:cs="Arial"/>
                <w:lang w:eastAsia="en-GB"/>
              </w:rPr>
            </w:pPr>
            <w:r w:rsidRPr="002F17B5">
              <w:rPr>
                <w:rFonts w:eastAsia="Times New Roman" w:cs="Arial"/>
                <w:lang w:eastAsia="en-GB"/>
              </w:rPr>
              <w:t>Dedicated Schools Grant</w:t>
            </w:r>
          </w:p>
        </w:tc>
        <w:tc>
          <w:tcPr>
            <w:tcW w:w="1873" w:type="dxa"/>
            <w:shd w:val="clear" w:color="auto" w:fill="FFFFFF" w:themeFill="background1"/>
            <w:vAlign w:val="bottom"/>
            <w:hideMark/>
          </w:tcPr>
          <w:p w:rsidR="007177E8" w:rsidRPr="002F17B5" w:rsidRDefault="007177E8" w:rsidP="008E55A4">
            <w:pPr>
              <w:spacing w:after="40"/>
              <w:jc w:val="right"/>
            </w:pPr>
            <w:r w:rsidRPr="002F17B5">
              <w:t>(711.2)</w:t>
            </w:r>
          </w:p>
        </w:tc>
        <w:tc>
          <w:tcPr>
            <w:tcW w:w="2341" w:type="dxa"/>
            <w:shd w:val="clear" w:color="auto" w:fill="FFFFFF" w:themeFill="background1"/>
            <w:noWrap/>
            <w:vAlign w:val="bottom"/>
            <w:hideMark/>
          </w:tcPr>
          <w:p w:rsidR="007177E8" w:rsidRPr="002F17B5" w:rsidRDefault="007177E8" w:rsidP="008E55A4">
            <w:pPr>
              <w:spacing w:after="40"/>
              <w:jc w:val="right"/>
            </w:pPr>
            <w:r w:rsidRPr="002F17B5">
              <w:t>(689.8)</w:t>
            </w:r>
          </w:p>
        </w:tc>
      </w:tr>
      <w:tr w:rsidR="007177E8" w:rsidRPr="002F17B5" w:rsidTr="007177E8">
        <w:trPr>
          <w:trHeight w:val="300"/>
        </w:trPr>
        <w:tc>
          <w:tcPr>
            <w:tcW w:w="5777" w:type="dxa"/>
            <w:shd w:val="clear" w:color="auto" w:fill="FFFFFF" w:themeFill="background1"/>
            <w:vAlign w:val="bottom"/>
            <w:hideMark/>
          </w:tcPr>
          <w:p w:rsidR="007177E8" w:rsidRPr="002F17B5" w:rsidRDefault="007177E8" w:rsidP="008E55A4">
            <w:pPr>
              <w:autoSpaceDE/>
              <w:autoSpaceDN/>
              <w:adjustRightInd/>
              <w:spacing w:before="0" w:after="40"/>
              <w:jc w:val="left"/>
              <w:rPr>
                <w:rFonts w:eastAsia="Times New Roman" w:cs="Arial"/>
                <w:lang w:eastAsia="en-GB"/>
              </w:rPr>
            </w:pPr>
            <w:r w:rsidRPr="002F17B5">
              <w:rPr>
                <w:rFonts w:eastAsia="Times New Roman" w:cs="Arial"/>
                <w:lang w:eastAsia="en-GB"/>
              </w:rPr>
              <w:t>Education Funding Agency</w:t>
            </w:r>
          </w:p>
        </w:tc>
        <w:tc>
          <w:tcPr>
            <w:tcW w:w="1873" w:type="dxa"/>
            <w:shd w:val="clear" w:color="auto" w:fill="FFFFFF" w:themeFill="background1"/>
            <w:vAlign w:val="bottom"/>
            <w:hideMark/>
          </w:tcPr>
          <w:p w:rsidR="007177E8" w:rsidRPr="002F17B5" w:rsidRDefault="007177E8" w:rsidP="008E55A4">
            <w:pPr>
              <w:spacing w:after="40"/>
              <w:jc w:val="right"/>
            </w:pPr>
            <w:r w:rsidRPr="002F17B5">
              <w:t>(16.0)</w:t>
            </w:r>
          </w:p>
        </w:tc>
        <w:tc>
          <w:tcPr>
            <w:tcW w:w="2341" w:type="dxa"/>
            <w:shd w:val="clear" w:color="auto" w:fill="FFFFFF" w:themeFill="background1"/>
            <w:noWrap/>
            <w:vAlign w:val="bottom"/>
            <w:hideMark/>
          </w:tcPr>
          <w:p w:rsidR="007177E8" w:rsidRPr="002F17B5" w:rsidRDefault="007177E8" w:rsidP="008E55A4">
            <w:pPr>
              <w:spacing w:after="40"/>
              <w:jc w:val="right"/>
            </w:pPr>
            <w:r w:rsidRPr="002F17B5">
              <w:t>(17.9)</w:t>
            </w:r>
          </w:p>
        </w:tc>
      </w:tr>
      <w:tr w:rsidR="007177E8" w:rsidRPr="002F17B5" w:rsidTr="007177E8">
        <w:trPr>
          <w:trHeight w:val="300"/>
        </w:trPr>
        <w:tc>
          <w:tcPr>
            <w:tcW w:w="5777" w:type="dxa"/>
            <w:shd w:val="clear" w:color="auto" w:fill="FFFFFF" w:themeFill="background1"/>
            <w:vAlign w:val="bottom"/>
            <w:hideMark/>
          </w:tcPr>
          <w:p w:rsidR="007177E8" w:rsidRPr="002F17B5" w:rsidRDefault="007177E8" w:rsidP="008E55A4">
            <w:pPr>
              <w:autoSpaceDE/>
              <w:autoSpaceDN/>
              <w:adjustRightInd/>
              <w:spacing w:before="0" w:after="40"/>
              <w:jc w:val="left"/>
              <w:rPr>
                <w:rFonts w:eastAsia="Times New Roman" w:cs="Arial"/>
                <w:lang w:eastAsia="en-GB"/>
              </w:rPr>
            </w:pPr>
            <w:r w:rsidRPr="002F17B5">
              <w:rPr>
                <w:rFonts w:eastAsia="Times New Roman" w:cs="Arial"/>
                <w:lang w:eastAsia="en-GB"/>
              </w:rPr>
              <w:t>Pupil Premium Grant</w:t>
            </w:r>
          </w:p>
        </w:tc>
        <w:tc>
          <w:tcPr>
            <w:tcW w:w="1873" w:type="dxa"/>
            <w:shd w:val="clear" w:color="auto" w:fill="FFFFFF" w:themeFill="background1"/>
            <w:vAlign w:val="bottom"/>
            <w:hideMark/>
          </w:tcPr>
          <w:p w:rsidR="007177E8" w:rsidRPr="002F17B5" w:rsidRDefault="007177E8" w:rsidP="008E55A4">
            <w:pPr>
              <w:spacing w:after="40"/>
              <w:jc w:val="right"/>
            </w:pPr>
            <w:r w:rsidRPr="002F17B5">
              <w:t>(33.9)</w:t>
            </w:r>
          </w:p>
        </w:tc>
        <w:tc>
          <w:tcPr>
            <w:tcW w:w="2341" w:type="dxa"/>
            <w:shd w:val="clear" w:color="auto" w:fill="FFFFFF" w:themeFill="background1"/>
            <w:noWrap/>
            <w:vAlign w:val="bottom"/>
            <w:hideMark/>
          </w:tcPr>
          <w:p w:rsidR="007177E8" w:rsidRPr="002F17B5" w:rsidRDefault="007177E8" w:rsidP="008E55A4">
            <w:pPr>
              <w:spacing w:after="40"/>
              <w:jc w:val="right"/>
            </w:pPr>
            <w:r w:rsidRPr="002F17B5">
              <w:t>(21.7)</w:t>
            </w:r>
          </w:p>
        </w:tc>
      </w:tr>
      <w:tr w:rsidR="007177E8" w:rsidRPr="002F17B5" w:rsidTr="007177E8">
        <w:trPr>
          <w:trHeight w:val="300"/>
        </w:trPr>
        <w:tc>
          <w:tcPr>
            <w:tcW w:w="5777" w:type="dxa"/>
            <w:shd w:val="clear" w:color="auto" w:fill="FFFFFF" w:themeFill="background1"/>
            <w:vAlign w:val="bottom"/>
            <w:hideMark/>
          </w:tcPr>
          <w:p w:rsidR="007177E8" w:rsidRPr="002F17B5" w:rsidRDefault="007177E8" w:rsidP="008E55A4">
            <w:pPr>
              <w:autoSpaceDE/>
              <w:autoSpaceDN/>
              <w:adjustRightInd/>
              <w:spacing w:before="0" w:after="40"/>
              <w:jc w:val="left"/>
              <w:rPr>
                <w:rFonts w:eastAsia="Times New Roman" w:cs="Arial"/>
                <w:lang w:eastAsia="en-GB"/>
              </w:rPr>
            </w:pPr>
            <w:r w:rsidRPr="002F17B5">
              <w:rPr>
                <w:rFonts w:eastAsia="Times New Roman" w:cs="Arial"/>
                <w:lang w:eastAsia="en-GB"/>
              </w:rPr>
              <w:t xml:space="preserve">Allocations from Central Items (Contingency, Schools in Difficulty </w:t>
            </w:r>
            <w:proofErr w:type="spellStart"/>
            <w:r w:rsidRPr="002F17B5">
              <w:rPr>
                <w:rFonts w:eastAsia="Times New Roman" w:cs="Arial"/>
                <w:lang w:eastAsia="en-GB"/>
              </w:rPr>
              <w:t>etc</w:t>
            </w:r>
            <w:proofErr w:type="spellEnd"/>
            <w:r w:rsidRPr="002F17B5">
              <w:rPr>
                <w:rFonts w:eastAsia="Times New Roman" w:cs="Arial"/>
                <w:lang w:eastAsia="en-GB"/>
              </w:rPr>
              <w:t>)</w:t>
            </w:r>
          </w:p>
        </w:tc>
        <w:tc>
          <w:tcPr>
            <w:tcW w:w="1873" w:type="dxa"/>
            <w:tcBorders>
              <w:bottom w:val="single" w:sz="4" w:space="0" w:color="auto"/>
            </w:tcBorders>
            <w:shd w:val="clear" w:color="auto" w:fill="FFFFFF" w:themeFill="background1"/>
            <w:vAlign w:val="bottom"/>
            <w:hideMark/>
          </w:tcPr>
          <w:p w:rsidR="007177E8" w:rsidRPr="002F17B5" w:rsidRDefault="007177E8" w:rsidP="008E55A4">
            <w:pPr>
              <w:spacing w:before="100" w:beforeAutospacing="1" w:after="200"/>
              <w:jc w:val="right"/>
            </w:pPr>
            <w:r w:rsidRPr="002F17B5">
              <w:t>(2.0)</w:t>
            </w:r>
          </w:p>
        </w:tc>
        <w:tc>
          <w:tcPr>
            <w:tcW w:w="2341" w:type="dxa"/>
            <w:tcBorders>
              <w:bottom w:val="single" w:sz="4" w:space="0" w:color="auto"/>
            </w:tcBorders>
            <w:shd w:val="clear" w:color="auto" w:fill="FFFFFF" w:themeFill="background1"/>
            <w:noWrap/>
            <w:vAlign w:val="bottom"/>
            <w:hideMark/>
          </w:tcPr>
          <w:p w:rsidR="007177E8" w:rsidRPr="002F17B5" w:rsidRDefault="007177E8" w:rsidP="008E55A4">
            <w:pPr>
              <w:spacing w:before="100" w:beforeAutospacing="1" w:after="200"/>
              <w:jc w:val="right"/>
            </w:pPr>
            <w:r w:rsidRPr="002F17B5">
              <w:t>(3.3)</w:t>
            </w:r>
          </w:p>
        </w:tc>
      </w:tr>
      <w:tr w:rsidR="007177E8" w:rsidRPr="002F17B5" w:rsidTr="007177E8">
        <w:trPr>
          <w:trHeight w:val="300"/>
        </w:trPr>
        <w:tc>
          <w:tcPr>
            <w:tcW w:w="5777" w:type="dxa"/>
            <w:shd w:val="clear" w:color="auto" w:fill="FFFFFF" w:themeFill="background1"/>
            <w:vAlign w:val="bottom"/>
            <w:hideMark/>
          </w:tcPr>
          <w:p w:rsidR="007177E8" w:rsidRPr="002F17B5" w:rsidRDefault="007177E8" w:rsidP="008E55A4">
            <w:pPr>
              <w:autoSpaceDE/>
              <w:autoSpaceDN/>
              <w:adjustRightInd/>
              <w:spacing w:before="0" w:after="40"/>
              <w:jc w:val="left"/>
              <w:rPr>
                <w:rFonts w:eastAsia="Times New Roman" w:cs="Arial"/>
                <w:lang w:eastAsia="en-GB"/>
              </w:rPr>
            </w:pPr>
            <w:r w:rsidRPr="002F17B5">
              <w:rPr>
                <w:rFonts w:eastAsia="Times New Roman" w:cs="Arial"/>
                <w:lang w:eastAsia="en-GB"/>
              </w:rPr>
              <w:t> </w:t>
            </w:r>
          </w:p>
        </w:tc>
        <w:tc>
          <w:tcPr>
            <w:tcW w:w="1873" w:type="dxa"/>
            <w:tcBorders>
              <w:top w:val="single" w:sz="4" w:space="0" w:color="auto"/>
            </w:tcBorders>
            <w:shd w:val="clear" w:color="auto" w:fill="FFFFFF" w:themeFill="background1"/>
            <w:vAlign w:val="bottom"/>
            <w:hideMark/>
          </w:tcPr>
          <w:p w:rsidR="007177E8" w:rsidRPr="002F17B5" w:rsidRDefault="007177E8" w:rsidP="008E55A4">
            <w:pPr>
              <w:spacing w:after="40"/>
              <w:jc w:val="right"/>
            </w:pPr>
            <w:r w:rsidRPr="002F17B5">
              <w:t>(763.1)</w:t>
            </w:r>
          </w:p>
        </w:tc>
        <w:tc>
          <w:tcPr>
            <w:tcW w:w="2341" w:type="dxa"/>
            <w:tcBorders>
              <w:top w:val="single" w:sz="4" w:space="0" w:color="auto"/>
            </w:tcBorders>
            <w:shd w:val="clear" w:color="auto" w:fill="FFFFFF" w:themeFill="background1"/>
            <w:noWrap/>
            <w:vAlign w:val="bottom"/>
            <w:hideMark/>
          </w:tcPr>
          <w:p w:rsidR="007177E8" w:rsidRPr="002F17B5" w:rsidRDefault="007177E8" w:rsidP="008E55A4">
            <w:pPr>
              <w:spacing w:after="40"/>
              <w:jc w:val="right"/>
            </w:pPr>
            <w:r w:rsidRPr="002F17B5">
              <w:t>(732.7)</w:t>
            </w:r>
          </w:p>
        </w:tc>
      </w:tr>
      <w:tr w:rsidR="007177E8" w:rsidRPr="002F17B5" w:rsidTr="007177E8">
        <w:trPr>
          <w:trHeight w:val="300"/>
        </w:trPr>
        <w:tc>
          <w:tcPr>
            <w:tcW w:w="5777" w:type="dxa"/>
            <w:shd w:val="clear" w:color="auto" w:fill="FFFFFF" w:themeFill="background1"/>
            <w:vAlign w:val="bottom"/>
            <w:hideMark/>
          </w:tcPr>
          <w:p w:rsidR="007177E8" w:rsidRPr="002F17B5" w:rsidRDefault="007177E8" w:rsidP="008E55A4">
            <w:pPr>
              <w:autoSpaceDE/>
              <w:autoSpaceDN/>
              <w:adjustRightInd/>
              <w:spacing w:before="0" w:after="40"/>
              <w:jc w:val="left"/>
              <w:rPr>
                <w:rFonts w:eastAsia="Times New Roman" w:cs="Arial"/>
                <w:lang w:eastAsia="en-GB"/>
              </w:rPr>
            </w:pPr>
            <w:r w:rsidRPr="002F17B5">
              <w:rPr>
                <w:rFonts w:eastAsia="Times New Roman" w:cs="Arial"/>
                <w:lang w:eastAsia="en-GB"/>
              </w:rPr>
              <w:t>Less Individual Schools Budget total expenditure</w:t>
            </w:r>
          </w:p>
        </w:tc>
        <w:tc>
          <w:tcPr>
            <w:tcW w:w="1873" w:type="dxa"/>
            <w:tcBorders>
              <w:bottom w:val="single" w:sz="4" w:space="0" w:color="auto"/>
            </w:tcBorders>
            <w:shd w:val="clear" w:color="auto" w:fill="FFFFFF" w:themeFill="background1"/>
            <w:vAlign w:val="bottom"/>
            <w:hideMark/>
          </w:tcPr>
          <w:p w:rsidR="007177E8" w:rsidRPr="002F17B5" w:rsidRDefault="007177E8" w:rsidP="008E55A4">
            <w:pPr>
              <w:spacing w:after="40"/>
              <w:jc w:val="right"/>
            </w:pPr>
            <w:r w:rsidRPr="002F17B5">
              <w:t>758.7</w:t>
            </w:r>
          </w:p>
        </w:tc>
        <w:tc>
          <w:tcPr>
            <w:tcW w:w="2341" w:type="dxa"/>
            <w:tcBorders>
              <w:bottom w:val="single" w:sz="4" w:space="0" w:color="auto"/>
            </w:tcBorders>
            <w:shd w:val="clear" w:color="auto" w:fill="FFFFFF" w:themeFill="background1"/>
            <w:noWrap/>
            <w:vAlign w:val="bottom"/>
            <w:hideMark/>
          </w:tcPr>
          <w:p w:rsidR="007177E8" w:rsidRPr="002F17B5" w:rsidRDefault="007177E8" w:rsidP="008E55A4">
            <w:pPr>
              <w:spacing w:after="40"/>
              <w:jc w:val="right"/>
            </w:pPr>
            <w:r w:rsidRPr="002F17B5">
              <w:t>734.9</w:t>
            </w:r>
          </w:p>
        </w:tc>
      </w:tr>
      <w:tr w:rsidR="007177E8" w:rsidRPr="002F17B5" w:rsidTr="00630928">
        <w:trPr>
          <w:trHeight w:val="300"/>
        </w:trPr>
        <w:tc>
          <w:tcPr>
            <w:tcW w:w="5777" w:type="dxa"/>
            <w:shd w:val="clear" w:color="auto" w:fill="FFFFFF" w:themeFill="background1"/>
            <w:vAlign w:val="bottom"/>
            <w:hideMark/>
          </w:tcPr>
          <w:p w:rsidR="007177E8" w:rsidRPr="002F17B5" w:rsidRDefault="007177E8" w:rsidP="008E55A4">
            <w:pPr>
              <w:autoSpaceDE/>
              <w:autoSpaceDN/>
              <w:adjustRightInd/>
              <w:spacing w:before="0" w:after="40"/>
              <w:jc w:val="left"/>
              <w:rPr>
                <w:rFonts w:eastAsia="Times New Roman" w:cs="Arial"/>
                <w:lang w:eastAsia="en-GB"/>
              </w:rPr>
            </w:pPr>
            <w:r w:rsidRPr="002F17B5">
              <w:rPr>
                <w:rFonts w:eastAsia="Times New Roman" w:cs="Arial"/>
                <w:lang w:eastAsia="en-GB"/>
              </w:rPr>
              <w:t>Contributions to Individual School Balances</w:t>
            </w:r>
          </w:p>
        </w:tc>
        <w:tc>
          <w:tcPr>
            <w:tcW w:w="1873" w:type="dxa"/>
            <w:tcBorders>
              <w:top w:val="single" w:sz="4" w:space="0" w:color="auto"/>
              <w:bottom w:val="single" w:sz="4" w:space="0" w:color="auto"/>
            </w:tcBorders>
            <w:shd w:val="clear" w:color="auto" w:fill="FFFFFF" w:themeFill="background1"/>
            <w:vAlign w:val="bottom"/>
            <w:hideMark/>
          </w:tcPr>
          <w:p w:rsidR="007177E8" w:rsidRPr="002F17B5" w:rsidRDefault="007177E8" w:rsidP="008E55A4">
            <w:pPr>
              <w:spacing w:after="40"/>
              <w:jc w:val="right"/>
            </w:pPr>
            <w:r w:rsidRPr="002F17B5">
              <w:t>(4.4)</w:t>
            </w:r>
          </w:p>
        </w:tc>
        <w:tc>
          <w:tcPr>
            <w:tcW w:w="2341" w:type="dxa"/>
            <w:tcBorders>
              <w:top w:val="single" w:sz="4" w:space="0" w:color="auto"/>
              <w:bottom w:val="single" w:sz="4" w:space="0" w:color="auto"/>
            </w:tcBorders>
            <w:shd w:val="clear" w:color="auto" w:fill="FFFFFF" w:themeFill="background1"/>
            <w:noWrap/>
            <w:vAlign w:val="bottom"/>
            <w:hideMark/>
          </w:tcPr>
          <w:p w:rsidR="007177E8" w:rsidRPr="002F17B5" w:rsidRDefault="007177E8" w:rsidP="008E55A4">
            <w:pPr>
              <w:spacing w:after="40"/>
              <w:jc w:val="right"/>
            </w:pPr>
            <w:r w:rsidRPr="002F17B5">
              <w:t>2.2</w:t>
            </w:r>
          </w:p>
        </w:tc>
      </w:tr>
      <w:tr w:rsidR="003D606E" w:rsidRPr="002F17B5" w:rsidTr="007177E8">
        <w:trPr>
          <w:trHeight w:val="300"/>
        </w:trPr>
        <w:tc>
          <w:tcPr>
            <w:tcW w:w="5777" w:type="dxa"/>
            <w:shd w:val="clear" w:color="auto" w:fill="FFFFFF" w:themeFill="background1"/>
            <w:vAlign w:val="bottom"/>
          </w:tcPr>
          <w:p w:rsidR="003D606E" w:rsidRDefault="003D606E" w:rsidP="008E55A4">
            <w:pPr>
              <w:autoSpaceDE/>
              <w:autoSpaceDN/>
              <w:adjustRightInd/>
              <w:spacing w:before="0" w:after="40"/>
              <w:jc w:val="left"/>
              <w:rPr>
                <w:rFonts w:eastAsia="Times New Roman" w:cs="Arial"/>
                <w:lang w:eastAsia="en-GB"/>
              </w:rPr>
            </w:pPr>
          </w:p>
          <w:p w:rsidR="003D606E" w:rsidRPr="002F17B5" w:rsidRDefault="003D606E" w:rsidP="008E55A4">
            <w:pPr>
              <w:autoSpaceDE/>
              <w:autoSpaceDN/>
              <w:adjustRightInd/>
              <w:spacing w:before="0" w:after="40"/>
              <w:jc w:val="left"/>
              <w:rPr>
                <w:rFonts w:eastAsia="Times New Roman" w:cs="Arial"/>
                <w:lang w:eastAsia="en-GB"/>
              </w:rPr>
            </w:pPr>
          </w:p>
        </w:tc>
        <w:tc>
          <w:tcPr>
            <w:tcW w:w="1873" w:type="dxa"/>
            <w:tcBorders>
              <w:top w:val="single" w:sz="4" w:space="0" w:color="auto"/>
            </w:tcBorders>
            <w:shd w:val="clear" w:color="auto" w:fill="FFFFFF" w:themeFill="background1"/>
            <w:vAlign w:val="bottom"/>
          </w:tcPr>
          <w:p w:rsidR="003D606E" w:rsidRPr="002F17B5" w:rsidRDefault="003D606E" w:rsidP="008E55A4">
            <w:pPr>
              <w:spacing w:after="40"/>
              <w:jc w:val="right"/>
            </w:pPr>
          </w:p>
        </w:tc>
        <w:tc>
          <w:tcPr>
            <w:tcW w:w="2341" w:type="dxa"/>
            <w:tcBorders>
              <w:top w:val="single" w:sz="4" w:space="0" w:color="auto"/>
            </w:tcBorders>
            <w:shd w:val="clear" w:color="auto" w:fill="FFFFFF" w:themeFill="background1"/>
            <w:noWrap/>
            <w:vAlign w:val="bottom"/>
          </w:tcPr>
          <w:p w:rsidR="003D606E" w:rsidRPr="002F17B5" w:rsidRDefault="003D606E" w:rsidP="008E55A4">
            <w:pPr>
              <w:spacing w:after="40"/>
              <w:jc w:val="right"/>
            </w:pPr>
          </w:p>
        </w:tc>
      </w:tr>
    </w:tbl>
    <w:p w:rsidR="00AF48DD" w:rsidRPr="002F17B5" w:rsidRDefault="00286D86" w:rsidP="0021200B">
      <w:pPr>
        <w:pStyle w:val="Heading3-numbered"/>
        <w:ind w:hanging="502"/>
        <w:rPr>
          <w:i w:val="0"/>
          <w:sz w:val="26"/>
        </w:rPr>
      </w:pPr>
      <w:r w:rsidRPr="002F17B5">
        <w:rPr>
          <w:i w:val="0"/>
        </w:rPr>
        <w:t xml:space="preserve">  </w:t>
      </w:r>
      <w:r w:rsidR="00AF48DD" w:rsidRPr="002F17B5">
        <w:rPr>
          <w:i w:val="0"/>
          <w:sz w:val="26"/>
        </w:rPr>
        <w:t>Pooled budgets</w:t>
      </w:r>
    </w:p>
    <w:p w:rsidR="00B70B4B" w:rsidRPr="002F17B5" w:rsidRDefault="00B70B4B">
      <w:pPr>
        <w:pStyle w:val="Heading3-numbered"/>
        <w:numPr>
          <w:ilvl w:val="0"/>
          <w:numId w:val="0"/>
        </w:numPr>
        <w:ind w:left="360"/>
        <w:rPr>
          <w:i w:val="0"/>
          <w:sz w:val="2"/>
        </w:rPr>
      </w:pPr>
    </w:p>
    <w:p w:rsidR="00865623" w:rsidRPr="002F17B5" w:rsidRDefault="00865623" w:rsidP="00865623">
      <w:pPr>
        <w:pStyle w:val="BodyText10"/>
      </w:pPr>
      <w:r w:rsidRPr="002F17B5">
        <w:t>Councils and Clinical Commissioning Groups (CCG's) are allowed to pool funds for a particular service or initiative. We contribute to several pooled funds as described below:</w:t>
      </w:r>
    </w:p>
    <w:p w:rsidR="00EC68C6" w:rsidRPr="002F17B5" w:rsidRDefault="00EC68C6" w:rsidP="00AF48DD">
      <w:pPr>
        <w:pStyle w:val="BodyText10"/>
        <w:rPr>
          <w:sz w:val="8"/>
        </w:rPr>
      </w:pPr>
    </w:p>
    <w:p w:rsidR="00865623" w:rsidRPr="002F17B5" w:rsidRDefault="00865623" w:rsidP="00865623">
      <w:pPr>
        <w:pStyle w:val="BodyText10"/>
      </w:pPr>
      <w:r w:rsidRPr="002F17B5">
        <w:t xml:space="preserve">Three Pooled Funds exist: 1. East </w:t>
      </w:r>
      <w:proofErr w:type="spellStart"/>
      <w:r w:rsidRPr="002F17B5">
        <w:t>Lancs</w:t>
      </w:r>
      <w:proofErr w:type="spellEnd"/>
      <w:r w:rsidRPr="002F17B5">
        <w:t xml:space="preserve"> CCG with LCC. 2. Chorley South </w:t>
      </w:r>
      <w:proofErr w:type="spellStart"/>
      <w:r w:rsidRPr="002F17B5">
        <w:t>Ribble</w:t>
      </w:r>
      <w:proofErr w:type="spellEnd"/>
      <w:r w:rsidRPr="002F17B5">
        <w:t xml:space="preserve"> CCG, Preston CCG, and West </w:t>
      </w:r>
      <w:proofErr w:type="spellStart"/>
      <w:r w:rsidRPr="002F17B5">
        <w:t>Lancs</w:t>
      </w:r>
      <w:proofErr w:type="spellEnd"/>
      <w:r w:rsidRPr="002F17B5">
        <w:t xml:space="preserve"> CCG grouped together with LCC. 3. North </w:t>
      </w:r>
      <w:proofErr w:type="spellStart"/>
      <w:r w:rsidRPr="002F17B5">
        <w:t>Lancs</w:t>
      </w:r>
      <w:proofErr w:type="spellEnd"/>
      <w:r w:rsidRPr="002F17B5">
        <w:t xml:space="preserve"> CCG, Fylde &amp; Wyre CCG, Blackpool CCG and </w:t>
      </w:r>
      <w:proofErr w:type="spellStart"/>
      <w:r w:rsidRPr="002F17B5">
        <w:t>Gtr</w:t>
      </w:r>
      <w:proofErr w:type="spellEnd"/>
      <w:r w:rsidRPr="002F17B5">
        <w:t xml:space="preserve"> Preston CCG grouped together with LCC. All exist for the integrated commissioning of services for adults with learning disabilities.</w:t>
      </w:r>
    </w:p>
    <w:p w:rsidR="0018303B" w:rsidRPr="002F17B5" w:rsidRDefault="0018303B" w:rsidP="00AF48DD">
      <w:pPr>
        <w:pStyle w:val="BodyText10"/>
        <w:rPr>
          <w:sz w:val="2"/>
        </w:rPr>
      </w:pPr>
    </w:p>
    <w:tbl>
      <w:tblPr>
        <w:tblW w:w="9072" w:type="dxa"/>
        <w:tblInd w:w="250" w:type="dxa"/>
        <w:tblLook w:val="04A0" w:firstRow="1" w:lastRow="0" w:firstColumn="1" w:lastColumn="0" w:noHBand="0" w:noVBand="1"/>
      </w:tblPr>
      <w:tblGrid>
        <w:gridCol w:w="5245"/>
        <w:gridCol w:w="1701"/>
        <w:gridCol w:w="2126"/>
      </w:tblGrid>
      <w:tr w:rsidR="00A71B1E" w:rsidRPr="002F17B5" w:rsidTr="007B7242">
        <w:trPr>
          <w:trHeight w:val="315"/>
        </w:trPr>
        <w:tc>
          <w:tcPr>
            <w:tcW w:w="5245" w:type="dxa"/>
            <w:shd w:val="clear" w:color="auto" w:fill="FFFFFF" w:themeFill="background1"/>
            <w:noWrap/>
            <w:vAlign w:val="bottom"/>
            <w:hideMark/>
          </w:tcPr>
          <w:p w:rsidR="00A71B1E" w:rsidRPr="002F17B5" w:rsidRDefault="00A71B1E" w:rsidP="00A71B1E">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701" w:type="dxa"/>
            <w:shd w:val="clear" w:color="auto" w:fill="FFFFFF" w:themeFill="background1"/>
            <w:noWrap/>
            <w:vAlign w:val="bottom"/>
            <w:hideMark/>
          </w:tcPr>
          <w:p w:rsidR="00A71B1E" w:rsidRPr="002F17B5" w:rsidRDefault="00CD4CF3" w:rsidP="00A71B1E">
            <w:pPr>
              <w:autoSpaceDE/>
              <w:autoSpaceDN/>
              <w:adjustRightInd/>
              <w:spacing w:before="0" w:after="0"/>
              <w:jc w:val="right"/>
              <w:rPr>
                <w:rFonts w:eastAsia="Times New Roman" w:cs="Arial"/>
                <w:b/>
                <w:bCs/>
                <w:lang w:eastAsia="en-GB"/>
              </w:rPr>
            </w:pPr>
            <w:r w:rsidRPr="002F17B5">
              <w:rPr>
                <w:rFonts w:eastAsia="Times New Roman" w:cs="Arial"/>
                <w:b/>
                <w:bCs/>
                <w:lang w:eastAsia="en-GB"/>
              </w:rPr>
              <w:t>2013/14</w:t>
            </w:r>
          </w:p>
        </w:tc>
        <w:tc>
          <w:tcPr>
            <w:tcW w:w="2126" w:type="dxa"/>
            <w:shd w:val="clear" w:color="auto" w:fill="FFFFFF" w:themeFill="background1"/>
            <w:noWrap/>
            <w:vAlign w:val="bottom"/>
            <w:hideMark/>
          </w:tcPr>
          <w:p w:rsidR="00A71B1E" w:rsidRPr="002F17B5" w:rsidRDefault="00CD4CF3" w:rsidP="002E3873">
            <w:pPr>
              <w:autoSpaceDE/>
              <w:autoSpaceDN/>
              <w:adjustRightInd/>
              <w:spacing w:before="0" w:after="0"/>
              <w:jc w:val="right"/>
              <w:rPr>
                <w:rFonts w:eastAsia="Times New Roman" w:cs="Arial"/>
                <w:b/>
                <w:bCs/>
                <w:lang w:eastAsia="en-GB"/>
              </w:rPr>
            </w:pPr>
            <w:r w:rsidRPr="002F17B5">
              <w:rPr>
                <w:rFonts w:eastAsia="Times New Roman" w:cs="Arial"/>
                <w:b/>
                <w:bCs/>
                <w:lang w:eastAsia="en-GB"/>
              </w:rPr>
              <w:t>2012/13</w:t>
            </w:r>
          </w:p>
        </w:tc>
      </w:tr>
      <w:tr w:rsidR="00A71B1E" w:rsidRPr="002F17B5" w:rsidTr="007B7242">
        <w:trPr>
          <w:trHeight w:val="315"/>
        </w:trPr>
        <w:tc>
          <w:tcPr>
            <w:tcW w:w="5245" w:type="dxa"/>
            <w:shd w:val="clear" w:color="auto" w:fill="FFFFFF" w:themeFill="background1"/>
            <w:noWrap/>
            <w:vAlign w:val="bottom"/>
            <w:hideMark/>
          </w:tcPr>
          <w:p w:rsidR="00A71B1E" w:rsidRPr="002F17B5" w:rsidRDefault="00A71B1E" w:rsidP="00A71B1E">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701" w:type="dxa"/>
            <w:shd w:val="clear" w:color="auto" w:fill="FFFFFF" w:themeFill="background1"/>
            <w:noWrap/>
            <w:vAlign w:val="bottom"/>
            <w:hideMark/>
          </w:tcPr>
          <w:p w:rsidR="00A71B1E" w:rsidRPr="002F17B5" w:rsidRDefault="00A71B1E" w:rsidP="00A71B1E">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2126" w:type="dxa"/>
            <w:shd w:val="clear" w:color="auto" w:fill="FFFFFF" w:themeFill="background1"/>
            <w:noWrap/>
            <w:vAlign w:val="bottom"/>
            <w:hideMark/>
          </w:tcPr>
          <w:p w:rsidR="00A71B1E" w:rsidRPr="002F17B5" w:rsidRDefault="00A71B1E" w:rsidP="00A71B1E">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r>
      <w:tr w:rsidR="0021200B" w:rsidRPr="002F17B5" w:rsidTr="007B7242">
        <w:trPr>
          <w:trHeight w:val="315"/>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jc w:val="left"/>
              <w:rPr>
                <w:rFonts w:eastAsia="Times New Roman" w:cs="Arial"/>
                <w:b/>
                <w:bCs/>
                <w:lang w:eastAsia="en-GB"/>
              </w:rPr>
            </w:pPr>
            <w:r w:rsidRPr="002F17B5">
              <w:rPr>
                <w:rFonts w:eastAsia="Times New Roman" w:cs="Arial"/>
                <w:b/>
                <w:bCs/>
                <w:lang w:eastAsia="en-GB"/>
              </w:rPr>
              <w:t>Funding provided to the Pooled Budget</w:t>
            </w:r>
          </w:p>
        </w:tc>
        <w:tc>
          <w:tcPr>
            <w:tcW w:w="1701" w:type="dxa"/>
            <w:shd w:val="clear" w:color="auto" w:fill="FFFFFF" w:themeFill="background1"/>
            <w:noWrap/>
            <w:vAlign w:val="bottom"/>
            <w:hideMark/>
          </w:tcPr>
          <w:p w:rsidR="0021200B" w:rsidRPr="002F17B5" w:rsidRDefault="0021200B" w:rsidP="00A71B1E">
            <w:pPr>
              <w:autoSpaceDE/>
              <w:autoSpaceDN/>
              <w:adjustRightInd/>
              <w:spacing w:before="0" w:after="0"/>
              <w:jc w:val="right"/>
              <w:rPr>
                <w:rFonts w:eastAsia="Times New Roman" w:cs="Arial"/>
                <w:lang w:eastAsia="en-GB"/>
              </w:rPr>
            </w:pPr>
            <w:r w:rsidRPr="002F17B5">
              <w:rPr>
                <w:rFonts w:eastAsia="Times New Roman" w:cs="Arial"/>
                <w:lang w:eastAsia="en-GB"/>
              </w:rPr>
              <w:t> </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 </w:t>
            </w:r>
          </w:p>
        </w:tc>
      </w:tr>
      <w:tr w:rsidR="0021200B" w:rsidRPr="002F17B5" w:rsidTr="007B7242">
        <w:trPr>
          <w:trHeight w:val="300"/>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jc w:val="left"/>
              <w:rPr>
                <w:rFonts w:eastAsia="Times New Roman" w:cs="Arial"/>
                <w:lang w:eastAsia="en-GB"/>
              </w:rPr>
            </w:pPr>
            <w:r w:rsidRPr="002F17B5">
              <w:rPr>
                <w:rFonts w:eastAsia="Times New Roman" w:cs="Arial"/>
                <w:lang w:eastAsia="en-GB"/>
              </w:rPr>
              <w:t xml:space="preserve">   The council</w:t>
            </w:r>
          </w:p>
        </w:tc>
        <w:tc>
          <w:tcPr>
            <w:tcW w:w="1701" w:type="dxa"/>
            <w:shd w:val="clear" w:color="auto" w:fill="FFFFFF" w:themeFill="background1"/>
            <w:noWrap/>
            <w:vAlign w:val="bottom"/>
            <w:hideMark/>
          </w:tcPr>
          <w:p w:rsidR="0021200B" w:rsidRPr="002F17B5" w:rsidRDefault="00865623" w:rsidP="00A71B1E">
            <w:pPr>
              <w:autoSpaceDE/>
              <w:autoSpaceDN/>
              <w:adjustRightInd/>
              <w:spacing w:before="0" w:after="0"/>
              <w:jc w:val="right"/>
              <w:rPr>
                <w:rFonts w:eastAsia="Times New Roman" w:cs="Arial"/>
                <w:lang w:eastAsia="en-GB"/>
              </w:rPr>
            </w:pPr>
            <w:r w:rsidRPr="002F17B5">
              <w:rPr>
                <w:rFonts w:eastAsia="Times New Roman" w:cs="Arial"/>
                <w:lang w:eastAsia="en-GB"/>
              </w:rPr>
              <w:t>105.3</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105.6</w:t>
            </w:r>
          </w:p>
        </w:tc>
      </w:tr>
      <w:tr w:rsidR="0021200B" w:rsidRPr="002F17B5" w:rsidTr="007B7242">
        <w:trPr>
          <w:trHeight w:val="300"/>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jc w:val="left"/>
              <w:rPr>
                <w:rFonts w:eastAsia="Times New Roman" w:cs="Arial"/>
                <w:lang w:eastAsia="en-GB"/>
              </w:rPr>
            </w:pPr>
            <w:r w:rsidRPr="002F17B5">
              <w:rPr>
                <w:rFonts w:eastAsia="Times New Roman" w:cs="Arial"/>
                <w:lang w:eastAsia="en-GB"/>
              </w:rPr>
              <w:t xml:space="preserve">   The </w:t>
            </w:r>
            <w:r w:rsidR="00865623" w:rsidRPr="002F17B5">
              <w:rPr>
                <w:rFonts w:eastAsia="Times New Roman" w:cs="Arial"/>
                <w:lang w:eastAsia="en-GB"/>
              </w:rPr>
              <w:t>CCG's</w:t>
            </w:r>
          </w:p>
        </w:tc>
        <w:tc>
          <w:tcPr>
            <w:tcW w:w="1701" w:type="dxa"/>
            <w:shd w:val="clear" w:color="auto" w:fill="FFFFFF" w:themeFill="background1"/>
            <w:noWrap/>
            <w:vAlign w:val="bottom"/>
            <w:hideMark/>
          </w:tcPr>
          <w:p w:rsidR="0021200B" w:rsidRPr="002F17B5" w:rsidRDefault="00865623" w:rsidP="00A71B1E">
            <w:pPr>
              <w:autoSpaceDE/>
              <w:autoSpaceDN/>
              <w:adjustRightInd/>
              <w:spacing w:before="0" w:after="0"/>
              <w:jc w:val="right"/>
              <w:rPr>
                <w:rFonts w:eastAsia="Times New Roman" w:cs="Arial"/>
                <w:lang w:eastAsia="en-GB"/>
              </w:rPr>
            </w:pPr>
            <w:r w:rsidRPr="002F17B5">
              <w:rPr>
                <w:rFonts w:eastAsia="Times New Roman" w:cs="Arial"/>
                <w:lang w:eastAsia="en-GB"/>
              </w:rPr>
              <w:t>9.3</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9.2</w:t>
            </w:r>
          </w:p>
        </w:tc>
      </w:tr>
      <w:tr w:rsidR="0021200B" w:rsidRPr="002F17B5" w:rsidTr="007B7242">
        <w:trPr>
          <w:trHeight w:val="300"/>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jc w:val="left"/>
              <w:rPr>
                <w:rFonts w:eastAsia="Times New Roman" w:cs="Arial"/>
                <w:lang w:eastAsia="en-GB"/>
              </w:rPr>
            </w:pPr>
            <w:r w:rsidRPr="002F17B5">
              <w:rPr>
                <w:rFonts w:eastAsia="Times New Roman" w:cs="Arial"/>
                <w:lang w:eastAsia="en-GB"/>
              </w:rPr>
              <w:t xml:space="preserve">   Other</w:t>
            </w:r>
          </w:p>
        </w:tc>
        <w:tc>
          <w:tcPr>
            <w:tcW w:w="1701" w:type="dxa"/>
            <w:shd w:val="clear" w:color="auto" w:fill="FFFFFF" w:themeFill="background1"/>
            <w:noWrap/>
            <w:vAlign w:val="bottom"/>
            <w:hideMark/>
          </w:tcPr>
          <w:p w:rsidR="0021200B" w:rsidRPr="002F17B5" w:rsidRDefault="00865623" w:rsidP="00A71B1E">
            <w:pPr>
              <w:autoSpaceDE/>
              <w:autoSpaceDN/>
              <w:adjustRightInd/>
              <w:spacing w:before="0" w:after="0"/>
              <w:jc w:val="right"/>
              <w:rPr>
                <w:rFonts w:eastAsia="Times New Roman" w:cs="Arial"/>
                <w:lang w:eastAsia="en-GB"/>
              </w:rPr>
            </w:pPr>
            <w:r w:rsidRPr="002F17B5">
              <w:rPr>
                <w:rFonts w:eastAsia="Times New Roman" w:cs="Arial"/>
                <w:lang w:eastAsia="en-GB"/>
              </w:rPr>
              <w:t>8.7</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8.9</w:t>
            </w:r>
          </w:p>
        </w:tc>
      </w:tr>
      <w:tr w:rsidR="0021200B" w:rsidRPr="002F17B5" w:rsidTr="007B7242">
        <w:trPr>
          <w:trHeight w:val="300"/>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jc w:val="left"/>
              <w:rPr>
                <w:rFonts w:eastAsia="Times New Roman" w:cs="Arial"/>
                <w:lang w:eastAsia="en-GB"/>
              </w:rPr>
            </w:pPr>
            <w:r w:rsidRPr="002F17B5">
              <w:rPr>
                <w:rFonts w:eastAsia="Times New Roman" w:cs="Arial"/>
                <w:lang w:eastAsia="en-GB"/>
              </w:rPr>
              <w:t> </w:t>
            </w:r>
          </w:p>
        </w:tc>
        <w:tc>
          <w:tcPr>
            <w:tcW w:w="1701" w:type="dxa"/>
            <w:shd w:val="clear" w:color="auto" w:fill="FFFFFF" w:themeFill="background1"/>
            <w:noWrap/>
            <w:vAlign w:val="bottom"/>
            <w:hideMark/>
          </w:tcPr>
          <w:p w:rsidR="0021200B" w:rsidRPr="002F17B5" w:rsidRDefault="00865623" w:rsidP="00A71B1E">
            <w:pPr>
              <w:autoSpaceDE/>
              <w:autoSpaceDN/>
              <w:adjustRightInd/>
              <w:spacing w:before="0" w:after="0"/>
              <w:jc w:val="right"/>
              <w:rPr>
                <w:rFonts w:eastAsia="Times New Roman" w:cs="Arial"/>
                <w:b/>
                <w:lang w:eastAsia="en-GB"/>
              </w:rPr>
            </w:pPr>
            <w:r w:rsidRPr="002F17B5">
              <w:rPr>
                <w:rFonts w:eastAsia="Times New Roman" w:cs="Arial"/>
                <w:b/>
                <w:lang w:eastAsia="en-GB"/>
              </w:rPr>
              <w:t>123.3</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b/>
                <w:lang w:eastAsia="en-GB"/>
              </w:rPr>
            </w:pPr>
            <w:r w:rsidRPr="002F17B5">
              <w:rPr>
                <w:rFonts w:eastAsia="Times New Roman" w:cs="Arial"/>
                <w:b/>
                <w:lang w:eastAsia="en-GB"/>
              </w:rPr>
              <w:t> 123.7</w:t>
            </w:r>
          </w:p>
        </w:tc>
      </w:tr>
      <w:tr w:rsidR="0021200B" w:rsidRPr="002F17B5" w:rsidTr="007B7242">
        <w:trPr>
          <w:trHeight w:val="315"/>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jc w:val="left"/>
              <w:rPr>
                <w:rFonts w:eastAsia="Times New Roman" w:cs="Arial"/>
                <w:b/>
                <w:bCs/>
                <w:lang w:eastAsia="en-GB"/>
              </w:rPr>
            </w:pPr>
            <w:r w:rsidRPr="002F17B5">
              <w:rPr>
                <w:rFonts w:eastAsia="Times New Roman" w:cs="Arial"/>
                <w:b/>
                <w:bCs/>
                <w:lang w:eastAsia="en-GB"/>
              </w:rPr>
              <w:t>Expenditure met from the Pooled Budget</w:t>
            </w:r>
          </w:p>
        </w:tc>
        <w:tc>
          <w:tcPr>
            <w:tcW w:w="1701" w:type="dxa"/>
            <w:shd w:val="clear" w:color="auto" w:fill="FFFFFF" w:themeFill="background1"/>
            <w:noWrap/>
            <w:vAlign w:val="bottom"/>
            <w:hideMark/>
          </w:tcPr>
          <w:p w:rsidR="0021200B" w:rsidRPr="002F17B5" w:rsidRDefault="0021200B" w:rsidP="00A71B1E">
            <w:pPr>
              <w:autoSpaceDE/>
              <w:autoSpaceDN/>
              <w:adjustRightInd/>
              <w:spacing w:before="0" w:after="0"/>
              <w:jc w:val="right"/>
              <w:rPr>
                <w:rFonts w:eastAsia="Times New Roman" w:cs="Arial"/>
                <w:lang w:eastAsia="en-GB"/>
              </w:rPr>
            </w:pP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 </w:t>
            </w:r>
          </w:p>
        </w:tc>
      </w:tr>
      <w:tr w:rsidR="0021200B" w:rsidRPr="002F17B5" w:rsidTr="007B7242">
        <w:trPr>
          <w:trHeight w:val="300"/>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jc w:val="left"/>
              <w:rPr>
                <w:rFonts w:eastAsia="Times New Roman" w:cs="Arial"/>
                <w:lang w:eastAsia="en-GB"/>
              </w:rPr>
            </w:pPr>
            <w:r w:rsidRPr="002F17B5">
              <w:rPr>
                <w:rFonts w:eastAsia="Times New Roman" w:cs="Arial"/>
                <w:lang w:eastAsia="en-GB"/>
              </w:rPr>
              <w:t xml:space="preserve">   The council</w:t>
            </w:r>
          </w:p>
        </w:tc>
        <w:tc>
          <w:tcPr>
            <w:tcW w:w="1701" w:type="dxa"/>
            <w:shd w:val="clear" w:color="auto" w:fill="FFFFFF" w:themeFill="background1"/>
            <w:noWrap/>
            <w:vAlign w:val="bottom"/>
            <w:hideMark/>
          </w:tcPr>
          <w:p w:rsidR="0021200B" w:rsidRPr="002F17B5" w:rsidRDefault="00865623" w:rsidP="00A71B1E">
            <w:pPr>
              <w:autoSpaceDE/>
              <w:autoSpaceDN/>
              <w:adjustRightInd/>
              <w:spacing w:before="0" w:after="0"/>
              <w:jc w:val="right"/>
              <w:rPr>
                <w:rFonts w:eastAsia="Times New Roman" w:cs="Arial"/>
                <w:lang w:eastAsia="en-GB"/>
              </w:rPr>
            </w:pPr>
            <w:r w:rsidRPr="002F17B5">
              <w:rPr>
                <w:rFonts w:eastAsia="Times New Roman" w:cs="Arial"/>
                <w:lang w:eastAsia="en-GB"/>
              </w:rPr>
              <w:t>122.5</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122.5</w:t>
            </w:r>
          </w:p>
        </w:tc>
      </w:tr>
      <w:tr w:rsidR="0021200B" w:rsidRPr="002F17B5" w:rsidTr="007B7242">
        <w:trPr>
          <w:trHeight w:val="300"/>
        </w:trPr>
        <w:tc>
          <w:tcPr>
            <w:tcW w:w="5245" w:type="dxa"/>
            <w:shd w:val="clear" w:color="auto" w:fill="FFFFFF" w:themeFill="background1"/>
            <w:noWrap/>
            <w:vAlign w:val="bottom"/>
            <w:hideMark/>
          </w:tcPr>
          <w:p w:rsidR="0021200B" w:rsidRPr="002F17B5" w:rsidRDefault="0021200B">
            <w:pPr>
              <w:autoSpaceDE/>
              <w:autoSpaceDN/>
              <w:adjustRightInd/>
              <w:spacing w:before="0" w:after="0"/>
              <w:jc w:val="left"/>
              <w:rPr>
                <w:rFonts w:eastAsia="Times New Roman" w:cs="Arial"/>
                <w:lang w:eastAsia="en-GB"/>
              </w:rPr>
            </w:pPr>
            <w:r w:rsidRPr="002F17B5">
              <w:rPr>
                <w:rFonts w:eastAsia="Times New Roman" w:cs="Arial"/>
                <w:lang w:eastAsia="en-GB"/>
              </w:rPr>
              <w:t xml:space="preserve">   The </w:t>
            </w:r>
            <w:r w:rsidR="00865623" w:rsidRPr="002F17B5">
              <w:rPr>
                <w:rFonts w:eastAsia="Times New Roman" w:cs="Arial"/>
                <w:lang w:eastAsia="en-GB"/>
              </w:rPr>
              <w:t>CCG's</w:t>
            </w:r>
          </w:p>
        </w:tc>
        <w:tc>
          <w:tcPr>
            <w:tcW w:w="1701" w:type="dxa"/>
            <w:shd w:val="clear" w:color="auto" w:fill="FFFFFF" w:themeFill="background1"/>
            <w:noWrap/>
            <w:vAlign w:val="bottom"/>
            <w:hideMark/>
          </w:tcPr>
          <w:p w:rsidR="0021200B" w:rsidRPr="002F17B5" w:rsidRDefault="00865623" w:rsidP="00A71B1E">
            <w:pPr>
              <w:autoSpaceDE/>
              <w:autoSpaceDN/>
              <w:adjustRightInd/>
              <w:spacing w:before="0" w:after="0"/>
              <w:jc w:val="right"/>
              <w:rPr>
                <w:rFonts w:eastAsia="Times New Roman" w:cs="Arial"/>
                <w:lang w:eastAsia="en-GB"/>
              </w:rPr>
            </w:pPr>
            <w:r w:rsidRPr="002F17B5">
              <w:rPr>
                <w:rFonts w:eastAsia="Times New Roman" w:cs="Arial"/>
                <w:lang w:eastAsia="en-GB"/>
              </w:rPr>
              <w:t>9.8</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9.8</w:t>
            </w:r>
          </w:p>
        </w:tc>
      </w:tr>
      <w:tr w:rsidR="0021200B" w:rsidRPr="002F17B5" w:rsidTr="007B7242">
        <w:trPr>
          <w:trHeight w:val="300"/>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rPr>
                <w:rFonts w:eastAsia="Times New Roman" w:cs="Arial"/>
                <w:lang w:eastAsia="en-GB"/>
              </w:rPr>
            </w:pPr>
            <w:r w:rsidRPr="002F17B5">
              <w:rPr>
                <w:rFonts w:eastAsia="Times New Roman" w:cs="Arial"/>
                <w:lang w:eastAsia="en-GB"/>
              </w:rPr>
              <w:t> </w:t>
            </w:r>
          </w:p>
        </w:tc>
        <w:tc>
          <w:tcPr>
            <w:tcW w:w="1701" w:type="dxa"/>
            <w:shd w:val="clear" w:color="auto" w:fill="FFFFFF" w:themeFill="background1"/>
            <w:noWrap/>
            <w:vAlign w:val="bottom"/>
            <w:hideMark/>
          </w:tcPr>
          <w:p w:rsidR="0021200B" w:rsidRPr="002F17B5" w:rsidRDefault="00865623" w:rsidP="00A71B1E">
            <w:pPr>
              <w:autoSpaceDE/>
              <w:autoSpaceDN/>
              <w:adjustRightInd/>
              <w:spacing w:before="0" w:after="0"/>
              <w:jc w:val="right"/>
              <w:rPr>
                <w:rFonts w:eastAsia="Times New Roman" w:cs="Arial"/>
                <w:b/>
                <w:lang w:eastAsia="en-GB"/>
              </w:rPr>
            </w:pPr>
            <w:r w:rsidRPr="002F17B5">
              <w:rPr>
                <w:rFonts w:eastAsia="Times New Roman" w:cs="Arial"/>
                <w:b/>
                <w:lang w:eastAsia="en-GB"/>
              </w:rPr>
              <w:t>132.3</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b/>
                <w:lang w:eastAsia="en-GB"/>
              </w:rPr>
            </w:pPr>
            <w:r w:rsidRPr="002F17B5">
              <w:rPr>
                <w:rFonts w:eastAsia="Times New Roman" w:cs="Arial"/>
                <w:b/>
                <w:lang w:eastAsia="en-GB"/>
              </w:rPr>
              <w:t> 132.3</w:t>
            </w:r>
          </w:p>
        </w:tc>
      </w:tr>
      <w:tr w:rsidR="0021200B" w:rsidRPr="002F17B5" w:rsidTr="00EF40CF">
        <w:trPr>
          <w:trHeight w:val="87"/>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rPr>
                <w:rFonts w:eastAsia="Times New Roman" w:cs="Arial"/>
                <w:sz w:val="8"/>
                <w:szCs w:val="8"/>
                <w:lang w:eastAsia="en-GB"/>
              </w:rPr>
            </w:pPr>
          </w:p>
        </w:tc>
        <w:tc>
          <w:tcPr>
            <w:tcW w:w="1701" w:type="dxa"/>
            <w:shd w:val="clear" w:color="auto" w:fill="FFFFFF" w:themeFill="background1"/>
            <w:noWrap/>
            <w:vAlign w:val="bottom"/>
            <w:hideMark/>
          </w:tcPr>
          <w:p w:rsidR="0021200B" w:rsidRPr="002F17B5" w:rsidRDefault="0021200B" w:rsidP="00A71B1E">
            <w:pPr>
              <w:autoSpaceDE/>
              <w:autoSpaceDN/>
              <w:adjustRightInd/>
              <w:spacing w:before="0" w:after="0"/>
              <w:jc w:val="right"/>
              <w:rPr>
                <w:rFonts w:eastAsia="Times New Roman" w:cs="Arial"/>
                <w:sz w:val="8"/>
                <w:szCs w:val="8"/>
                <w:lang w:eastAsia="en-GB"/>
              </w:rPr>
            </w:pP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sz w:val="8"/>
                <w:szCs w:val="8"/>
                <w:lang w:eastAsia="en-GB"/>
              </w:rPr>
            </w:pPr>
            <w:r w:rsidRPr="002F17B5">
              <w:rPr>
                <w:rFonts w:eastAsia="Times New Roman" w:cs="Arial"/>
                <w:sz w:val="8"/>
                <w:szCs w:val="8"/>
                <w:lang w:eastAsia="en-GB"/>
              </w:rPr>
              <w:t> </w:t>
            </w:r>
          </w:p>
        </w:tc>
      </w:tr>
      <w:tr w:rsidR="0021200B" w:rsidRPr="002F17B5" w:rsidTr="007B7242">
        <w:trPr>
          <w:trHeight w:val="330"/>
        </w:trPr>
        <w:tc>
          <w:tcPr>
            <w:tcW w:w="5245" w:type="dxa"/>
            <w:shd w:val="clear" w:color="auto" w:fill="FFFFFF" w:themeFill="background1"/>
            <w:vAlign w:val="bottom"/>
            <w:hideMark/>
          </w:tcPr>
          <w:p w:rsidR="0021200B" w:rsidRPr="002F17B5" w:rsidRDefault="0021200B" w:rsidP="00A71B1E">
            <w:pPr>
              <w:autoSpaceDE/>
              <w:autoSpaceDN/>
              <w:adjustRightInd/>
              <w:spacing w:before="0" w:after="0"/>
              <w:jc w:val="left"/>
              <w:rPr>
                <w:rFonts w:eastAsia="Times New Roman" w:cs="Arial"/>
                <w:b/>
                <w:bCs/>
                <w:lang w:eastAsia="en-GB"/>
              </w:rPr>
            </w:pPr>
            <w:r w:rsidRPr="002F17B5">
              <w:rPr>
                <w:rFonts w:eastAsia="Times New Roman" w:cs="Arial"/>
                <w:b/>
                <w:bCs/>
                <w:lang w:eastAsia="en-GB"/>
              </w:rPr>
              <w:t>Net Surplus/(Deficit) arising on the Pooled Budget during the year:</w:t>
            </w:r>
          </w:p>
        </w:tc>
        <w:tc>
          <w:tcPr>
            <w:tcW w:w="1701" w:type="dxa"/>
            <w:shd w:val="clear" w:color="auto" w:fill="FFFFFF" w:themeFill="background1"/>
            <w:noWrap/>
            <w:vAlign w:val="bottom"/>
            <w:hideMark/>
          </w:tcPr>
          <w:p w:rsidR="0021200B" w:rsidRPr="002F17B5" w:rsidRDefault="00865623" w:rsidP="00A71B1E">
            <w:pPr>
              <w:autoSpaceDE/>
              <w:autoSpaceDN/>
              <w:adjustRightInd/>
              <w:spacing w:before="0" w:after="0"/>
              <w:jc w:val="right"/>
              <w:rPr>
                <w:rFonts w:eastAsia="Times New Roman" w:cs="Arial"/>
                <w:lang w:eastAsia="en-GB"/>
              </w:rPr>
            </w:pPr>
            <w:r w:rsidRPr="002F17B5">
              <w:rPr>
                <w:rFonts w:eastAsia="Times New Roman" w:cs="Arial"/>
                <w:lang w:eastAsia="en-GB"/>
              </w:rPr>
              <w:t>(9.0)</w:t>
            </w: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 (8.6)</w:t>
            </w:r>
          </w:p>
        </w:tc>
      </w:tr>
      <w:tr w:rsidR="0021200B" w:rsidRPr="002F17B5" w:rsidTr="007B7242">
        <w:trPr>
          <w:trHeight w:val="300"/>
        </w:trPr>
        <w:tc>
          <w:tcPr>
            <w:tcW w:w="5245" w:type="dxa"/>
            <w:shd w:val="clear" w:color="auto" w:fill="FFFFFF" w:themeFill="background1"/>
            <w:noWrap/>
            <w:vAlign w:val="bottom"/>
            <w:hideMark/>
          </w:tcPr>
          <w:p w:rsidR="0021200B" w:rsidRPr="002F17B5" w:rsidRDefault="0021200B" w:rsidP="00A71B1E">
            <w:pPr>
              <w:autoSpaceDE/>
              <w:autoSpaceDN/>
              <w:adjustRightInd/>
              <w:spacing w:before="0" w:after="0"/>
              <w:rPr>
                <w:rFonts w:eastAsia="Times New Roman" w:cs="Arial"/>
                <w:lang w:eastAsia="en-GB"/>
              </w:rPr>
            </w:pPr>
            <w:r w:rsidRPr="002F17B5">
              <w:rPr>
                <w:rFonts w:eastAsia="Times New Roman" w:cs="Arial"/>
                <w:lang w:eastAsia="en-GB"/>
              </w:rPr>
              <w:t> </w:t>
            </w:r>
          </w:p>
        </w:tc>
        <w:tc>
          <w:tcPr>
            <w:tcW w:w="1701" w:type="dxa"/>
            <w:shd w:val="clear" w:color="auto" w:fill="FFFFFF" w:themeFill="background1"/>
            <w:noWrap/>
            <w:vAlign w:val="bottom"/>
            <w:hideMark/>
          </w:tcPr>
          <w:p w:rsidR="0021200B" w:rsidRPr="002F17B5" w:rsidRDefault="0021200B" w:rsidP="00A71B1E">
            <w:pPr>
              <w:autoSpaceDE/>
              <w:autoSpaceDN/>
              <w:adjustRightInd/>
              <w:spacing w:before="0" w:after="0"/>
              <w:jc w:val="right"/>
              <w:rPr>
                <w:rFonts w:eastAsia="Times New Roman" w:cs="Arial"/>
                <w:lang w:eastAsia="en-GB"/>
              </w:rPr>
            </w:pPr>
          </w:p>
        </w:tc>
        <w:tc>
          <w:tcPr>
            <w:tcW w:w="2126" w:type="dxa"/>
            <w:shd w:val="clear" w:color="auto" w:fill="FFFFFF" w:themeFill="background1"/>
            <w:noWrap/>
            <w:vAlign w:val="bottom"/>
            <w:hideMark/>
          </w:tcPr>
          <w:p w:rsidR="0021200B" w:rsidRPr="002F17B5" w:rsidRDefault="0021200B" w:rsidP="0021200B">
            <w:pPr>
              <w:autoSpaceDE/>
              <w:autoSpaceDN/>
              <w:adjustRightInd/>
              <w:spacing w:before="0" w:after="0"/>
              <w:jc w:val="right"/>
              <w:rPr>
                <w:rFonts w:eastAsia="Times New Roman" w:cs="Arial"/>
                <w:lang w:eastAsia="en-GB"/>
              </w:rPr>
            </w:pPr>
            <w:r w:rsidRPr="002F17B5">
              <w:rPr>
                <w:rFonts w:eastAsia="Times New Roman" w:cs="Arial"/>
                <w:lang w:eastAsia="en-GB"/>
              </w:rPr>
              <w:t> </w:t>
            </w:r>
          </w:p>
        </w:tc>
      </w:tr>
      <w:tr w:rsidR="00865623" w:rsidRPr="002F17B5" w:rsidTr="007B7242">
        <w:trPr>
          <w:trHeight w:val="300"/>
        </w:trPr>
        <w:tc>
          <w:tcPr>
            <w:tcW w:w="5245" w:type="dxa"/>
            <w:shd w:val="clear" w:color="auto" w:fill="FFFFFF" w:themeFill="background1"/>
            <w:noWrap/>
            <w:vAlign w:val="bottom"/>
            <w:hideMark/>
          </w:tcPr>
          <w:p w:rsidR="00865623" w:rsidRPr="002F17B5" w:rsidRDefault="00865623" w:rsidP="00A71B1E">
            <w:pPr>
              <w:autoSpaceDE/>
              <w:autoSpaceDN/>
              <w:adjustRightInd/>
              <w:spacing w:before="0" w:after="0"/>
              <w:rPr>
                <w:rFonts w:eastAsia="Times New Roman" w:cs="Arial"/>
                <w:b/>
                <w:lang w:eastAsia="en-GB"/>
              </w:rPr>
            </w:pPr>
            <w:r w:rsidRPr="002F17B5">
              <w:rPr>
                <w:rFonts w:eastAsia="Times New Roman" w:cs="Arial"/>
                <w:b/>
                <w:lang w:eastAsia="en-GB"/>
              </w:rPr>
              <w:t>Council Share of the Net Surplus/(Deficit):</w:t>
            </w:r>
          </w:p>
        </w:tc>
        <w:tc>
          <w:tcPr>
            <w:tcW w:w="1701" w:type="dxa"/>
            <w:shd w:val="clear" w:color="auto" w:fill="FFFFFF" w:themeFill="background1"/>
            <w:noWrap/>
            <w:vAlign w:val="bottom"/>
            <w:hideMark/>
          </w:tcPr>
          <w:p w:rsidR="00865623" w:rsidRPr="002F17B5" w:rsidRDefault="00865623" w:rsidP="00A71B1E">
            <w:pPr>
              <w:autoSpaceDE/>
              <w:autoSpaceDN/>
              <w:adjustRightInd/>
              <w:spacing w:before="0" w:after="0"/>
              <w:jc w:val="right"/>
              <w:rPr>
                <w:rFonts w:eastAsia="Times New Roman" w:cs="Arial"/>
                <w:b/>
                <w:lang w:eastAsia="en-GB"/>
              </w:rPr>
            </w:pPr>
            <w:r w:rsidRPr="002F17B5">
              <w:rPr>
                <w:rFonts w:eastAsia="Times New Roman" w:cs="Arial"/>
                <w:b/>
                <w:lang w:eastAsia="en-GB"/>
              </w:rPr>
              <w:t>(8.5)</w:t>
            </w:r>
          </w:p>
        </w:tc>
        <w:tc>
          <w:tcPr>
            <w:tcW w:w="2126" w:type="dxa"/>
            <w:shd w:val="clear" w:color="auto" w:fill="FFFFFF" w:themeFill="background1"/>
            <w:noWrap/>
            <w:vAlign w:val="bottom"/>
            <w:hideMark/>
          </w:tcPr>
          <w:p w:rsidR="00865623" w:rsidRPr="002F17B5" w:rsidRDefault="00865623" w:rsidP="0021200B">
            <w:pPr>
              <w:autoSpaceDE/>
              <w:autoSpaceDN/>
              <w:adjustRightInd/>
              <w:spacing w:before="0" w:after="0"/>
              <w:jc w:val="right"/>
              <w:rPr>
                <w:rFonts w:eastAsia="Times New Roman" w:cs="Arial"/>
                <w:b/>
                <w:lang w:eastAsia="en-GB"/>
              </w:rPr>
            </w:pPr>
            <w:r w:rsidRPr="002F17B5">
              <w:rPr>
                <w:rFonts w:eastAsia="Times New Roman" w:cs="Arial"/>
                <w:b/>
                <w:lang w:eastAsia="en-GB"/>
              </w:rPr>
              <w:t>(8.1)</w:t>
            </w:r>
          </w:p>
        </w:tc>
      </w:tr>
      <w:tr w:rsidR="007177E8" w:rsidRPr="002F17B5" w:rsidTr="007B7242">
        <w:trPr>
          <w:trHeight w:val="300"/>
        </w:trPr>
        <w:tc>
          <w:tcPr>
            <w:tcW w:w="5245" w:type="dxa"/>
            <w:shd w:val="clear" w:color="auto" w:fill="FFFFFF" w:themeFill="background1"/>
            <w:noWrap/>
            <w:vAlign w:val="bottom"/>
          </w:tcPr>
          <w:p w:rsidR="007177E8" w:rsidRPr="002F17B5" w:rsidRDefault="007177E8" w:rsidP="00A71B1E">
            <w:pPr>
              <w:autoSpaceDE/>
              <w:autoSpaceDN/>
              <w:adjustRightInd/>
              <w:spacing w:before="0" w:after="0"/>
              <w:rPr>
                <w:rFonts w:eastAsia="Times New Roman" w:cs="Arial"/>
                <w:b/>
                <w:lang w:eastAsia="en-GB"/>
              </w:rPr>
            </w:pPr>
          </w:p>
          <w:p w:rsidR="007177E8" w:rsidRDefault="007177E8" w:rsidP="00A71B1E">
            <w:pPr>
              <w:autoSpaceDE/>
              <w:autoSpaceDN/>
              <w:adjustRightInd/>
              <w:spacing w:before="0" w:after="0"/>
              <w:rPr>
                <w:rFonts w:eastAsia="Times New Roman" w:cs="Arial"/>
                <w:b/>
                <w:sz w:val="44"/>
                <w:lang w:eastAsia="en-GB"/>
              </w:rPr>
            </w:pPr>
          </w:p>
          <w:p w:rsidR="006728BA" w:rsidRPr="002F17B5" w:rsidRDefault="006728BA" w:rsidP="00A71B1E">
            <w:pPr>
              <w:autoSpaceDE/>
              <w:autoSpaceDN/>
              <w:adjustRightInd/>
              <w:spacing w:before="0" w:after="0"/>
              <w:rPr>
                <w:rFonts w:eastAsia="Times New Roman" w:cs="Arial"/>
                <w:b/>
                <w:sz w:val="44"/>
                <w:lang w:eastAsia="en-GB"/>
              </w:rPr>
            </w:pPr>
          </w:p>
        </w:tc>
        <w:tc>
          <w:tcPr>
            <w:tcW w:w="1701" w:type="dxa"/>
            <w:shd w:val="clear" w:color="auto" w:fill="FFFFFF" w:themeFill="background1"/>
            <w:noWrap/>
            <w:vAlign w:val="bottom"/>
          </w:tcPr>
          <w:p w:rsidR="007177E8" w:rsidRPr="002F17B5" w:rsidRDefault="007177E8" w:rsidP="00A71B1E">
            <w:pPr>
              <w:autoSpaceDE/>
              <w:autoSpaceDN/>
              <w:adjustRightInd/>
              <w:spacing w:before="0" w:after="0"/>
              <w:jc w:val="right"/>
              <w:rPr>
                <w:rFonts w:eastAsia="Times New Roman" w:cs="Arial"/>
                <w:b/>
                <w:lang w:eastAsia="en-GB"/>
              </w:rPr>
            </w:pPr>
          </w:p>
        </w:tc>
        <w:tc>
          <w:tcPr>
            <w:tcW w:w="2126" w:type="dxa"/>
            <w:shd w:val="clear" w:color="auto" w:fill="FFFFFF" w:themeFill="background1"/>
            <w:noWrap/>
            <w:vAlign w:val="bottom"/>
          </w:tcPr>
          <w:p w:rsidR="007177E8" w:rsidRPr="002F17B5" w:rsidRDefault="007177E8" w:rsidP="0021200B">
            <w:pPr>
              <w:autoSpaceDE/>
              <w:autoSpaceDN/>
              <w:adjustRightInd/>
              <w:spacing w:before="0" w:after="0"/>
              <w:jc w:val="right"/>
              <w:rPr>
                <w:rFonts w:eastAsia="Times New Roman" w:cs="Arial"/>
                <w:b/>
                <w:lang w:eastAsia="en-GB"/>
              </w:rPr>
            </w:pPr>
          </w:p>
        </w:tc>
      </w:tr>
    </w:tbl>
    <w:p w:rsidR="00A71B1E" w:rsidRPr="002F17B5" w:rsidRDefault="00D41223" w:rsidP="0021200B">
      <w:pPr>
        <w:pStyle w:val="Heading3-numbered"/>
        <w:ind w:hanging="502"/>
        <w:rPr>
          <w:i w:val="0"/>
          <w:sz w:val="26"/>
        </w:rPr>
      </w:pPr>
      <w:r w:rsidRPr="002F17B5">
        <w:rPr>
          <w:i w:val="0"/>
          <w:sz w:val="26"/>
        </w:rPr>
        <w:lastRenderedPageBreak/>
        <w:t xml:space="preserve">  </w:t>
      </w:r>
      <w:r w:rsidR="00286D86" w:rsidRPr="002F17B5">
        <w:rPr>
          <w:i w:val="0"/>
          <w:sz w:val="26"/>
        </w:rPr>
        <w:t xml:space="preserve">External Audit costs </w:t>
      </w:r>
    </w:p>
    <w:p w:rsidR="00A71B1E" w:rsidRPr="002F17B5" w:rsidRDefault="00A71B1E" w:rsidP="00A71B1E">
      <w:pPr>
        <w:rPr>
          <w:b/>
          <w:sz w:val="2"/>
        </w:rPr>
      </w:pPr>
    </w:p>
    <w:p w:rsidR="00A71B1E" w:rsidRPr="002F17B5" w:rsidRDefault="00A71B1E" w:rsidP="00A71B1E">
      <w:r w:rsidRPr="002F17B5">
        <w:t>The total amount payable</w:t>
      </w:r>
      <w:r w:rsidR="00183237" w:rsidRPr="002F17B5">
        <w:t xml:space="preserve"> </w:t>
      </w:r>
      <w:r w:rsidR="00462D00" w:rsidRPr="002F17B5">
        <w:t>for</w:t>
      </w:r>
      <w:r w:rsidR="00183237" w:rsidRPr="002F17B5">
        <w:t xml:space="preserve"> </w:t>
      </w:r>
      <w:r w:rsidRPr="002F17B5">
        <w:t xml:space="preserve">external audit services carried out by the appointed auditor in </w:t>
      </w:r>
      <w:r w:rsidR="00CD4CF3" w:rsidRPr="002F17B5">
        <w:t>2013/14</w:t>
      </w:r>
      <w:r w:rsidRPr="002F17B5">
        <w:t xml:space="preserve"> was £</w:t>
      </w:r>
      <w:r w:rsidR="0035520B" w:rsidRPr="002F17B5">
        <w:t>0.15</w:t>
      </w:r>
      <w:r w:rsidR="000F4C8F">
        <w:t>m</w:t>
      </w:r>
      <w:r w:rsidRPr="002F17B5">
        <w:t xml:space="preserve"> (£</w:t>
      </w:r>
      <w:r w:rsidR="00191139" w:rsidRPr="002F17B5">
        <w:t>0.</w:t>
      </w:r>
      <w:r w:rsidR="0021200B" w:rsidRPr="002F17B5">
        <w:t>15</w:t>
      </w:r>
      <w:r w:rsidR="00191139" w:rsidRPr="002F17B5">
        <w:t xml:space="preserve">million </w:t>
      </w:r>
      <w:r w:rsidRPr="002F17B5">
        <w:t xml:space="preserve">in </w:t>
      </w:r>
      <w:r w:rsidR="00CD4CF3" w:rsidRPr="002F17B5">
        <w:t>2012/13</w:t>
      </w:r>
      <w:r w:rsidRPr="002F17B5">
        <w:t>)</w:t>
      </w:r>
      <w:r w:rsidR="00E94057" w:rsidRPr="002F17B5">
        <w:t>. This figure includes a total of £1,190 in respect of grant certification (£3,700 in 2012/13).</w:t>
      </w:r>
      <w:r w:rsidRPr="002F17B5">
        <w:t xml:space="preserve"> </w:t>
      </w:r>
    </w:p>
    <w:p w:rsidR="00D41223" w:rsidRPr="002F17B5" w:rsidRDefault="00D41223" w:rsidP="00A71B1E">
      <w:pPr>
        <w:rPr>
          <w:sz w:val="14"/>
        </w:rPr>
      </w:pPr>
    </w:p>
    <w:p w:rsidR="00E05F29" w:rsidRPr="002F17B5" w:rsidRDefault="00696343" w:rsidP="00A71B1E">
      <w:r w:rsidRPr="002F17B5">
        <w:t>A total payment of £</w:t>
      </w:r>
      <w:r w:rsidR="00E373A4" w:rsidRPr="002F17B5">
        <w:t>20,528</w:t>
      </w:r>
      <w:r w:rsidR="00E05F29" w:rsidRPr="002F17B5">
        <w:t xml:space="preserve"> was made for accounting services car</w:t>
      </w:r>
      <w:r w:rsidR="00E373A4" w:rsidRPr="002F17B5">
        <w:t>ried out between January and</w:t>
      </w:r>
      <w:r w:rsidRPr="002F17B5">
        <w:t xml:space="preserve"> March</w:t>
      </w:r>
      <w:r w:rsidR="00E05F29" w:rsidRPr="002F17B5">
        <w:t xml:space="preserve"> 2014 for the Lancashire waste PFI project.</w:t>
      </w:r>
    </w:p>
    <w:p w:rsidR="000068C0" w:rsidRPr="002F17B5" w:rsidRDefault="000068C0">
      <w:pPr>
        <w:autoSpaceDE/>
        <w:autoSpaceDN/>
        <w:adjustRightInd/>
        <w:spacing w:after="20"/>
        <w:jc w:val="right"/>
        <w:rPr>
          <w:sz w:val="16"/>
        </w:rPr>
      </w:pPr>
    </w:p>
    <w:p w:rsidR="00EF40CF" w:rsidRPr="002F17B5" w:rsidRDefault="00EF40CF">
      <w:pPr>
        <w:autoSpaceDE/>
        <w:autoSpaceDN/>
        <w:adjustRightInd/>
        <w:spacing w:after="20"/>
        <w:jc w:val="right"/>
      </w:pPr>
    </w:p>
    <w:p w:rsidR="00EF40CF" w:rsidRPr="002F17B5" w:rsidRDefault="00EF40CF">
      <w:pPr>
        <w:autoSpaceDE/>
        <w:autoSpaceDN/>
        <w:adjustRightInd/>
        <w:spacing w:after="20"/>
        <w:jc w:val="right"/>
        <w:rPr>
          <w:sz w:val="12"/>
        </w:rPr>
      </w:pPr>
    </w:p>
    <w:p w:rsidR="00753FFD" w:rsidRPr="002F17B5" w:rsidRDefault="00D41223" w:rsidP="0021200B">
      <w:pPr>
        <w:pStyle w:val="Heading3-numbered"/>
        <w:ind w:hanging="502"/>
        <w:rPr>
          <w:rStyle w:val="Strong"/>
          <w:b/>
          <w:bCs/>
          <w:i w:val="0"/>
          <w:sz w:val="26"/>
        </w:rPr>
      </w:pPr>
      <w:r w:rsidRPr="002F17B5">
        <w:rPr>
          <w:rStyle w:val="Strong"/>
          <w:b/>
          <w:bCs/>
          <w:i w:val="0"/>
          <w:sz w:val="26"/>
        </w:rPr>
        <w:t xml:space="preserve">  </w:t>
      </w:r>
      <w:r w:rsidR="00AB4059" w:rsidRPr="002F17B5">
        <w:rPr>
          <w:rStyle w:val="Strong"/>
          <w:b/>
          <w:bCs/>
          <w:i w:val="0"/>
          <w:sz w:val="26"/>
        </w:rPr>
        <w:t>Members' Allowances</w:t>
      </w:r>
    </w:p>
    <w:p w:rsidR="007177E8" w:rsidRPr="002F17B5" w:rsidRDefault="007177E8" w:rsidP="007177E8">
      <w:pPr>
        <w:pStyle w:val="Heading3-numbered"/>
        <w:numPr>
          <w:ilvl w:val="0"/>
          <w:numId w:val="0"/>
        </w:numPr>
        <w:ind w:left="501"/>
        <w:rPr>
          <w:rStyle w:val="Strong"/>
          <w:b/>
          <w:bCs/>
          <w:i w:val="0"/>
          <w:sz w:val="8"/>
        </w:rPr>
      </w:pPr>
    </w:p>
    <w:p w:rsidR="00061885" w:rsidRPr="002F17B5" w:rsidRDefault="007177E8" w:rsidP="007177E8">
      <w:pPr>
        <w:rPr>
          <w:sz w:val="10"/>
        </w:rPr>
      </w:pPr>
      <w:r w:rsidRPr="002F17B5">
        <w:t>The total amount of members' allowances paid in 2013/14 was £1.3m (£1.2m in 2012/13).</w:t>
      </w:r>
      <w:r w:rsidR="00A71B1E" w:rsidRPr="002F17B5">
        <w:t xml:space="preserve"> </w:t>
      </w:r>
      <w:r w:rsidR="00286D86" w:rsidRPr="002F17B5">
        <w:t>Details of the all</w:t>
      </w:r>
      <w:r w:rsidR="007D7A1F" w:rsidRPr="002F17B5">
        <w:t>owances paid can be found via</w:t>
      </w:r>
      <w:r w:rsidR="00286D86" w:rsidRPr="002F17B5">
        <w:t xml:space="preserve"> the council's website: </w:t>
      </w:r>
      <w:r w:rsidR="007D7A1F" w:rsidRPr="002F17B5">
        <w:t xml:space="preserve"> </w:t>
      </w:r>
      <w:hyperlink r:id="rId51" w:history="1">
        <w:r w:rsidR="0035520B" w:rsidRPr="002F17B5">
          <w:rPr>
            <w:rStyle w:val="Hyperlink"/>
          </w:rPr>
          <w:t>www.lancashire.gov.uk</w:t>
        </w:r>
      </w:hyperlink>
      <w:r w:rsidR="0035520B" w:rsidRPr="002F17B5">
        <w:t xml:space="preserve"> </w:t>
      </w:r>
    </w:p>
    <w:p w:rsidR="00B70B4B" w:rsidRPr="002F17B5" w:rsidRDefault="00B70B4B">
      <w:pPr>
        <w:spacing w:after="240"/>
        <w:rPr>
          <w:rStyle w:val="Strong"/>
          <w:b w:val="0"/>
          <w:bCs w:val="0"/>
          <w:i/>
          <w:sz w:val="22"/>
        </w:rPr>
      </w:pPr>
    </w:p>
    <w:p w:rsidR="00EF40CF" w:rsidRPr="002F17B5" w:rsidRDefault="00EF40CF">
      <w:pPr>
        <w:spacing w:after="240"/>
        <w:rPr>
          <w:rStyle w:val="Strong"/>
          <w:b w:val="0"/>
          <w:bCs w:val="0"/>
          <w:i/>
          <w:sz w:val="10"/>
        </w:rPr>
      </w:pPr>
    </w:p>
    <w:p w:rsidR="00344A55" w:rsidRPr="002F17B5" w:rsidRDefault="005D3E0E" w:rsidP="0021200B">
      <w:pPr>
        <w:pStyle w:val="Heading3-numbered"/>
        <w:ind w:hanging="502"/>
        <w:rPr>
          <w:i w:val="0"/>
        </w:rPr>
      </w:pPr>
      <w:r w:rsidRPr="002F17B5">
        <w:rPr>
          <w:i w:val="0"/>
          <w:sz w:val="26"/>
        </w:rPr>
        <w:t xml:space="preserve">  Senior Officers' Remuneration</w:t>
      </w:r>
    </w:p>
    <w:p w:rsidR="00B70B4B" w:rsidRDefault="005D3E0E" w:rsidP="00E47ECE">
      <w:pPr>
        <w:spacing w:after="0"/>
        <w:rPr>
          <w:b/>
          <w:szCs w:val="22"/>
        </w:rPr>
      </w:pPr>
      <w:r w:rsidRPr="002F17B5">
        <w:rPr>
          <w:b/>
          <w:szCs w:val="22"/>
        </w:rPr>
        <w:t>Disclosure of senior officers' remuneration 2013/14: Salaries over £150k</w:t>
      </w:r>
    </w:p>
    <w:p w:rsidR="00717EFF" w:rsidRPr="002F17B5" w:rsidRDefault="00717EFF" w:rsidP="00E47ECE">
      <w:pPr>
        <w:spacing w:after="0"/>
        <w:rPr>
          <w:b/>
          <w:szCs w:val="22"/>
        </w:rPr>
      </w:pPr>
    </w:p>
    <w:tbl>
      <w:tblPr>
        <w:tblW w:w="10773" w:type="dxa"/>
        <w:tblInd w:w="108" w:type="dxa"/>
        <w:tblLayout w:type="fixed"/>
        <w:tblLook w:val="04A0" w:firstRow="1" w:lastRow="0" w:firstColumn="1" w:lastColumn="0" w:noHBand="0" w:noVBand="1"/>
      </w:tblPr>
      <w:tblGrid>
        <w:gridCol w:w="3119"/>
        <w:gridCol w:w="1417"/>
        <w:gridCol w:w="1134"/>
        <w:gridCol w:w="1701"/>
        <w:gridCol w:w="1701"/>
        <w:gridCol w:w="1701"/>
      </w:tblGrid>
      <w:tr w:rsidR="007177E8" w:rsidRPr="002F17B5" w:rsidTr="00597F30">
        <w:trPr>
          <w:trHeight w:val="1678"/>
        </w:trPr>
        <w:tc>
          <w:tcPr>
            <w:tcW w:w="3119" w:type="dxa"/>
            <w:vMerge w:val="restart"/>
            <w:tcBorders>
              <w:top w:val="nil"/>
              <w:left w:val="nil"/>
              <w:bottom w:val="nil"/>
              <w:right w:val="nil"/>
            </w:tcBorders>
            <w:shd w:val="clear" w:color="000000" w:fill="FFFFFF"/>
            <w:vAlign w:val="center"/>
            <w:hideMark/>
          </w:tcPr>
          <w:p w:rsidR="007177E8" w:rsidRPr="002F17B5" w:rsidRDefault="007177E8" w:rsidP="007177E8">
            <w:pPr>
              <w:autoSpaceDE/>
              <w:autoSpaceDN/>
              <w:adjustRightInd/>
              <w:spacing w:before="0" w:after="0"/>
              <w:jc w:val="left"/>
              <w:rPr>
                <w:rFonts w:eastAsia="Times New Roman" w:cs="Arial"/>
                <w:b/>
                <w:bCs/>
                <w:sz w:val="21"/>
                <w:szCs w:val="21"/>
                <w:lang w:eastAsia="en-GB"/>
              </w:rPr>
            </w:pPr>
            <w:r w:rsidRPr="002F17B5">
              <w:rPr>
                <w:rFonts w:eastAsia="Times New Roman" w:cs="Arial"/>
                <w:b/>
                <w:bCs/>
                <w:sz w:val="21"/>
                <w:szCs w:val="21"/>
                <w:lang w:eastAsia="en-GB"/>
              </w:rPr>
              <w:t>Post, Title and Name</w:t>
            </w:r>
          </w:p>
        </w:tc>
        <w:tc>
          <w:tcPr>
            <w:tcW w:w="1417" w:type="dxa"/>
            <w:tcBorders>
              <w:top w:val="nil"/>
              <w:left w:val="nil"/>
              <w:bottom w:val="nil"/>
              <w:right w:val="nil"/>
            </w:tcBorders>
            <w:shd w:val="clear" w:color="000000" w:fill="FFFFFF"/>
            <w:vAlign w:val="center"/>
            <w:hideMark/>
          </w:tcPr>
          <w:p w:rsidR="007177E8" w:rsidRPr="002F17B5" w:rsidRDefault="007177E8" w:rsidP="007177E8">
            <w:pPr>
              <w:autoSpaceDE/>
              <w:autoSpaceDN/>
              <w:adjustRightInd/>
              <w:spacing w:before="0" w:after="0"/>
              <w:jc w:val="center"/>
              <w:rPr>
                <w:rFonts w:eastAsia="Times New Roman" w:cs="Arial"/>
                <w:b/>
                <w:bCs/>
                <w:sz w:val="21"/>
                <w:szCs w:val="21"/>
                <w:lang w:eastAsia="en-GB"/>
              </w:rPr>
            </w:pPr>
            <w:r w:rsidRPr="002F17B5">
              <w:rPr>
                <w:rFonts w:eastAsia="Times New Roman" w:cs="Arial"/>
                <w:b/>
                <w:bCs/>
                <w:sz w:val="21"/>
                <w:szCs w:val="21"/>
                <w:lang w:eastAsia="en-GB"/>
              </w:rPr>
              <w:t>Salary</w:t>
            </w:r>
            <w:r w:rsidR="00E47ECE" w:rsidRPr="002F17B5">
              <w:rPr>
                <w:rFonts w:eastAsia="Times New Roman" w:cs="Arial"/>
                <w:b/>
                <w:bCs/>
                <w:sz w:val="21"/>
                <w:szCs w:val="21"/>
                <w:lang w:eastAsia="en-GB"/>
              </w:rPr>
              <w:t xml:space="preserve"> (including fees and allowances)</w:t>
            </w:r>
          </w:p>
        </w:tc>
        <w:tc>
          <w:tcPr>
            <w:tcW w:w="1134" w:type="dxa"/>
            <w:tcBorders>
              <w:top w:val="nil"/>
              <w:left w:val="nil"/>
              <w:bottom w:val="nil"/>
              <w:right w:val="nil"/>
            </w:tcBorders>
            <w:shd w:val="clear" w:color="000000" w:fill="FFFFFF"/>
            <w:vAlign w:val="center"/>
            <w:hideMark/>
          </w:tcPr>
          <w:p w:rsidR="007177E8" w:rsidRPr="002F17B5" w:rsidRDefault="00227F9C" w:rsidP="00227F9C">
            <w:pPr>
              <w:autoSpaceDE/>
              <w:autoSpaceDN/>
              <w:adjustRightInd/>
              <w:spacing w:before="0" w:after="0"/>
              <w:jc w:val="center"/>
              <w:rPr>
                <w:rFonts w:eastAsia="Times New Roman" w:cs="Arial"/>
                <w:b/>
                <w:bCs/>
                <w:sz w:val="21"/>
                <w:szCs w:val="21"/>
                <w:lang w:eastAsia="en-GB"/>
              </w:rPr>
            </w:pPr>
            <w:r>
              <w:rPr>
                <w:rFonts w:eastAsia="Times New Roman" w:cs="Arial"/>
                <w:b/>
                <w:bCs/>
                <w:sz w:val="21"/>
                <w:szCs w:val="21"/>
                <w:lang w:eastAsia="en-GB"/>
              </w:rPr>
              <w:t xml:space="preserve">Other </w:t>
            </w:r>
            <w:r w:rsidR="007177E8" w:rsidRPr="002F17B5">
              <w:rPr>
                <w:rFonts w:eastAsia="Times New Roman" w:cs="Arial"/>
                <w:b/>
                <w:bCs/>
                <w:sz w:val="21"/>
                <w:szCs w:val="21"/>
                <w:lang w:eastAsia="en-GB"/>
              </w:rPr>
              <w:t>Benefits</w:t>
            </w:r>
            <w:r w:rsidR="00597F30" w:rsidRPr="00597F30">
              <w:rPr>
                <w:rFonts w:eastAsia="Times New Roman" w:cs="Arial"/>
                <w:b/>
                <w:bCs/>
                <w:sz w:val="21"/>
                <w:szCs w:val="21"/>
                <w:vertAlign w:val="superscript"/>
                <w:lang w:eastAsia="en-GB"/>
              </w:rPr>
              <w:t>1</w:t>
            </w:r>
          </w:p>
        </w:tc>
        <w:tc>
          <w:tcPr>
            <w:tcW w:w="1701" w:type="dxa"/>
            <w:tcBorders>
              <w:top w:val="nil"/>
              <w:left w:val="nil"/>
              <w:bottom w:val="nil"/>
              <w:right w:val="nil"/>
            </w:tcBorders>
            <w:shd w:val="clear" w:color="000000" w:fill="FFFFFF"/>
            <w:vAlign w:val="center"/>
            <w:hideMark/>
          </w:tcPr>
          <w:p w:rsidR="007177E8" w:rsidRPr="002F17B5" w:rsidRDefault="009376DC" w:rsidP="007177E8">
            <w:pPr>
              <w:autoSpaceDE/>
              <w:autoSpaceDN/>
              <w:adjustRightInd/>
              <w:spacing w:before="0" w:after="0"/>
              <w:jc w:val="center"/>
              <w:rPr>
                <w:rFonts w:eastAsia="Times New Roman" w:cs="Arial"/>
                <w:b/>
                <w:bCs/>
                <w:sz w:val="21"/>
                <w:szCs w:val="21"/>
                <w:lang w:eastAsia="en-GB"/>
              </w:rPr>
            </w:pPr>
            <w:r w:rsidRPr="002F17B5">
              <w:rPr>
                <w:rFonts w:eastAsia="Times New Roman" w:cs="Arial"/>
                <w:b/>
                <w:bCs/>
                <w:sz w:val="21"/>
                <w:szCs w:val="21"/>
                <w:lang w:eastAsia="en-GB"/>
              </w:rPr>
              <w:t>Total Remuneration excluding pension contributions</w:t>
            </w:r>
          </w:p>
        </w:tc>
        <w:tc>
          <w:tcPr>
            <w:tcW w:w="1701" w:type="dxa"/>
            <w:tcBorders>
              <w:top w:val="nil"/>
              <w:left w:val="nil"/>
              <w:bottom w:val="nil"/>
              <w:right w:val="nil"/>
            </w:tcBorders>
            <w:shd w:val="clear" w:color="000000" w:fill="FFFFFF"/>
            <w:vAlign w:val="center"/>
            <w:hideMark/>
          </w:tcPr>
          <w:p w:rsidR="007177E8" w:rsidRPr="002F17B5" w:rsidRDefault="007177E8" w:rsidP="007177E8">
            <w:pPr>
              <w:autoSpaceDE/>
              <w:autoSpaceDN/>
              <w:adjustRightInd/>
              <w:spacing w:before="0" w:after="0"/>
              <w:jc w:val="center"/>
              <w:rPr>
                <w:rFonts w:eastAsia="Times New Roman" w:cs="Arial"/>
                <w:b/>
                <w:bCs/>
                <w:sz w:val="21"/>
                <w:szCs w:val="21"/>
                <w:lang w:eastAsia="en-GB"/>
              </w:rPr>
            </w:pPr>
            <w:r w:rsidRPr="002F17B5">
              <w:rPr>
                <w:rFonts w:eastAsia="Times New Roman" w:cs="Arial"/>
                <w:b/>
                <w:bCs/>
                <w:sz w:val="21"/>
                <w:szCs w:val="21"/>
                <w:lang w:eastAsia="en-GB"/>
              </w:rPr>
              <w:t>Pension Contributions</w:t>
            </w:r>
          </w:p>
        </w:tc>
        <w:tc>
          <w:tcPr>
            <w:tcW w:w="1701" w:type="dxa"/>
            <w:tcBorders>
              <w:top w:val="nil"/>
              <w:left w:val="nil"/>
              <w:bottom w:val="nil"/>
              <w:right w:val="nil"/>
            </w:tcBorders>
            <w:shd w:val="clear" w:color="000000" w:fill="FFFFFF"/>
            <w:vAlign w:val="center"/>
            <w:hideMark/>
          </w:tcPr>
          <w:p w:rsidR="007177E8" w:rsidRPr="002F17B5" w:rsidRDefault="009376DC" w:rsidP="007177E8">
            <w:pPr>
              <w:autoSpaceDE/>
              <w:autoSpaceDN/>
              <w:adjustRightInd/>
              <w:spacing w:before="0" w:after="0"/>
              <w:jc w:val="center"/>
              <w:rPr>
                <w:rFonts w:eastAsia="Times New Roman" w:cs="Arial"/>
                <w:b/>
                <w:bCs/>
                <w:sz w:val="21"/>
                <w:szCs w:val="21"/>
                <w:lang w:eastAsia="en-GB"/>
              </w:rPr>
            </w:pPr>
            <w:r w:rsidRPr="002F17B5">
              <w:rPr>
                <w:rFonts w:eastAsia="Times New Roman" w:cs="Arial"/>
                <w:b/>
                <w:bCs/>
                <w:sz w:val="21"/>
                <w:szCs w:val="21"/>
                <w:lang w:eastAsia="en-GB"/>
              </w:rPr>
              <w:t>Total Remuneration including pension contributions</w:t>
            </w:r>
          </w:p>
        </w:tc>
      </w:tr>
      <w:tr w:rsidR="007177E8" w:rsidRPr="002F17B5" w:rsidTr="00597F30">
        <w:trPr>
          <w:trHeight w:val="87"/>
        </w:trPr>
        <w:tc>
          <w:tcPr>
            <w:tcW w:w="3119" w:type="dxa"/>
            <w:vMerge/>
            <w:tcBorders>
              <w:top w:val="nil"/>
              <w:left w:val="nil"/>
              <w:bottom w:val="nil"/>
              <w:right w:val="nil"/>
            </w:tcBorders>
            <w:vAlign w:val="center"/>
            <w:hideMark/>
          </w:tcPr>
          <w:p w:rsidR="007177E8" w:rsidRPr="002F17B5" w:rsidRDefault="007177E8" w:rsidP="007177E8">
            <w:pPr>
              <w:autoSpaceDE/>
              <w:autoSpaceDN/>
              <w:adjustRightInd/>
              <w:spacing w:before="0" w:after="0"/>
              <w:jc w:val="left"/>
              <w:rPr>
                <w:rFonts w:eastAsia="Times New Roman" w:cs="Arial"/>
                <w:b/>
                <w:bCs/>
                <w:sz w:val="22"/>
                <w:szCs w:val="22"/>
                <w:lang w:eastAsia="en-GB"/>
              </w:rPr>
            </w:pPr>
          </w:p>
        </w:tc>
        <w:tc>
          <w:tcPr>
            <w:tcW w:w="1417" w:type="dxa"/>
            <w:tcBorders>
              <w:top w:val="nil"/>
              <w:left w:val="nil"/>
              <w:bottom w:val="nil"/>
              <w:right w:val="nil"/>
            </w:tcBorders>
            <w:shd w:val="clear" w:color="000000" w:fill="FFFFFF"/>
            <w:vAlign w:val="center"/>
            <w:hideMark/>
          </w:tcPr>
          <w:p w:rsidR="007177E8" w:rsidRPr="002F17B5" w:rsidRDefault="007177E8" w:rsidP="007177E8">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w:t>
            </w:r>
          </w:p>
        </w:tc>
        <w:tc>
          <w:tcPr>
            <w:tcW w:w="1134" w:type="dxa"/>
            <w:tcBorders>
              <w:top w:val="nil"/>
              <w:left w:val="nil"/>
              <w:bottom w:val="nil"/>
              <w:right w:val="nil"/>
            </w:tcBorders>
            <w:shd w:val="clear" w:color="000000" w:fill="FFFFFF"/>
            <w:vAlign w:val="center"/>
            <w:hideMark/>
          </w:tcPr>
          <w:p w:rsidR="007177E8" w:rsidRPr="002F17B5" w:rsidRDefault="007177E8" w:rsidP="009376DC">
            <w:pPr>
              <w:autoSpaceDE/>
              <w:autoSpaceDN/>
              <w:adjustRightInd/>
              <w:spacing w:before="0" w:after="0"/>
              <w:ind w:left="227"/>
              <w:jc w:val="center"/>
              <w:rPr>
                <w:rFonts w:eastAsia="Times New Roman" w:cs="Arial"/>
                <w:b/>
                <w:bCs/>
                <w:sz w:val="22"/>
                <w:szCs w:val="22"/>
                <w:lang w:eastAsia="en-GB"/>
              </w:rPr>
            </w:pPr>
            <w:r w:rsidRPr="002F17B5">
              <w:rPr>
                <w:rFonts w:eastAsia="Times New Roman" w:cs="Arial"/>
                <w:b/>
                <w:bCs/>
                <w:sz w:val="22"/>
                <w:szCs w:val="22"/>
                <w:lang w:eastAsia="en-GB"/>
              </w:rPr>
              <w:t>£</w:t>
            </w:r>
          </w:p>
        </w:tc>
        <w:tc>
          <w:tcPr>
            <w:tcW w:w="1701" w:type="dxa"/>
            <w:tcBorders>
              <w:top w:val="nil"/>
              <w:left w:val="nil"/>
              <w:bottom w:val="nil"/>
              <w:right w:val="nil"/>
            </w:tcBorders>
            <w:shd w:val="clear" w:color="000000" w:fill="FFFFFF"/>
            <w:vAlign w:val="center"/>
            <w:hideMark/>
          </w:tcPr>
          <w:p w:rsidR="007177E8" w:rsidRPr="002F17B5" w:rsidRDefault="007177E8" w:rsidP="009376DC">
            <w:pPr>
              <w:autoSpaceDE/>
              <w:autoSpaceDN/>
              <w:adjustRightInd/>
              <w:spacing w:before="0" w:after="0"/>
              <w:ind w:left="454"/>
              <w:jc w:val="center"/>
              <w:rPr>
                <w:rFonts w:eastAsia="Times New Roman" w:cs="Arial"/>
                <w:b/>
                <w:bCs/>
                <w:sz w:val="22"/>
                <w:szCs w:val="22"/>
                <w:lang w:eastAsia="en-GB"/>
              </w:rPr>
            </w:pPr>
            <w:r w:rsidRPr="002F17B5">
              <w:rPr>
                <w:rFonts w:eastAsia="Times New Roman" w:cs="Arial"/>
                <w:b/>
                <w:bCs/>
                <w:sz w:val="22"/>
                <w:szCs w:val="22"/>
                <w:lang w:eastAsia="en-GB"/>
              </w:rPr>
              <w:t>£</w:t>
            </w:r>
          </w:p>
        </w:tc>
        <w:tc>
          <w:tcPr>
            <w:tcW w:w="1701" w:type="dxa"/>
            <w:tcBorders>
              <w:top w:val="nil"/>
              <w:left w:val="nil"/>
              <w:bottom w:val="nil"/>
              <w:right w:val="nil"/>
            </w:tcBorders>
            <w:shd w:val="clear" w:color="000000" w:fill="FFFFFF"/>
            <w:vAlign w:val="center"/>
            <w:hideMark/>
          </w:tcPr>
          <w:p w:rsidR="007177E8" w:rsidRPr="002F17B5" w:rsidRDefault="007177E8" w:rsidP="009376DC">
            <w:pPr>
              <w:autoSpaceDE/>
              <w:autoSpaceDN/>
              <w:adjustRightInd/>
              <w:spacing w:before="0" w:after="0"/>
              <w:ind w:left="567"/>
              <w:jc w:val="center"/>
              <w:rPr>
                <w:rFonts w:eastAsia="Times New Roman" w:cs="Arial"/>
                <w:b/>
                <w:bCs/>
                <w:sz w:val="22"/>
                <w:szCs w:val="22"/>
                <w:lang w:eastAsia="en-GB"/>
              </w:rPr>
            </w:pPr>
            <w:r w:rsidRPr="002F17B5">
              <w:rPr>
                <w:rFonts w:eastAsia="Times New Roman" w:cs="Arial"/>
                <w:b/>
                <w:bCs/>
                <w:sz w:val="22"/>
                <w:szCs w:val="22"/>
                <w:lang w:eastAsia="en-GB"/>
              </w:rPr>
              <w:t>£</w:t>
            </w:r>
          </w:p>
        </w:tc>
        <w:tc>
          <w:tcPr>
            <w:tcW w:w="1701" w:type="dxa"/>
            <w:tcBorders>
              <w:top w:val="nil"/>
              <w:left w:val="nil"/>
              <w:bottom w:val="nil"/>
              <w:right w:val="nil"/>
            </w:tcBorders>
            <w:shd w:val="clear" w:color="000000" w:fill="FFFFFF"/>
            <w:vAlign w:val="center"/>
            <w:hideMark/>
          </w:tcPr>
          <w:p w:rsidR="007177E8" w:rsidRPr="002F17B5" w:rsidRDefault="007177E8" w:rsidP="007177E8">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w:t>
            </w:r>
          </w:p>
        </w:tc>
      </w:tr>
      <w:tr w:rsidR="007177E8" w:rsidRPr="002F17B5" w:rsidTr="00E47ECE">
        <w:trPr>
          <w:trHeight w:val="376"/>
        </w:trPr>
        <w:tc>
          <w:tcPr>
            <w:tcW w:w="3119" w:type="dxa"/>
            <w:tcBorders>
              <w:top w:val="nil"/>
              <w:left w:val="nil"/>
              <w:bottom w:val="nil"/>
              <w:right w:val="nil"/>
            </w:tcBorders>
            <w:shd w:val="clear" w:color="000000" w:fill="FFFFFF"/>
            <w:vAlign w:val="center"/>
            <w:hideMark/>
          </w:tcPr>
          <w:p w:rsidR="007177E8" w:rsidRPr="002F17B5" w:rsidRDefault="007177E8" w:rsidP="00597F30">
            <w:pPr>
              <w:autoSpaceDE/>
              <w:autoSpaceDN/>
              <w:adjustRightInd/>
              <w:spacing w:before="0"/>
              <w:jc w:val="left"/>
              <w:rPr>
                <w:rFonts w:eastAsia="Times New Roman" w:cs="Arial"/>
                <w:sz w:val="22"/>
                <w:szCs w:val="22"/>
                <w:lang w:eastAsia="en-GB"/>
              </w:rPr>
            </w:pPr>
            <w:r w:rsidRPr="002F17B5">
              <w:rPr>
                <w:rFonts w:eastAsia="Times New Roman" w:cs="Arial"/>
                <w:sz w:val="22"/>
                <w:szCs w:val="22"/>
                <w:lang w:eastAsia="en-GB"/>
              </w:rPr>
              <w:t>Chief Executive - J Turton</w:t>
            </w:r>
            <w:r w:rsidR="00E47956">
              <w:rPr>
                <w:rFonts w:eastAsia="Times New Roman" w:cs="Arial"/>
                <w:sz w:val="22"/>
                <w:szCs w:val="22"/>
                <w:vertAlign w:val="superscript"/>
                <w:lang w:eastAsia="en-GB"/>
              </w:rPr>
              <w:t>2</w:t>
            </w:r>
          </w:p>
        </w:tc>
        <w:tc>
          <w:tcPr>
            <w:tcW w:w="1417" w:type="dxa"/>
            <w:tcBorders>
              <w:top w:val="nil"/>
              <w:left w:val="nil"/>
              <w:bottom w:val="nil"/>
              <w:right w:val="nil"/>
            </w:tcBorders>
            <w:shd w:val="clear" w:color="000000" w:fill="FFFFFF"/>
            <w:noWrap/>
            <w:vAlign w:val="center"/>
            <w:hideMark/>
          </w:tcPr>
          <w:p w:rsidR="007177E8" w:rsidRPr="002F17B5" w:rsidRDefault="007177E8" w:rsidP="00E47ECE">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169,242</w:t>
            </w:r>
          </w:p>
        </w:tc>
        <w:tc>
          <w:tcPr>
            <w:tcW w:w="1134" w:type="dxa"/>
            <w:tcBorders>
              <w:top w:val="nil"/>
              <w:left w:val="nil"/>
              <w:bottom w:val="nil"/>
              <w:right w:val="nil"/>
            </w:tcBorders>
            <w:shd w:val="clear" w:color="000000" w:fill="FFFFFF"/>
            <w:vAlign w:val="center"/>
            <w:hideMark/>
          </w:tcPr>
          <w:p w:rsidR="007177E8" w:rsidRPr="002F17B5" w:rsidRDefault="007177E8" w:rsidP="00E47ECE">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5,300</w:t>
            </w:r>
          </w:p>
        </w:tc>
        <w:tc>
          <w:tcPr>
            <w:tcW w:w="1701" w:type="dxa"/>
            <w:tcBorders>
              <w:top w:val="nil"/>
              <w:left w:val="nil"/>
              <w:bottom w:val="nil"/>
              <w:right w:val="nil"/>
            </w:tcBorders>
            <w:shd w:val="clear" w:color="000000" w:fill="FFFFFF"/>
            <w:noWrap/>
            <w:vAlign w:val="center"/>
            <w:hideMark/>
          </w:tcPr>
          <w:p w:rsidR="007177E8" w:rsidRPr="002F17B5" w:rsidRDefault="007177E8" w:rsidP="00E47ECE">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174,542</w:t>
            </w:r>
          </w:p>
        </w:tc>
        <w:tc>
          <w:tcPr>
            <w:tcW w:w="1701" w:type="dxa"/>
            <w:tcBorders>
              <w:top w:val="nil"/>
              <w:left w:val="nil"/>
              <w:bottom w:val="nil"/>
              <w:right w:val="nil"/>
            </w:tcBorders>
            <w:shd w:val="clear" w:color="000000" w:fill="FFFFFF"/>
            <w:noWrap/>
            <w:vAlign w:val="center"/>
            <w:hideMark/>
          </w:tcPr>
          <w:p w:rsidR="007177E8" w:rsidRPr="002F17B5" w:rsidRDefault="007177E8" w:rsidP="00E47ECE">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32,326</w:t>
            </w:r>
          </w:p>
        </w:tc>
        <w:tc>
          <w:tcPr>
            <w:tcW w:w="1701" w:type="dxa"/>
            <w:tcBorders>
              <w:top w:val="nil"/>
              <w:left w:val="nil"/>
              <w:bottom w:val="nil"/>
              <w:right w:val="nil"/>
            </w:tcBorders>
            <w:shd w:val="clear" w:color="000000" w:fill="FFFFFF"/>
            <w:vAlign w:val="center"/>
            <w:hideMark/>
          </w:tcPr>
          <w:p w:rsidR="007177E8" w:rsidRPr="002F17B5" w:rsidRDefault="007177E8" w:rsidP="00E47ECE">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206,868</w:t>
            </w:r>
          </w:p>
        </w:tc>
      </w:tr>
      <w:tr w:rsidR="007177E8" w:rsidRPr="002F17B5" w:rsidTr="00E47ECE">
        <w:trPr>
          <w:trHeight w:val="300"/>
        </w:trPr>
        <w:tc>
          <w:tcPr>
            <w:tcW w:w="3119" w:type="dxa"/>
            <w:tcBorders>
              <w:top w:val="nil"/>
              <w:left w:val="nil"/>
              <w:bottom w:val="nil"/>
              <w:right w:val="nil"/>
            </w:tcBorders>
            <w:shd w:val="clear" w:color="000000" w:fill="FFFFFF"/>
            <w:noWrap/>
            <w:vAlign w:val="center"/>
            <w:hideMark/>
          </w:tcPr>
          <w:p w:rsidR="007177E8" w:rsidRPr="002F17B5" w:rsidRDefault="007177E8" w:rsidP="00597F30">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Chief Executive - P Halsall</w:t>
            </w:r>
            <w:r w:rsidR="00E47956">
              <w:rPr>
                <w:rFonts w:eastAsia="Times New Roman" w:cs="Arial"/>
                <w:sz w:val="22"/>
                <w:szCs w:val="22"/>
                <w:vertAlign w:val="superscript"/>
                <w:lang w:eastAsia="en-GB"/>
              </w:rPr>
              <w:t>3</w:t>
            </w:r>
          </w:p>
        </w:tc>
        <w:tc>
          <w:tcPr>
            <w:tcW w:w="1417" w:type="dxa"/>
            <w:tcBorders>
              <w:top w:val="nil"/>
              <w:left w:val="nil"/>
              <w:bottom w:val="nil"/>
              <w:right w:val="nil"/>
            </w:tcBorders>
            <w:shd w:val="clear" w:color="000000" w:fill="FFFFFF"/>
            <w:noWrap/>
            <w:vAlign w:val="center"/>
            <w:hideMark/>
          </w:tcPr>
          <w:p w:rsidR="007177E8" w:rsidRPr="002F17B5" w:rsidRDefault="007177E8" w:rsidP="007177E8">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162,213</w:t>
            </w:r>
          </w:p>
        </w:tc>
        <w:tc>
          <w:tcPr>
            <w:tcW w:w="1134" w:type="dxa"/>
            <w:tcBorders>
              <w:top w:val="nil"/>
              <w:left w:val="nil"/>
              <w:bottom w:val="nil"/>
              <w:right w:val="nil"/>
            </w:tcBorders>
            <w:shd w:val="clear" w:color="000000" w:fill="FFFFFF"/>
            <w:noWrap/>
            <w:vAlign w:val="center"/>
            <w:hideMark/>
          </w:tcPr>
          <w:p w:rsidR="007177E8" w:rsidRPr="002F17B5" w:rsidRDefault="007177E8" w:rsidP="007177E8">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3,091</w:t>
            </w:r>
          </w:p>
        </w:tc>
        <w:tc>
          <w:tcPr>
            <w:tcW w:w="1701" w:type="dxa"/>
            <w:tcBorders>
              <w:top w:val="nil"/>
              <w:left w:val="nil"/>
              <w:bottom w:val="nil"/>
              <w:right w:val="nil"/>
            </w:tcBorders>
            <w:shd w:val="clear" w:color="000000" w:fill="FFFFFF"/>
            <w:noWrap/>
            <w:vAlign w:val="center"/>
            <w:hideMark/>
          </w:tcPr>
          <w:p w:rsidR="007177E8" w:rsidRPr="002F17B5" w:rsidRDefault="007177E8" w:rsidP="007177E8">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165,304</w:t>
            </w:r>
          </w:p>
        </w:tc>
        <w:tc>
          <w:tcPr>
            <w:tcW w:w="1701" w:type="dxa"/>
            <w:tcBorders>
              <w:top w:val="nil"/>
              <w:left w:val="nil"/>
              <w:bottom w:val="nil"/>
              <w:right w:val="nil"/>
            </w:tcBorders>
            <w:shd w:val="clear" w:color="000000" w:fill="FFFFFF"/>
            <w:noWrap/>
            <w:vAlign w:val="center"/>
            <w:hideMark/>
          </w:tcPr>
          <w:p w:rsidR="007177E8" w:rsidRPr="002F17B5" w:rsidRDefault="007177E8" w:rsidP="007177E8">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21,688</w:t>
            </w:r>
          </w:p>
        </w:tc>
        <w:tc>
          <w:tcPr>
            <w:tcW w:w="1701" w:type="dxa"/>
            <w:tcBorders>
              <w:top w:val="nil"/>
              <w:left w:val="nil"/>
              <w:bottom w:val="nil"/>
              <w:right w:val="nil"/>
            </w:tcBorders>
            <w:shd w:val="clear" w:color="000000" w:fill="FFFFFF"/>
            <w:vAlign w:val="center"/>
            <w:hideMark/>
          </w:tcPr>
          <w:p w:rsidR="007177E8" w:rsidRPr="002F17B5" w:rsidRDefault="007177E8" w:rsidP="007177E8">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186,992</w:t>
            </w:r>
          </w:p>
        </w:tc>
      </w:tr>
    </w:tbl>
    <w:p w:rsidR="007177E8" w:rsidRPr="00717EFF" w:rsidRDefault="007177E8">
      <w:pPr>
        <w:spacing w:after="60"/>
        <w:rPr>
          <w:b/>
          <w:sz w:val="18"/>
          <w:szCs w:val="22"/>
        </w:rPr>
      </w:pPr>
    </w:p>
    <w:p w:rsidR="000309C3" w:rsidRPr="002F17B5" w:rsidRDefault="000309C3" w:rsidP="000309C3">
      <w:pPr>
        <w:spacing w:after="60"/>
        <w:rPr>
          <w:b/>
          <w:sz w:val="2"/>
          <w:szCs w:val="22"/>
        </w:rPr>
      </w:pPr>
    </w:p>
    <w:p w:rsidR="000309C3" w:rsidRPr="002F17B5" w:rsidRDefault="000309C3" w:rsidP="000309C3">
      <w:pPr>
        <w:spacing w:after="0"/>
        <w:rPr>
          <w:sz w:val="4"/>
        </w:rPr>
      </w:pPr>
    </w:p>
    <w:p w:rsidR="00B6131E" w:rsidRPr="002F17B5" w:rsidRDefault="00E47956" w:rsidP="000309C3">
      <w:pPr>
        <w:rPr>
          <w:sz w:val="21"/>
          <w:szCs w:val="21"/>
        </w:rPr>
      </w:pPr>
      <w:r w:rsidRPr="00E47956">
        <w:rPr>
          <w:sz w:val="21"/>
          <w:szCs w:val="21"/>
          <w:vertAlign w:val="superscript"/>
        </w:rPr>
        <w:t>1</w:t>
      </w:r>
      <w:r w:rsidR="00597F30">
        <w:rPr>
          <w:sz w:val="21"/>
          <w:szCs w:val="21"/>
        </w:rPr>
        <w:t xml:space="preserve"> </w:t>
      </w:r>
      <w:r w:rsidR="00227F9C">
        <w:rPr>
          <w:sz w:val="21"/>
          <w:szCs w:val="21"/>
        </w:rPr>
        <w:t>Other Benefits</w:t>
      </w:r>
      <w:r w:rsidR="00B6131E" w:rsidRPr="002F17B5">
        <w:rPr>
          <w:sz w:val="21"/>
          <w:szCs w:val="21"/>
        </w:rPr>
        <w:t xml:space="preserve"> relate to either lease car payments,</w:t>
      </w:r>
      <w:r w:rsidR="002554AA" w:rsidRPr="002F17B5">
        <w:rPr>
          <w:sz w:val="21"/>
          <w:szCs w:val="21"/>
        </w:rPr>
        <w:t xml:space="preserve"> or</w:t>
      </w:r>
      <w:r w:rsidR="00B6131E" w:rsidRPr="002F17B5">
        <w:rPr>
          <w:sz w:val="21"/>
          <w:szCs w:val="21"/>
        </w:rPr>
        <w:t xml:space="preserve"> a cash equivalent.</w:t>
      </w:r>
    </w:p>
    <w:p w:rsidR="00B6131E" w:rsidRPr="002F17B5" w:rsidRDefault="00E47956" w:rsidP="000309C3">
      <w:pPr>
        <w:rPr>
          <w:sz w:val="21"/>
          <w:szCs w:val="21"/>
        </w:rPr>
      </w:pPr>
      <w:r>
        <w:rPr>
          <w:sz w:val="21"/>
          <w:szCs w:val="21"/>
          <w:vertAlign w:val="superscript"/>
        </w:rPr>
        <w:t>2</w:t>
      </w:r>
      <w:r w:rsidR="00597F30">
        <w:rPr>
          <w:sz w:val="21"/>
          <w:szCs w:val="21"/>
        </w:rPr>
        <w:t xml:space="preserve"> </w:t>
      </w:r>
      <w:r w:rsidR="00B6131E" w:rsidRPr="002F17B5">
        <w:rPr>
          <w:sz w:val="21"/>
          <w:szCs w:val="21"/>
        </w:rPr>
        <w:t xml:space="preserve">Jo </w:t>
      </w:r>
      <w:proofErr w:type="spellStart"/>
      <w:r w:rsidR="00B6131E" w:rsidRPr="002F17B5">
        <w:rPr>
          <w:sz w:val="21"/>
          <w:szCs w:val="21"/>
        </w:rPr>
        <w:t>Turton</w:t>
      </w:r>
      <w:proofErr w:type="spellEnd"/>
      <w:r w:rsidR="00B6131E" w:rsidRPr="002F17B5">
        <w:rPr>
          <w:sz w:val="21"/>
          <w:szCs w:val="21"/>
        </w:rPr>
        <w:t xml:space="preserve"> held the post of Executive Director for the Environment until 5</w:t>
      </w:r>
      <w:r w:rsidR="005D3E0E" w:rsidRPr="002F17B5">
        <w:rPr>
          <w:sz w:val="21"/>
          <w:szCs w:val="21"/>
          <w:vertAlign w:val="superscript"/>
        </w:rPr>
        <w:t>th</w:t>
      </w:r>
      <w:r w:rsidR="00B6131E" w:rsidRPr="002F17B5">
        <w:rPr>
          <w:sz w:val="21"/>
          <w:szCs w:val="21"/>
        </w:rPr>
        <w:t xml:space="preserve"> August 2013 and then acted up to the post of Interim Chief Executive from 6</w:t>
      </w:r>
      <w:r w:rsidR="005D3E0E" w:rsidRPr="002F17B5">
        <w:rPr>
          <w:sz w:val="21"/>
          <w:szCs w:val="21"/>
          <w:vertAlign w:val="superscript"/>
        </w:rPr>
        <w:t>th</w:t>
      </w:r>
      <w:r w:rsidR="00B6131E" w:rsidRPr="002F17B5">
        <w:rPr>
          <w:sz w:val="21"/>
          <w:szCs w:val="21"/>
        </w:rPr>
        <w:t xml:space="preserve"> August 2013. She was subsequently appointed Chief Executive on 20</w:t>
      </w:r>
      <w:r w:rsidR="005D3E0E" w:rsidRPr="002F17B5">
        <w:rPr>
          <w:sz w:val="21"/>
          <w:szCs w:val="21"/>
          <w:vertAlign w:val="superscript"/>
        </w:rPr>
        <w:t>th</w:t>
      </w:r>
      <w:r w:rsidR="00B6131E" w:rsidRPr="002F17B5">
        <w:rPr>
          <w:sz w:val="21"/>
          <w:szCs w:val="21"/>
        </w:rPr>
        <w:t xml:space="preserve"> February 2014 on an annual salary of £170,000.</w:t>
      </w:r>
    </w:p>
    <w:p w:rsidR="000309C3" w:rsidRPr="002F17B5" w:rsidRDefault="00E47956" w:rsidP="000309C3">
      <w:pPr>
        <w:rPr>
          <w:sz w:val="21"/>
          <w:szCs w:val="21"/>
        </w:rPr>
      </w:pPr>
      <w:r w:rsidRPr="00E47956">
        <w:rPr>
          <w:sz w:val="21"/>
          <w:szCs w:val="21"/>
          <w:vertAlign w:val="superscript"/>
        </w:rPr>
        <w:t>3</w:t>
      </w:r>
      <w:r w:rsidR="00597F30">
        <w:rPr>
          <w:sz w:val="21"/>
          <w:szCs w:val="21"/>
        </w:rPr>
        <w:t xml:space="preserve"> </w:t>
      </w:r>
      <w:r w:rsidR="00B6131E" w:rsidRPr="002F17B5">
        <w:rPr>
          <w:sz w:val="21"/>
          <w:szCs w:val="21"/>
        </w:rPr>
        <w:t>Phil Halsall held the post of Chief Executive until 31</w:t>
      </w:r>
      <w:r w:rsidR="005D3E0E" w:rsidRPr="002F17B5">
        <w:rPr>
          <w:sz w:val="21"/>
          <w:szCs w:val="21"/>
          <w:vertAlign w:val="superscript"/>
        </w:rPr>
        <w:t>st</w:t>
      </w:r>
      <w:r w:rsidR="006332C6" w:rsidRPr="002F17B5">
        <w:rPr>
          <w:sz w:val="21"/>
          <w:szCs w:val="21"/>
        </w:rPr>
        <w:t xml:space="preserve"> October 2013 </w:t>
      </w:r>
      <w:r w:rsidR="006D3C53">
        <w:rPr>
          <w:sz w:val="21"/>
          <w:szCs w:val="21"/>
        </w:rPr>
        <w:t>on an annual salary of £194</w:t>
      </w:r>
      <w:r w:rsidR="007B061D">
        <w:rPr>
          <w:sz w:val="21"/>
          <w:szCs w:val="21"/>
        </w:rPr>
        <w:t>,</w:t>
      </w:r>
      <w:r w:rsidR="006D3C53">
        <w:rPr>
          <w:sz w:val="21"/>
          <w:szCs w:val="21"/>
        </w:rPr>
        <w:t>655</w:t>
      </w:r>
      <w:r w:rsidR="00B6131E" w:rsidRPr="002F17B5">
        <w:rPr>
          <w:sz w:val="21"/>
          <w:szCs w:val="21"/>
        </w:rPr>
        <w:t>.</w:t>
      </w:r>
    </w:p>
    <w:p w:rsidR="008111A3" w:rsidRDefault="008111A3" w:rsidP="000309C3">
      <w:pPr>
        <w:spacing w:after="60"/>
        <w:rPr>
          <w:b/>
          <w:sz w:val="28"/>
          <w:szCs w:val="22"/>
        </w:rPr>
      </w:pPr>
    </w:p>
    <w:p w:rsidR="00717EFF" w:rsidRDefault="00717EFF" w:rsidP="000309C3">
      <w:pPr>
        <w:spacing w:after="60"/>
        <w:rPr>
          <w:b/>
          <w:sz w:val="28"/>
          <w:szCs w:val="22"/>
        </w:rPr>
      </w:pPr>
    </w:p>
    <w:p w:rsidR="006728BA" w:rsidRDefault="006728BA" w:rsidP="000309C3">
      <w:pPr>
        <w:spacing w:after="60"/>
        <w:rPr>
          <w:b/>
          <w:sz w:val="28"/>
          <w:szCs w:val="22"/>
        </w:rPr>
      </w:pPr>
    </w:p>
    <w:p w:rsidR="006728BA" w:rsidRDefault="006728BA" w:rsidP="000309C3">
      <w:pPr>
        <w:spacing w:after="60"/>
        <w:rPr>
          <w:b/>
          <w:sz w:val="28"/>
          <w:szCs w:val="22"/>
        </w:rPr>
      </w:pPr>
    </w:p>
    <w:p w:rsidR="006728BA" w:rsidRDefault="006728BA" w:rsidP="000309C3">
      <w:pPr>
        <w:spacing w:after="60"/>
        <w:rPr>
          <w:b/>
          <w:sz w:val="28"/>
          <w:szCs w:val="22"/>
        </w:rPr>
      </w:pPr>
    </w:p>
    <w:p w:rsidR="006728BA" w:rsidRPr="00717EFF" w:rsidRDefault="006728BA" w:rsidP="000309C3">
      <w:pPr>
        <w:spacing w:after="60"/>
        <w:rPr>
          <w:b/>
          <w:sz w:val="28"/>
          <w:szCs w:val="22"/>
        </w:rPr>
      </w:pPr>
    </w:p>
    <w:p w:rsidR="000309C3" w:rsidRDefault="000309C3" w:rsidP="000309C3">
      <w:pPr>
        <w:spacing w:after="60"/>
        <w:rPr>
          <w:b/>
          <w:szCs w:val="22"/>
        </w:rPr>
      </w:pPr>
      <w:r w:rsidRPr="002F17B5">
        <w:rPr>
          <w:b/>
          <w:szCs w:val="22"/>
        </w:rPr>
        <w:lastRenderedPageBreak/>
        <w:t xml:space="preserve">Disclosure of senior officers' remuneration </w:t>
      </w:r>
      <w:r w:rsidR="00CD4CF3" w:rsidRPr="002F17B5">
        <w:rPr>
          <w:b/>
          <w:szCs w:val="22"/>
        </w:rPr>
        <w:t>2012/13</w:t>
      </w:r>
      <w:r w:rsidRPr="002F17B5">
        <w:rPr>
          <w:b/>
          <w:szCs w:val="22"/>
        </w:rPr>
        <w:t>: Salaries over £150k</w:t>
      </w:r>
    </w:p>
    <w:p w:rsidR="00495D89" w:rsidRPr="002F17B5" w:rsidRDefault="00495D89" w:rsidP="000309C3">
      <w:pPr>
        <w:spacing w:after="60"/>
        <w:rPr>
          <w:b/>
          <w:szCs w:val="22"/>
        </w:rPr>
      </w:pPr>
    </w:p>
    <w:tbl>
      <w:tblPr>
        <w:tblStyle w:val="TableGrid"/>
        <w:tblW w:w="10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580"/>
        <w:gridCol w:w="1439"/>
        <w:gridCol w:w="1041"/>
        <w:gridCol w:w="1123"/>
        <w:gridCol w:w="1576"/>
        <w:gridCol w:w="1585"/>
        <w:gridCol w:w="1576"/>
      </w:tblGrid>
      <w:tr w:rsidR="007B061D" w:rsidRPr="002F17B5" w:rsidTr="007B061D">
        <w:trPr>
          <w:trHeight w:val="1502"/>
          <w:jc w:val="center"/>
        </w:trPr>
        <w:tc>
          <w:tcPr>
            <w:tcW w:w="1768" w:type="dxa"/>
            <w:vAlign w:val="center"/>
          </w:tcPr>
          <w:p w:rsidR="007B061D" w:rsidRPr="002F17B5" w:rsidRDefault="007B061D" w:rsidP="00363BAC">
            <w:pPr>
              <w:pStyle w:val="Heading3-numbered"/>
              <w:numPr>
                <w:ilvl w:val="0"/>
                <w:numId w:val="0"/>
              </w:numPr>
              <w:spacing w:after="60"/>
              <w:jc w:val="center"/>
              <w:rPr>
                <w:rStyle w:val="Strong"/>
                <w:rFonts w:eastAsia="Calibri" w:cs="Helvetica-Light"/>
                <w:b/>
                <w:bCs/>
                <w:i w:val="0"/>
                <w:color w:val="000000"/>
                <w:sz w:val="21"/>
                <w:szCs w:val="21"/>
              </w:rPr>
            </w:pPr>
            <w:r w:rsidRPr="002F17B5">
              <w:rPr>
                <w:rStyle w:val="Strong"/>
                <w:rFonts w:eastAsia="Calibri" w:cs="Helvetica-Light"/>
                <w:b/>
                <w:bCs/>
                <w:i w:val="0"/>
                <w:color w:val="000000"/>
                <w:sz w:val="21"/>
                <w:szCs w:val="21"/>
              </w:rPr>
              <w:t>Post, title and name</w:t>
            </w:r>
          </w:p>
        </w:tc>
        <w:tc>
          <w:tcPr>
            <w:tcW w:w="606" w:type="dxa"/>
          </w:tcPr>
          <w:p w:rsidR="007B061D" w:rsidRPr="002F17B5" w:rsidRDefault="007B061D" w:rsidP="00363BAC">
            <w:pPr>
              <w:pStyle w:val="Heading3-numbered"/>
              <w:numPr>
                <w:ilvl w:val="0"/>
                <w:numId w:val="0"/>
              </w:numPr>
              <w:spacing w:after="60"/>
              <w:jc w:val="center"/>
              <w:rPr>
                <w:rStyle w:val="Strong"/>
                <w:rFonts w:eastAsia="Calibri" w:cs="Helvetica-Light"/>
                <w:b/>
                <w:bCs/>
                <w:i w:val="0"/>
                <w:color w:val="000000"/>
                <w:sz w:val="21"/>
                <w:szCs w:val="21"/>
              </w:rPr>
            </w:pPr>
          </w:p>
        </w:tc>
        <w:tc>
          <w:tcPr>
            <w:tcW w:w="1441" w:type="dxa"/>
            <w:vAlign w:val="center"/>
          </w:tcPr>
          <w:p w:rsidR="007B061D" w:rsidRPr="002F17B5" w:rsidRDefault="007B061D" w:rsidP="00363BAC">
            <w:pPr>
              <w:pStyle w:val="Heading3-numbered"/>
              <w:numPr>
                <w:ilvl w:val="0"/>
                <w:numId w:val="0"/>
              </w:numPr>
              <w:spacing w:after="60"/>
              <w:jc w:val="center"/>
              <w:rPr>
                <w:rStyle w:val="Strong"/>
                <w:rFonts w:eastAsia="Calibri" w:cs="Helvetica-Light"/>
                <w:b/>
                <w:bCs/>
                <w:i w:val="0"/>
                <w:color w:val="000000"/>
                <w:sz w:val="21"/>
                <w:szCs w:val="21"/>
              </w:rPr>
            </w:pPr>
            <w:r w:rsidRPr="002F17B5">
              <w:rPr>
                <w:rStyle w:val="Strong"/>
                <w:rFonts w:eastAsia="Calibri" w:cs="Helvetica-Light"/>
                <w:b/>
                <w:bCs/>
                <w:i w:val="0"/>
                <w:color w:val="000000"/>
                <w:sz w:val="21"/>
                <w:szCs w:val="21"/>
              </w:rPr>
              <w:t>Salary (including fees and allowances)</w:t>
            </w:r>
          </w:p>
        </w:tc>
        <w:tc>
          <w:tcPr>
            <w:tcW w:w="1043" w:type="dxa"/>
            <w:vAlign w:val="center"/>
          </w:tcPr>
          <w:p w:rsidR="007B061D" w:rsidRPr="002F17B5" w:rsidRDefault="007B061D" w:rsidP="00363BAC">
            <w:pPr>
              <w:pStyle w:val="Heading3-numbered"/>
              <w:numPr>
                <w:ilvl w:val="0"/>
                <w:numId w:val="0"/>
              </w:numPr>
              <w:spacing w:after="60"/>
              <w:jc w:val="center"/>
              <w:rPr>
                <w:rStyle w:val="Strong"/>
                <w:rFonts w:eastAsia="Calibri" w:cs="Helvetica-Light"/>
                <w:b/>
                <w:bCs/>
                <w:i w:val="0"/>
                <w:color w:val="000000"/>
                <w:sz w:val="21"/>
                <w:szCs w:val="21"/>
              </w:rPr>
            </w:pPr>
            <w:r w:rsidRPr="002F17B5">
              <w:rPr>
                <w:rStyle w:val="Strong"/>
                <w:rFonts w:eastAsia="Calibri" w:cs="Helvetica-Light"/>
                <w:b/>
                <w:bCs/>
                <w:i w:val="0"/>
                <w:color w:val="000000"/>
                <w:sz w:val="21"/>
                <w:szCs w:val="21"/>
              </w:rPr>
              <w:t>Bonus</w:t>
            </w:r>
          </w:p>
        </w:tc>
        <w:tc>
          <w:tcPr>
            <w:tcW w:w="1083" w:type="dxa"/>
            <w:vAlign w:val="center"/>
          </w:tcPr>
          <w:p w:rsidR="007B061D" w:rsidRPr="002F17B5" w:rsidRDefault="00227F9C" w:rsidP="00227F9C">
            <w:pPr>
              <w:pStyle w:val="Heading3-numbered"/>
              <w:numPr>
                <w:ilvl w:val="0"/>
                <w:numId w:val="0"/>
              </w:numPr>
              <w:spacing w:after="60"/>
              <w:jc w:val="center"/>
              <w:rPr>
                <w:rStyle w:val="Strong"/>
                <w:rFonts w:eastAsia="Calibri" w:cs="Helvetica-Light"/>
                <w:b/>
                <w:bCs/>
                <w:i w:val="0"/>
                <w:color w:val="000000"/>
                <w:sz w:val="21"/>
                <w:szCs w:val="21"/>
              </w:rPr>
            </w:pPr>
            <w:r>
              <w:rPr>
                <w:rStyle w:val="Strong"/>
                <w:rFonts w:eastAsia="Calibri" w:cs="Helvetica-Light"/>
                <w:b/>
                <w:bCs/>
                <w:i w:val="0"/>
                <w:color w:val="000000"/>
                <w:sz w:val="21"/>
                <w:szCs w:val="21"/>
              </w:rPr>
              <w:t>Other Benefits</w:t>
            </w:r>
            <w:r w:rsidR="007B061D" w:rsidRPr="00E47956">
              <w:rPr>
                <w:rStyle w:val="Strong"/>
                <w:rFonts w:eastAsia="Calibri" w:cs="Helvetica-Light"/>
                <w:b/>
                <w:bCs/>
                <w:i w:val="0"/>
                <w:color w:val="000000"/>
                <w:sz w:val="21"/>
                <w:szCs w:val="21"/>
                <w:vertAlign w:val="superscript"/>
              </w:rPr>
              <w:t>1</w:t>
            </w:r>
          </w:p>
        </w:tc>
        <w:tc>
          <w:tcPr>
            <w:tcW w:w="1577" w:type="dxa"/>
            <w:vAlign w:val="center"/>
          </w:tcPr>
          <w:p w:rsidR="007B061D" w:rsidRPr="002F17B5" w:rsidRDefault="007B061D" w:rsidP="00363BAC">
            <w:pPr>
              <w:pStyle w:val="Heading3-numbered"/>
              <w:numPr>
                <w:ilvl w:val="0"/>
                <w:numId w:val="0"/>
              </w:numPr>
              <w:spacing w:after="60"/>
              <w:jc w:val="center"/>
              <w:rPr>
                <w:rStyle w:val="Strong"/>
                <w:rFonts w:eastAsia="Calibri" w:cs="Helvetica-Light"/>
                <w:b/>
                <w:bCs/>
                <w:i w:val="0"/>
                <w:color w:val="000000"/>
                <w:sz w:val="21"/>
                <w:szCs w:val="21"/>
              </w:rPr>
            </w:pPr>
            <w:r w:rsidRPr="002F17B5">
              <w:rPr>
                <w:rStyle w:val="Strong"/>
                <w:rFonts w:eastAsia="Calibri" w:cs="Helvetica-Light"/>
                <w:b/>
                <w:bCs/>
                <w:i w:val="0"/>
                <w:color w:val="000000"/>
                <w:sz w:val="21"/>
                <w:szCs w:val="21"/>
              </w:rPr>
              <w:t>Total remuneration excluding pension contributions 2012/13</w:t>
            </w:r>
          </w:p>
        </w:tc>
        <w:tc>
          <w:tcPr>
            <w:tcW w:w="1587" w:type="dxa"/>
            <w:vAlign w:val="center"/>
          </w:tcPr>
          <w:p w:rsidR="007B061D" w:rsidRPr="002F17B5" w:rsidRDefault="007B061D">
            <w:pPr>
              <w:pStyle w:val="Heading3-numbered"/>
              <w:numPr>
                <w:ilvl w:val="0"/>
                <w:numId w:val="0"/>
              </w:numPr>
              <w:spacing w:after="60"/>
              <w:jc w:val="center"/>
              <w:rPr>
                <w:rStyle w:val="Strong"/>
                <w:rFonts w:eastAsia="Calibri" w:cs="Helvetica-Light"/>
                <w:b/>
                <w:bCs/>
                <w:i w:val="0"/>
                <w:color w:val="000000"/>
                <w:sz w:val="21"/>
                <w:szCs w:val="21"/>
              </w:rPr>
            </w:pPr>
            <w:r w:rsidRPr="002F17B5">
              <w:rPr>
                <w:rStyle w:val="Strong"/>
                <w:rFonts w:eastAsia="Calibri" w:cs="Helvetica-Light"/>
                <w:b/>
                <w:bCs/>
                <w:i w:val="0"/>
                <w:color w:val="000000"/>
                <w:sz w:val="21"/>
                <w:szCs w:val="21"/>
              </w:rPr>
              <w:t xml:space="preserve">Pension contributions </w:t>
            </w:r>
          </w:p>
        </w:tc>
        <w:tc>
          <w:tcPr>
            <w:tcW w:w="1577" w:type="dxa"/>
            <w:vAlign w:val="center"/>
          </w:tcPr>
          <w:p w:rsidR="007B061D" w:rsidRPr="002F17B5" w:rsidRDefault="007B061D" w:rsidP="00363BAC">
            <w:pPr>
              <w:pStyle w:val="Heading3-numbered"/>
              <w:numPr>
                <w:ilvl w:val="0"/>
                <w:numId w:val="0"/>
              </w:numPr>
              <w:spacing w:after="60"/>
              <w:jc w:val="center"/>
              <w:rPr>
                <w:rStyle w:val="Strong"/>
                <w:rFonts w:eastAsia="Calibri" w:cs="Helvetica-Light"/>
                <w:b/>
                <w:bCs/>
                <w:i w:val="0"/>
                <w:color w:val="000000"/>
                <w:sz w:val="21"/>
                <w:szCs w:val="21"/>
              </w:rPr>
            </w:pPr>
            <w:r w:rsidRPr="002F17B5">
              <w:rPr>
                <w:rStyle w:val="Strong"/>
                <w:rFonts w:eastAsia="Calibri" w:cs="Helvetica-Light"/>
                <w:b/>
                <w:bCs/>
                <w:i w:val="0"/>
                <w:color w:val="000000"/>
                <w:sz w:val="21"/>
                <w:szCs w:val="21"/>
              </w:rPr>
              <w:t>Total remuneration including pension contributions 2012/13</w:t>
            </w:r>
          </w:p>
        </w:tc>
      </w:tr>
      <w:tr w:rsidR="007B061D" w:rsidRPr="002F17B5" w:rsidTr="007B061D">
        <w:trPr>
          <w:trHeight w:val="206"/>
          <w:jc w:val="center"/>
        </w:trPr>
        <w:tc>
          <w:tcPr>
            <w:tcW w:w="1768" w:type="dxa"/>
          </w:tcPr>
          <w:p w:rsidR="007B061D" w:rsidRPr="002F17B5" w:rsidRDefault="007B061D" w:rsidP="00E47ECE">
            <w:pPr>
              <w:pStyle w:val="Heading3-numbered"/>
              <w:numPr>
                <w:ilvl w:val="0"/>
                <w:numId w:val="0"/>
              </w:numPr>
              <w:spacing w:before="0" w:after="0"/>
              <w:jc w:val="left"/>
              <w:rPr>
                <w:rStyle w:val="Strong"/>
                <w:rFonts w:eastAsia="Calibri" w:cs="Helvetica-Light"/>
                <w:bCs/>
                <w:i w:val="0"/>
                <w:color w:val="000000"/>
                <w:sz w:val="22"/>
                <w:szCs w:val="22"/>
              </w:rPr>
            </w:pPr>
          </w:p>
        </w:tc>
        <w:tc>
          <w:tcPr>
            <w:tcW w:w="606" w:type="dxa"/>
          </w:tcPr>
          <w:p w:rsidR="007B061D" w:rsidRPr="002F17B5" w:rsidRDefault="007B061D" w:rsidP="00E47ECE">
            <w:pPr>
              <w:pStyle w:val="Heading3-numbered"/>
              <w:numPr>
                <w:ilvl w:val="0"/>
                <w:numId w:val="0"/>
              </w:numPr>
              <w:spacing w:before="0" w:after="0"/>
              <w:jc w:val="center"/>
              <w:rPr>
                <w:rStyle w:val="Strong"/>
                <w:rFonts w:eastAsia="Calibri" w:cs="Helvetica-Light"/>
                <w:b/>
                <w:bCs/>
                <w:i w:val="0"/>
                <w:color w:val="000000"/>
                <w:sz w:val="22"/>
                <w:szCs w:val="22"/>
              </w:rPr>
            </w:pPr>
          </w:p>
        </w:tc>
        <w:tc>
          <w:tcPr>
            <w:tcW w:w="1441" w:type="dxa"/>
            <w:vAlign w:val="center"/>
          </w:tcPr>
          <w:p w:rsidR="007B061D" w:rsidRPr="002F17B5" w:rsidRDefault="007B061D" w:rsidP="00E47ECE">
            <w:pPr>
              <w:pStyle w:val="Heading3-numbered"/>
              <w:numPr>
                <w:ilvl w:val="0"/>
                <w:numId w:val="0"/>
              </w:numPr>
              <w:spacing w:before="0" w:after="0"/>
              <w:jc w:val="center"/>
              <w:rPr>
                <w:rStyle w:val="Strong"/>
                <w:rFonts w:eastAsia="Calibri" w:cs="Helvetica-Light"/>
                <w:b/>
                <w:bCs/>
                <w:i w:val="0"/>
                <w:color w:val="000000"/>
                <w:sz w:val="22"/>
                <w:szCs w:val="22"/>
              </w:rPr>
            </w:pPr>
            <w:r w:rsidRPr="002F17B5">
              <w:rPr>
                <w:rStyle w:val="Strong"/>
                <w:rFonts w:eastAsia="Calibri" w:cs="Helvetica-Light"/>
                <w:b/>
                <w:bCs/>
                <w:i w:val="0"/>
                <w:color w:val="000000"/>
                <w:sz w:val="22"/>
                <w:szCs w:val="22"/>
              </w:rPr>
              <w:t>£</w:t>
            </w:r>
          </w:p>
        </w:tc>
        <w:tc>
          <w:tcPr>
            <w:tcW w:w="1043" w:type="dxa"/>
            <w:vAlign w:val="center"/>
          </w:tcPr>
          <w:p w:rsidR="007B061D" w:rsidRPr="002F17B5" w:rsidRDefault="007B061D" w:rsidP="00E47ECE">
            <w:pPr>
              <w:pStyle w:val="Heading3-numbered"/>
              <w:numPr>
                <w:ilvl w:val="0"/>
                <w:numId w:val="0"/>
              </w:numPr>
              <w:spacing w:before="0" w:after="0"/>
              <w:jc w:val="center"/>
              <w:rPr>
                <w:rStyle w:val="Strong"/>
                <w:rFonts w:eastAsia="Calibri" w:cs="Helvetica-Light"/>
                <w:b/>
                <w:bCs/>
                <w:i w:val="0"/>
                <w:color w:val="000000"/>
                <w:sz w:val="22"/>
                <w:szCs w:val="22"/>
              </w:rPr>
            </w:pPr>
            <w:r w:rsidRPr="002F17B5">
              <w:rPr>
                <w:rStyle w:val="Strong"/>
                <w:rFonts w:eastAsia="Calibri" w:cs="Helvetica-Light"/>
                <w:b/>
                <w:bCs/>
                <w:i w:val="0"/>
                <w:color w:val="000000"/>
                <w:sz w:val="22"/>
                <w:szCs w:val="22"/>
              </w:rPr>
              <w:t>£</w:t>
            </w:r>
          </w:p>
        </w:tc>
        <w:tc>
          <w:tcPr>
            <w:tcW w:w="1083" w:type="dxa"/>
            <w:vAlign w:val="center"/>
          </w:tcPr>
          <w:p w:rsidR="007B061D" w:rsidRPr="002F17B5" w:rsidRDefault="007B061D" w:rsidP="00E47ECE">
            <w:pPr>
              <w:pStyle w:val="Heading3-numbered"/>
              <w:numPr>
                <w:ilvl w:val="0"/>
                <w:numId w:val="0"/>
              </w:numPr>
              <w:spacing w:before="0" w:after="0"/>
              <w:jc w:val="center"/>
              <w:rPr>
                <w:rStyle w:val="Strong"/>
                <w:rFonts w:eastAsia="Calibri" w:cs="Helvetica-Light"/>
                <w:b/>
                <w:bCs/>
                <w:i w:val="0"/>
                <w:color w:val="000000"/>
                <w:sz w:val="22"/>
                <w:szCs w:val="22"/>
              </w:rPr>
            </w:pPr>
            <w:r w:rsidRPr="002F17B5">
              <w:rPr>
                <w:rStyle w:val="Strong"/>
                <w:rFonts w:eastAsia="Calibri" w:cs="Helvetica-Light"/>
                <w:b/>
                <w:bCs/>
                <w:i w:val="0"/>
                <w:color w:val="000000"/>
                <w:sz w:val="22"/>
                <w:szCs w:val="22"/>
              </w:rPr>
              <w:t>£</w:t>
            </w:r>
          </w:p>
        </w:tc>
        <w:tc>
          <w:tcPr>
            <w:tcW w:w="1577" w:type="dxa"/>
            <w:vAlign w:val="center"/>
          </w:tcPr>
          <w:p w:rsidR="007B061D" w:rsidRPr="002F17B5" w:rsidRDefault="007B061D" w:rsidP="00E47ECE">
            <w:pPr>
              <w:pStyle w:val="Heading3-numbered"/>
              <w:numPr>
                <w:ilvl w:val="0"/>
                <w:numId w:val="0"/>
              </w:numPr>
              <w:spacing w:before="0" w:after="0"/>
              <w:jc w:val="center"/>
              <w:rPr>
                <w:rStyle w:val="Strong"/>
                <w:rFonts w:eastAsia="Calibri" w:cs="Helvetica-Light"/>
                <w:b/>
                <w:bCs/>
                <w:i w:val="0"/>
                <w:color w:val="000000"/>
                <w:sz w:val="22"/>
                <w:szCs w:val="22"/>
              </w:rPr>
            </w:pPr>
            <w:r w:rsidRPr="002F17B5">
              <w:rPr>
                <w:rStyle w:val="Strong"/>
                <w:rFonts w:eastAsia="Calibri" w:cs="Helvetica-Light"/>
                <w:b/>
                <w:bCs/>
                <w:i w:val="0"/>
                <w:color w:val="000000"/>
                <w:sz w:val="22"/>
                <w:szCs w:val="22"/>
              </w:rPr>
              <w:t>£</w:t>
            </w:r>
          </w:p>
        </w:tc>
        <w:tc>
          <w:tcPr>
            <w:tcW w:w="1587" w:type="dxa"/>
            <w:vAlign w:val="center"/>
          </w:tcPr>
          <w:p w:rsidR="007B061D" w:rsidRPr="002F17B5" w:rsidRDefault="007B061D" w:rsidP="00E47ECE">
            <w:pPr>
              <w:pStyle w:val="Heading3-numbered"/>
              <w:numPr>
                <w:ilvl w:val="0"/>
                <w:numId w:val="0"/>
              </w:numPr>
              <w:spacing w:before="0" w:after="0"/>
              <w:jc w:val="center"/>
              <w:rPr>
                <w:rStyle w:val="Strong"/>
                <w:rFonts w:eastAsia="Calibri" w:cs="Helvetica-Light"/>
                <w:b/>
                <w:bCs/>
                <w:i w:val="0"/>
                <w:color w:val="000000"/>
                <w:sz w:val="22"/>
                <w:szCs w:val="22"/>
              </w:rPr>
            </w:pPr>
            <w:r w:rsidRPr="002F17B5">
              <w:rPr>
                <w:rStyle w:val="Strong"/>
                <w:rFonts w:eastAsia="Calibri" w:cs="Helvetica-Light"/>
                <w:b/>
                <w:bCs/>
                <w:i w:val="0"/>
                <w:color w:val="000000"/>
                <w:sz w:val="22"/>
                <w:szCs w:val="22"/>
              </w:rPr>
              <w:t>£</w:t>
            </w:r>
          </w:p>
        </w:tc>
        <w:tc>
          <w:tcPr>
            <w:tcW w:w="1577" w:type="dxa"/>
            <w:vAlign w:val="center"/>
          </w:tcPr>
          <w:p w:rsidR="007B061D" w:rsidRPr="002F17B5" w:rsidRDefault="007B061D" w:rsidP="00E47ECE">
            <w:pPr>
              <w:pStyle w:val="Heading3-numbered"/>
              <w:numPr>
                <w:ilvl w:val="0"/>
                <w:numId w:val="0"/>
              </w:numPr>
              <w:spacing w:before="0" w:after="0"/>
              <w:jc w:val="center"/>
              <w:rPr>
                <w:rStyle w:val="Strong"/>
                <w:rFonts w:eastAsia="Calibri" w:cs="Helvetica-Light"/>
                <w:b/>
                <w:bCs/>
                <w:i w:val="0"/>
                <w:color w:val="000000"/>
                <w:sz w:val="22"/>
                <w:szCs w:val="22"/>
              </w:rPr>
            </w:pPr>
            <w:r w:rsidRPr="002F17B5">
              <w:rPr>
                <w:rStyle w:val="Strong"/>
                <w:rFonts w:eastAsia="Calibri" w:cs="Helvetica-Light"/>
                <w:b/>
                <w:bCs/>
                <w:i w:val="0"/>
                <w:color w:val="000000"/>
                <w:sz w:val="22"/>
                <w:szCs w:val="22"/>
              </w:rPr>
              <w:t>£</w:t>
            </w:r>
          </w:p>
        </w:tc>
      </w:tr>
      <w:tr w:rsidR="007B061D" w:rsidRPr="002F17B5" w:rsidTr="007B061D">
        <w:trPr>
          <w:jc w:val="center"/>
        </w:trPr>
        <w:tc>
          <w:tcPr>
            <w:tcW w:w="1768" w:type="dxa"/>
            <w:vAlign w:val="center"/>
          </w:tcPr>
          <w:p w:rsidR="007B061D" w:rsidRPr="002F17B5" w:rsidRDefault="007B061D" w:rsidP="00363BAC">
            <w:pPr>
              <w:pStyle w:val="Heading3-numbered"/>
              <w:numPr>
                <w:ilvl w:val="0"/>
                <w:numId w:val="0"/>
              </w:numPr>
              <w:spacing w:after="60"/>
              <w:jc w:val="lef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Chief Executive – P Halsall</w:t>
            </w:r>
          </w:p>
        </w:tc>
        <w:tc>
          <w:tcPr>
            <w:tcW w:w="606" w:type="dxa"/>
          </w:tcPr>
          <w:p w:rsidR="007B061D" w:rsidRPr="002F17B5" w:rsidRDefault="007B061D" w:rsidP="0021200B">
            <w:pPr>
              <w:pStyle w:val="Heading3-numbered"/>
              <w:numPr>
                <w:ilvl w:val="0"/>
                <w:numId w:val="0"/>
              </w:numPr>
              <w:spacing w:after="60"/>
              <w:ind w:right="190"/>
              <w:jc w:val="right"/>
              <w:rPr>
                <w:rStyle w:val="Strong"/>
                <w:rFonts w:eastAsia="Calibri" w:cs="Helvetica-Light"/>
                <w:bCs/>
                <w:i w:val="0"/>
                <w:color w:val="000000"/>
                <w:sz w:val="22"/>
                <w:szCs w:val="22"/>
              </w:rPr>
            </w:pPr>
          </w:p>
        </w:tc>
        <w:tc>
          <w:tcPr>
            <w:tcW w:w="1441" w:type="dxa"/>
            <w:vAlign w:val="center"/>
          </w:tcPr>
          <w:p w:rsidR="007B061D" w:rsidRPr="002F17B5" w:rsidRDefault="007B061D" w:rsidP="0021200B">
            <w:pPr>
              <w:pStyle w:val="Heading3-numbered"/>
              <w:numPr>
                <w:ilvl w:val="0"/>
                <w:numId w:val="0"/>
              </w:numPr>
              <w:spacing w:after="60"/>
              <w:ind w:right="190"/>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194,655</w:t>
            </w:r>
          </w:p>
        </w:tc>
        <w:tc>
          <w:tcPr>
            <w:tcW w:w="1043" w:type="dxa"/>
            <w:vAlign w:val="center"/>
          </w:tcPr>
          <w:p w:rsidR="007B061D" w:rsidRPr="002F17B5" w:rsidRDefault="007B061D" w:rsidP="0021200B">
            <w:pPr>
              <w:pStyle w:val="Heading3-numbered"/>
              <w:numPr>
                <w:ilvl w:val="0"/>
                <w:numId w:val="0"/>
              </w:numPr>
              <w:spacing w:after="60"/>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w:t>
            </w:r>
          </w:p>
        </w:tc>
        <w:tc>
          <w:tcPr>
            <w:tcW w:w="1083" w:type="dxa"/>
            <w:vAlign w:val="center"/>
          </w:tcPr>
          <w:p w:rsidR="007B061D" w:rsidRPr="002F17B5" w:rsidRDefault="007B061D" w:rsidP="0021200B">
            <w:pPr>
              <w:pStyle w:val="Heading3-numbered"/>
              <w:numPr>
                <w:ilvl w:val="0"/>
                <w:numId w:val="0"/>
              </w:numPr>
              <w:spacing w:after="60"/>
              <w:ind w:right="193"/>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5,300</w:t>
            </w:r>
          </w:p>
        </w:tc>
        <w:tc>
          <w:tcPr>
            <w:tcW w:w="1577" w:type="dxa"/>
            <w:vAlign w:val="center"/>
          </w:tcPr>
          <w:p w:rsidR="007B061D" w:rsidRPr="002F17B5" w:rsidRDefault="007B061D" w:rsidP="0021200B">
            <w:pPr>
              <w:pStyle w:val="Heading3-numbered"/>
              <w:numPr>
                <w:ilvl w:val="0"/>
                <w:numId w:val="0"/>
              </w:numPr>
              <w:spacing w:after="60"/>
              <w:ind w:right="244"/>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199,955</w:t>
            </w:r>
          </w:p>
        </w:tc>
        <w:tc>
          <w:tcPr>
            <w:tcW w:w="1587" w:type="dxa"/>
            <w:vAlign w:val="center"/>
          </w:tcPr>
          <w:p w:rsidR="007B061D" w:rsidRPr="002F17B5" w:rsidRDefault="007B061D" w:rsidP="0021200B">
            <w:pPr>
              <w:pStyle w:val="Heading3-numbered"/>
              <w:numPr>
                <w:ilvl w:val="0"/>
                <w:numId w:val="0"/>
              </w:numPr>
              <w:spacing w:after="60"/>
              <w:ind w:right="314"/>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36,400</w:t>
            </w:r>
          </w:p>
        </w:tc>
        <w:tc>
          <w:tcPr>
            <w:tcW w:w="1577" w:type="dxa"/>
            <w:vAlign w:val="center"/>
          </w:tcPr>
          <w:p w:rsidR="007B061D" w:rsidRPr="002F17B5" w:rsidRDefault="007B061D" w:rsidP="0021200B">
            <w:pPr>
              <w:pStyle w:val="Heading3-numbered"/>
              <w:numPr>
                <w:ilvl w:val="0"/>
                <w:numId w:val="0"/>
              </w:numPr>
              <w:spacing w:after="60"/>
              <w:ind w:right="339"/>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236,355</w:t>
            </w:r>
          </w:p>
        </w:tc>
      </w:tr>
      <w:tr w:rsidR="007B061D" w:rsidRPr="002F17B5" w:rsidTr="007B061D">
        <w:trPr>
          <w:jc w:val="center"/>
        </w:trPr>
        <w:tc>
          <w:tcPr>
            <w:tcW w:w="1768" w:type="dxa"/>
            <w:vAlign w:val="center"/>
          </w:tcPr>
          <w:p w:rsidR="007B061D" w:rsidRPr="002F17B5" w:rsidRDefault="007B061D" w:rsidP="00FB6A30">
            <w:pPr>
              <w:pStyle w:val="Heading3-numbered"/>
              <w:numPr>
                <w:ilvl w:val="0"/>
                <w:numId w:val="0"/>
              </w:numPr>
              <w:spacing w:after="60"/>
              <w:jc w:val="lef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 xml:space="preserve">Director of Change Management and Transformation – D </w:t>
            </w:r>
            <w:proofErr w:type="spellStart"/>
            <w:r w:rsidRPr="002F17B5">
              <w:rPr>
                <w:rStyle w:val="Strong"/>
                <w:rFonts w:eastAsia="Calibri" w:cs="Helvetica-Light"/>
                <w:bCs/>
                <w:i w:val="0"/>
                <w:color w:val="000000"/>
                <w:sz w:val="22"/>
                <w:szCs w:val="22"/>
              </w:rPr>
              <w:t>McElhinney</w:t>
            </w:r>
            <w:proofErr w:type="spellEnd"/>
          </w:p>
        </w:tc>
        <w:tc>
          <w:tcPr>
            <w:tcW w:w="606" w:type="dxa"/>
          </w:tcPr>
          <w:p w:rsidR="007B061D" w:rsidRPr="002F17B5" w:rsidRDefault="007B061D" w:rsidP="0021200B">
            <w:pPr>
              <w:pStyle w:val="Heading3-numbered"/>
              <w:numPr>
                <w:ilvl w:val="0"/>
                <w:numId w:val="0"/>
              </w:numPr>
              <w:spacing w:after="60"/>
              <w:ind w:right="190"/>
              <w:jc w:val="right"/>
              <w:rPr>
                <w:rStyle w:val="Strong"/>
                <w:rFonts w:eastAsia="Calibri" w:cs="Helvetica-Light"/>
                <w:bCs/>
                <w:i w:val="0"/>
                <w:color w:val="000000"/>
                <w:sz w:val="22"/>
                <w:szCs w:val="22"/>
              </w:rPr>
            </w:pPr>
          </w:p>
        </w:tc>
        <w:tc>
          <w:tcPr>
            <w:tcW w:w="1441" w:type="dxa"/>
            <w:vAlign w:val="center"/>
          </w:tcPr>
          <w:p w:rsidR="007B061D" w:rsidRPr="002F17B5" w:rsidRDefault="007B061D" w:rsidP="0021200B">
            <w:pPr>
              <w:pStyle w:val="Heading3-numbered"/>
              <w:numPr>
                <w:ilvl w:val="0"/>
                <w:numId w:val="0"/>
              </w:numPr>
              <w:spacing w:after="60"/>
              <w:ind w:right="190"/>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159,675</w:t>
            </w:r>
          </w:p>
        </w:tc>
        <w:tc>
          <w:tcPr>
            <w:tcW w:w="1043" w:type="dxa"/>
            <w:vAlign w:val="center"/>
          </w:tcPr>
          <w:p w:rsidR="007B061D" w:rsidRPr="002F17B5" w:rsidRDefault="007B061D" w:rsidP="0021200B">
            <w:pPr>
              <w:pStyle w:val="Heading3-numbered"/>
              <w:numPr>
                <w:ilvl w:val="0"/>
                <w:numId w:val="0"/>
              </w:numPr>
              <w:spacing w:after="60"/>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116,213</w:t>
            </w:r>
          </w:p>
        </w:tc>
        <w:tc>
          <w:tcPr>
            <w:tcW w:w="1083" w:type="dxa"/>
            <w:vAlign w:val="center"/>
          </w:tcPr>
          <w:p w:rsidR="007B061D" w:rsidRPr="002F17B5" w:rsidRDefault="007B061D" w:rsidP="0021200B">
            <w:pPr>
              <w:pStyle w:val="Heading3-numbered"/>
              <w:numPr>
                <w:ilvl w:val="0"/>
                <w:numId w:val="0"/>
              </w:numPr>
              <w:spacing w:after="60"/>
              <w:ind w:right="193"/>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10,643</w:t>
            </w:r>
          </w:p>
        </w:tc>
        <w:tc>
          <w:tcPr>
            <w:tcW w:w="1577" w:type="dxa"/>
            <w:vAlign w:val="center"/>
          </w:tcPr>
          <w:p w:rsidR="007B061D" w:rsidRPr="002F17B5" w:rsidRDefault="007B061D" w:rsidP="0021200B">
            <w:pPr>
              <w:pStyle w:val="Heading3-numbered"/>
              <w:numPr>
                <w:ilvl w:val="0"/>
                <w:numId w:val="0"/>
              </w:numPr>
              <w:spacing w:after="60"/>
              <w:ind w:right="244"/>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286,531</w:t>
            </w:r>
          </w:p>
        </w:tc>
        <w:tc>
          <w:tcPr>
            <w:tcW w:w="1587" w:type="dxa"/>
            <w:vAlign w:val="center"/>
          </w:tcPr>
          <w:p w:rsidR="007B061D" w:rsidRPr="002F17B5" w:rsidRDefault="007B061D" w:rsidP="0021200B">
            <w:pPr>
              <w:pStyle w:val="Heading3-numbered"/>
              <w:numPr>
                <w:ilvl w:val="0"/>
                <w:numId w:val="0"/>
              </w:numPr>
              <w:spacing w:after="60"/>
              <w:ind w:right="314"/>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w:t>
            </w:r>
          </w:p>
        </w:tc>
        <w:tc>
          <w:tcPr>
            <w:tcW w:w="1577" w:type="dxa"/>
            <w:vAlign w:val="center"/>
          </w:tcPr>
          <w:p w:rsidR="007B061D" w:rsidRPr="002F17B5" w:rsidRDefault="007B061D" w:rsidP="0021200B">
            <w:pPr>
              <w:pStyle w:val="Heading3-numbered"/>
              <w:numPr>
                <w:ilvl w:val="0"/>
                <w:numId w:val="0"/>
              </w:numPr>
              <w:spacing w:after="60"/>
              <w:ind w:right="339"/>
              <w:jc w:val="right"/>
              <w:rPr>
                <w:rStyle w:val="Strong"/>
                <w:rFonts w:eastAsia="Calibri" w:cs="Helvetica-Light"/>
                <w:bCs/>
                <w:i w:val="0"/>
                <w:color w:val="000000"/>
                <w:sz w:val="22"/>
                <w:szCs w:val="22"/>
              </w:rPr>
            </w:pPr>
            <w:r w:rsidRPr="002F17B5">
              <w:rPr>
                <w:rStyle w:val="Strong"/>
                <w:rFonts w:eastAsia="Calibri" w:cs="Helvetica-Light"/>
                <w:bCs/>
                <w:i w:val="0"/>
                <w:color w:val="000000"/>
                <w:sz w:val="22"/>
                <w:szCs w:val="22"/>
              </w:rPr>
              <w:t>286,531</w:t>
            </w:r>
          </w:p>
        </w:tc>
      </w:tr>
    </w:tbl>
    <w:p w:rsidR="009D2C26" w:rsidRPr="00717EFF" w:rsidRDefault="009D2C26" w:rsidP="000309C3">
      <w:pPr>
        <w:autoSpaceDE/>
        <w:autoSpaceDN/>
        <w:adjustRightInd/>
        <w:spacing w:after="20"/>
        <w:jc w:val="left"/>
        <w:rPr>
          <w:sz w:val="14"/>
          <w:szCs w:val="22"/>
        </w:rPr>
      </w:pPr>
    </w:p>
    <w:p w:rsidR="00B70B4B" w:rsidRPr="002F17B5" w:rsidRDefault="00E47956" w:rsidP="000309C3">
      <w:pPr>
        <w:autoSpaceDE/>
        <w:autoSpaceDN/>
        <w:adjustRightInd/>
        <w:spacing w:after="20"/>
        <w:jc w:val="left"/>
        <w:rPr>
          <w:sz w:val="21"/>
          <w:szCs w:val="21"/>
        </w:rPr>
      </w:pPr>
      <w:r w:rsidRPr="00E47956">
        <w:rPr>
          <w:sz w:val="21"/>
          <w:szCs w:val="21"/>
          <w:vertAlign w:val="superscript"/>
        </w:rPr>
        <w:t>1</w:t>
      </w:r>
      <w:r w:rsidR="00286D86" w:rsidRPr="002F17B5">
        <w:rPr>
          <w:sz w:val="21"/>
          <w:szCs w:val="21"/>
        </w:rPr>
        <w:t xml:space="preserve"> </w:t>
      </w:r>
      <w:r w:rsidR="00227F9C">
        <w:rPr>
          <w:sz w:val="21"/>
          <w:szCs w:val="21"/>
        </w:rPr>
        <w:t>Other Benefits</w:t>
      </w:r>
      <w:r w:rsidR="00286D86" w:rsidRPr="002F17B5">
        <w:rPr>
          <w:sz w:val="21"/>
          <w:szCs w:val="21"/>
        </w:rPr>
        <w:t xml:space="preserve"> relate either to lease </w:t>
      </w:r>
      <w:r w:rsidR="00737D5D" w:rsidRPr="002F17B5">
        <w:rPr>
          <w:sz w:val="21"/>
          <w:szCs w:val="21"/>
        </w:rPr>
        <w:t xml:space="preserve">car payments, </w:t>
      </w:r>
      <w:r w:rsidR="002554AA" w:rsidRPr="002F17B5">
        <w:rPr>
          <w:sz w:val="21"/>
          <w:szCs w:val="21"/>
        </w:rPr>
        <w:t xml:space="preserve">or </w:t>
      </w:r>
      <w:r w:rsidR="00286D86" w:rsidRPr="002F17B5">
        <w:rPr>
          <w:sz w:val="21"/>
          <w:szCs w:val="21"/>
        </w:rPr>
        <w:t>a cash equivalent</w:t>
      </w:r>
      <w:r w:rsidR="00737D5D" w:rsidRPr="002F17B5">
        <w:rPr>
          <w:sz w:val="21"/>
          <w:szCs w:val="21"/>
        </w:rPr>
        <w:t>.</w:t>
      </w:r>
    </w:p>
    <w:p w:rsidR="00A113CE" w:rsidRPr="00717EFF" w:rsidRDefault="00A113CE" w:rsidP="000309C3">
      <w:pPr>
        <w:autoSpaceDE/>
        <w:autoSpaceDN/>
        <w:adjustRightInd/>
        <w:spacing w:after="20"/>
        <w:jc w:val="left"/>
        <w:rPr>
          <w:sz w:val="10"/>
        </w:rPr>
      </w:pPr>
    </w:p>
    <w:p w:rsidR="00B70B4B" w:rsidRPr="002F17B5" w:rsidRDefault="00B70B4B">
      <w:pPr>
        <w:spacing w:after="0"/>
        <w:rPr>
          <w:sz w:val="12"/>
        </w:rPr>
      </w:pPr>
    </w:p>
    <w:p w:rsidR="00DB131D" w:rsidRPr="002F17B5" w:rsidRDefault="005D3E0E" w:rsidP="00DB131D">
      <w:pPr>
        <w:rPr>
          <w:rFonts w:eastAsia="Times New Roman" w:cs="Arial"/>
          <w:sz w:val="22"/>
          <w:szCs w:val="22"/>
          <w:lang w:eastAsia="en-GB"/>
        </w:rPr>
      </w:pPr>
      <w:r w:rsidRPr="002F17B5">
        <w:rPr>
          <w:rFonts w:eastAsia="Times New Roman" w:cs="Arial"/>
          <w:sz w:val="22"/>
          <w:szCs w:val="22"/>
          <w:lang w:eastAsia="en-GB"/>
        </w:rPr>
        <w:t>The Director of Change Management and Transf</w:t>
      </w:r>
      <w:r w:rsidR="00431EE6">
        <w:rPr>
          <w:rFonts w:eastAsia="Times New Roman" w:cs="Arial"/>
          <w:sz w:val="22"/>
          <w:szCs w:val="22"/>
          <w:lang w:eastAsia="en-GB"/>
        </w:rPr>
        <w:t>ormation was seconded from the c</w:t>
      </w:r>
      <w:r w:rsidRPr="002F17B5">
        <w:rPr>
          <w:rFonts w:eastAsia="Times New Roman" w:cs="Arial"/>
          <w:sz w:val="22"/>
          <w:szCs w:val="22"/>
          <w:lang w:eastAsia="en-GB"/>
        </w:rPr>
        <w:t xml:space="preserve">ounty </w:t>
      </w:r>
      <w:r w:rsidR="00431EE6">
        <w:rPr>
          <w:rFonts w:eastAsia="Times New Roman" w:cs="Arial"/>
          <w:sz w:val="22"/>
          <w:szCs w:val="22"/>
          <w:lang w:eastAsia="en-GB"/>
        </w:rPr>
        <w:t>c</w:t>
      </w:r>
      <w:r w:rsidRPr="002F17B5">
        <w:rPr>
          <w:rFonts w:eastAsia="Times New Roman" w:cs="Arial"/>
          <w:sz w:val="22"/>
          <w:szCs w:val="22"/>
          <w:lang w:eastAsia="en-GB"/>
        </w:rPr>
        <w:t>ouncil to One Connect Limited, where until 31st August 2013, he held the post of Chief Executive Officer of One Connect Limited.  This post was undertaken on a part-time basis.</w:t>
      </w:r>
    </w:p>
    <w:p w:rsidR="00E47ECE" w:rsidRPr="00717EFF" w:rsidRDefault="00E47ECE" w:rsidP="00DB131D">
      <w:pPr>
        <w:rPr>
          <w:rFonts w:eastAsia="Times New Roman" w:cs="Arial"/>
          <w:sz w:val="4"/>
          <w:szCs w:val="22"/>
          <w:lang w:eastAsia="en-GB"/>
        </w:rPr>
      </w:pPr>
    </w:p>
    <w:p w:rsidR="00717EFF" w:rsidRDefault="005D3E0E" w:rsidP="00DB131D">
      <w:pPr>
        <w:rPr>
          <w:rFonts w:eastAsia="Times New Roman" w:cs="Arial"/>
          <w:sz w:val="22"/>
          <w:szCs w:val="22"/>
          <w:lang w:eastAsia="en-GB"/>
        </w:rPr>
      </w:pPr>
      <w:r w:rsidRPr="002F17B5">
        <w:rPr>
          <w:rFonts w:eastAsia="Times New Roman" w:cs="Arial"/>
          <w:sz w:val="22"/>
          <w:szCs w:val="22"/>
          <w:lang w:eastAsia="en-GB"/>
        </w:rPr>
        <w:t xml:space="preserve">On 28th April 2011, Lancashire County Council and Liverpool City Council agreed joint working arrangements for the appointment of David </w:t>
      </w:r>
      <w:proofErr w:type="spellStart"/>
      <w:r w:rsidRPr="002F17B5">
        <w:rPr>
          <w:rFonts w:eastAsia="Times New Roman" w:cs="Arial"/>
          <w:sz w:val="22"/>
          <w:szCs w:val="22"/>
          <w:lang w:eastAsia="en-GB"/>
        </w:rPr>
        <w:t>McElhinney</w:t>
      </w:r>
      <w:proofErr w:type="spellEnd"/>
      <w:r w:rsidRPr="002F17B5">
        <w:rPr>
          <w:rFonts w:eastAsia="Times New Roman" w:cs="Arial"/>
          <w:sz w:val="22"/>
          <w:szCs w:val="22"/>
          <w:lang w:eastAsia="en-GB"/>
        </w:rPr>
        <w:t xml:space="preserve"> to the CEO posts of both Liverpool Direct Limited (LDL) and One Connect Limited (OCL).</w:t>
      </w:r>
      <w:r w:rsidR="00717EFF">
        <w:rPr>
          <w:rFonts w:eastAsia="Times New Roman" w:cs="Arial"/>
          <w:sz w:val="22"/>
          <w:szCs w:val="22"/>
          <w:lang w:eastAsia="en-GB"/>
        </w:rPr>
        <w:t xml:space="preserve"> </w:t>
      </w:r>
    </w:p>
    <w:p w:rsidR="00DB131D" w:rsidRDefault="005D3E0E" w:rsidP="00DB131D">
      <w:pPr>
        <w:rPr>
          <w:rFonts w:eastAsia="Times New Roman" w:cs="Arial"/>
          <w:sz w:val="22"/>
          <w:szCs w:val="22"/>
          <w:lang w:eastAsia="en-GB"/>
        </w:rPr>
      </w:pPr>
      <w:r w:rsidRPr="002F17B5">
        <w:rPr>
          <w:rFonts w:eastAsia="Times New Roman" w:cs="Arial"/>
          <w:sz w:val="22"/>
          <w:szCs w:val="22"/>
          <w:lang w:eastAsia="en-GB"/>
        </w:rPr>
        <w:t>This agreement set out that the CE</w:t>
      </w:r>
      <w:r w:rsidR="00737D5D" w:rsidRPr="002F17B5">
        <w:rPr>
          <w:rFonts w:eastAsia="Times New Roman" w:cs="Arial"/>
          <w:sz w:val="22"/>
          <w:szCs w:val="22"/>
          <w:lang w:eastAsia="en-GB"/>
        </w:rPr>
        <w:t>O would be an employee of both c</w:t>
      </w:r>
      <w:r w:rsidRPr="002F17B5">
        <w:rPr>
          <w:rFonts w:eastAsia="Times New Roman" w:cs="Arial"/>
          <w:sz w:val="22"/>
          <w:szCs w:val="22"/>
          <w:lang w:eastAsia="en-GB"/>
        </w:rPr>
        <w:t>ouncils, seconded to LDL and OCL respectively and hold two contracts of employment, with the anticipation</w:t>
      </w:r>
      <w:r w:rsidR="00737D5D" w:rsidRPr="002F17B5">
        <w:rPr>
          <w:rFonts w:eastAsia="Times New Roman" w:cs="Arial"/>
          <w:sz w:val="22"/>
          <w:szCs w:val="22"/>
          <w:lang w:eastAsia="en-GB"/>
        </w:rPr>
        <w:t xml:space="preserve"> that</w:t>
      </w:r>
      <w:r w:rsidRPr="002F17B5">
        <w:rPr>
          <w:rFonts w:eastAsia="Times New Roman" w:cs="Arial"/>
          <w:sz w:val="22"/>
          <w:szCs w:val="22"/>
          <w:lang w:eastAsia="en-GB"/>
        </w:rPr>
        <w:t xml:space="preserve"> the post of CEO would be split 50:50 over the course of the year between OCL and LDL.</w:t>
      </w:r>
    </w:p>
    <w:p w:rsidR="006728BA" w:rsidRDefault="006728BA">
      <w:pPr>
        <w:autoSpaceDE/>
        <w:autoSpaceDN/>
        <w:adjustRightInd/>
        <w:spacing w:after="20"/>
        <w:jc w:val="right"/>
        <w:rPr>
          <w:rFonts w:eastAsia="Times New Roman" w:cs="Arial"/>
          <w:sz w:val="18"/>
          <w:szCs w:val="22"/>
          <w:lang w:eastAsia="en-GB"/>
        </w:rPr>
      </w:pPr>
      <w:r>
        <w:rPr>
          <w:rFonts w:eastAsia="Times New Roman" w:cs="Arial"/>
          <w:sz w:val="18"/>
          <w:szCs w:val="22"/>
          <w:lang w:eastAsia="en-GB"/>
        </w:rPr>
        <w:br w:type="page"/>
      </w:r>
    </w:p>
    <w:p w:rsidR="00061885" w:rsidRDefault="005D3E0E" w:rsidP="00061885">
      <w:pPr>
        <w:rPr>
          <w:b/>
        </w:rPr>
      </w:pPr>
      <w:r w:rsidRPr="002F17B5">
        <w:rPr>
          <w:b/>
        </w:rPr>
        <w:lastRenderedPageBreak/>
        <w:t>Disclosure of senior officers' remuneration 2013/14: Remuneration £50k to £150k</w:t>
      </w:r>
    </w:p>
    <w:p w:rsidR="00717EFF" w:rsidRPr="00717EFF" w:rsidRDefault="00717EFF" w:rsidP="00061885">
      <w:pPr>
        <w:rPr>
          <w:sz w:val="2"/>
        </w:rPr>
      </w:pPr>
    </w:p>
    <w:tbl>
      <w:tblPr>
        <w:tblW w:w="10671" w:type="dxa"/>
        <w:tblInd w:w="69" w:type="dxa"/>
        <w:tblLook w:val="04A0" w:firstRow="1" w:lastRow="0" w:firstColumn="1" w:lastColumn="0" w:noHBand="0" w:noVBand="1"/>
      </w:tblPr>
      <w:tblGrid>
        <w:gridCol w:w="2086"/>
        <w:gridCol w:w="856"/>
        <w:gridCol w:w="1464"/>
        <w:gridCol w:w="1162"/>
        <w:gridCol w:w="1701"/>
        <w:gridCol w:w="1701"/>
        <w:gridCol w:w="1701"/>
      </w:tblGrid>
      <w:tr w:rsidR="000451EC" w:rsidRPr="002F17B5" w:rsidTr="00E47ECE">
        <w:trPr>
          <w:trHeight w:val="1551"/>
        </w:trPr>
        <w:tc>
          <w:tcPr>
            <w:tcW w:w="2114" w:type="dxa"/>
            <w:tcBorders>
              <w:top w:val="nil"/>
              <w:left w:val="nil"/>
              <w:bottom w:val="nil"/>
              <w:right w:val="nil"/>
            </w:tcBorders>
            <w:shd w:val="clear" w:color="000000" w:fill="FFFFFF"/>
            <w:vAlign w:val="bottom"/>
            <w:hideMark/>
          </w:tcPr>
          <w:p w:rsidR="000451EC" w:rsidRPr="002F17B5" w:rsidRDefault="000451EC" w:rsidP="00E47ECE">
            <w:pPr>
              <w:spacing w:after="20"/>
              <w:jc w:val="center"/>
              <w:rPr>
                <w:rFonts w:cs="Arial"/>
                <w:b/>
                <w:bCs/>
                <w:sz w:val="23"/>
                <w:szCs w:val="23"/>
              </w:rPr>
            </w:pPr>
            <w:r w:rsidRPr="002F17B5">
              <w:rPr>
                <w:rFonts w:cs="Arial"/>
                <w:b/>
                <w:bCs/>
                <w:sz w:val="23"/>
                <w:szCs w:val="23"/>
              </w:rPr>
              <w:t>Post</w:t>
            </w:r>
          </w:p>
        </w:tc>
        <w:tc>
          <w:tcPr>
            <w:tcW w:w="856" w:type="dxa"/>
            <w:tcBorders>
              <w:top w:val="nil"/>
              <w:left w:val="nil"/>
              <w:bottom w:val="nil"/>
              <w:right w:val="nil"/>
            </w:tcBorders>
            <w:shd w:val="clear" w:color="000000" w:fill="FFFFFF"/>
            <w:vAlign w:val="bottom"/>
            <w:hideMark/>
          </w:tcPr>
          <w:p w:rsidR="000451EC" w:rsidRPr="002F17B5" w:rsidRDefault="000451EC" w:rsidP="00E47ECE">
            <w:pPr>
              <w:spacing w:after="20"/>
              <w:jc w:val="center"/>
              <w:rPr>
                <w:rFonts w:cs="Arial"/>
                <w:b/>
                <w:bCs/>
                <w:sz w:val="23"/>
                <w:szCs w:val="23"/>
              </w:rPr>
            </w:pPr>
            <w:r w:rsidRPr="002F17B5">
              <w:rPr>
                <w:rFonts w:cs="Arial"/>
                <w:b/>
                <w:bCs/>
                <w:sz w:val="23"/>
                <w:szCs w:val="23"/>
              </w:rPr>
              <w:t>Notes</w:t>
            </w:r>
          </w:p>
        </w:tc>
        <w:tc>
          <w:tcPr>
            <w:tcW w:w="1464" w:type="dxa"/>
            <w:tcBorders>
              <w:top w:val="nil"/>
              <w:left w:val="nil"/>
              <w:bottom w:val="nil"/>
              <w:right w:val="nil"/>
            </w:tcBorders>
            <w:shd w:val="clear" w:color="000000" w:fill="FFFFFF"/>
            <w:vAlign w:val="bottom"/>
            <w:hideMark/>
          </w:tcPr>
          <w:p w:rsidR="000451EC" w:rsidRPr="002F17B5" w:rsidRDefault="000451EC" w:rsidP="00E47ECE">
            <w:pPr>
              <w:spacing w:after="20"/>
              <w:jc w:val="center"/>
              <w:rPr>
                <w:rFonts w:cs="Arial"/>
                <w:b/>
                <w:bCs/>
                <w:sz w:val="22"/>
                <w:szCs w:val="22"/>
              </w:rPr>
            </w:pPr>
            <w:r w:rsidRPr="002F17B5">
              <w:rPr>
                <w:rFonts w:cs="Arial"/>
                <w:b/>
                <w:bCs/>
                <w:sz w:val="22"/>
                <w:szCs w:val="22"/>
              </w:rPr>
              <w:t>Salary (including fees and allowances)</w:t>
            </w:r>
            <w:r w:rsidRPr="002F17B5">
              <w:rPr>
                <w:rFonts w:cs="Arial"/>
                <w:b/>
                <w:bCs/>
                <w:sz w:val="22"/>
                <w:szCs w:val="22"/>
              </w:rPr>
              <w:br/>
              <w:t>£</w:t>
            </w:r>
          </w:p>
        </w:tc>
        <w:tc>
          <w:tcPr>
            <w:tcW w:w="1134" w:type="dxa"/>
            <w:tcBorders>
              <w:top w:val="nil"/>
              <w:left w:val="nil"/>
              <w:bottom w:val="nil"/>
              <w:right w:val="nil"/>
            </w:tcBorders>
            <w:shd w:val="clear" w:color="000000" w:fill="FFFFFF"/>
            <w:vAlign w:val="bottom"/>
            <w:hideMark/>
          </w:tcPr>
          <w:p w:rsidR="000451EC" w:rsidRPr="002F17B5" w:rsidRDefault="00227F9C" w:rsidP="00227F9C">
            <w:pPr>
              <w:spacing w:after="20"/>
              <w:jc w:val="center"/>
              <w:rPr>
                <w:rFonts w:cs="Arial"/>
                <w:b/>
                <w:bCs/>
                <w:sz w:val="22"/>
                <w:szCs w:val="22"/>
              </w:rPr>
            </w:pPr>
            <w:r>
              <w:rPr>
                <w:rFonts w:cs="Arial"/>
                <w:b/>
                <w:bCs/>
                <w:sz w:val="22"/>
                <w:szCs w:val="22"/>
              </w:rPr>
              <w:t>Other Benefits</w:t>
            </w:r>
            <w:r w:rsidR="00E47956" w:rsidRPr="00E47956">
              <w:rPr>
                <w:rFonts w:cs="Arial"/>
                <w:b/>
                <w:bCs/>
                <w:sz w:val="22"/>
                <w:szCs w:val="22"/>
                <w:vertAlign w:val="superscript"/>
              </w:rPr>
              <w:t>1</w:t>
            </w:r>
            <w:r w:rsidR="000451EC" w:rsidRPr="002F17B5">
              <w:rPr>
                <w:rFonts w:cs="Arial"/>
                <w:b/>
                <w:bCs/>
                <w:sz w:val="22"/>
                <w:szCs w:val="22"/>
              </w:rPr>
              <w:br/>
              <w:t>£</w:t>
            </w:r>
          </w:p>
        </w:tc>
        <w:tc>
          <w:tcPr>
            <w:tcW w:w="1701" w:type="dxa"/>
            <w:tcBorders>
              <w:top w:val="nil"/>
              <w:left w:val="nil"/>
              <w:bottom w:val="nil"/>
              <w:right w:val="nil"/>
            </w:tcBorders>
            <w:shd w:val="clear" w:color="000000" w:fill="FFFFFF"/>
            <w:vAlign w:val="bottom"/>
            <w:hideMark/>
          </w:tcPr>
          <w:p w:rsidR="000451EC" w:rsidRPr="002F17B5" w:rsidRDefault="000451EC" w:rsidP="00E47ECE">
            <w:pPr>
              <w:spacing w:after="20"/>
              <w:jc w:val="center"/>
              <w:rPr>
                <w:rFonts w:cs="Arial"/>
                <w:b/>
                <w:bCs/>
                <w:sz w:val="22"/>
                <w:szCs w:val="22"/>
              </w:rPr>
            </w:pPr>
            <w:r w:rsidRPr="002F17B5">
              <w:rPr>
                <w:rFonts w:cs="Arial"/>
                <w:b/>
                <w:bCs/>
                <w:sz w:val="22"/>
                <w:szCs w:val="22"/>
              </w:rPr>
              <w:t>Total Remuneration (excluding pension contributions)</w:t>
            </w:r>
            <w:r w:rsidRPr="002F17B5">
              <w:rPr>
                <w:rFonts w:cs="Arial"/>
                <w:b/>
                <w:bCs/>
                <w:sz w:val="22"/>
                <w:szCs w:val="22"/>
              </w:rPr>
              <w:br/>
              <w:t>£</w:t>
            </w:r>
          </w:p>
        </w:tc>
        <w:tc>
          <w:tcPr>
            <w:tcW w:w="1701" w:type="dxa"/>
            <w:tcBorders>
              <w:top w:val="nil"/>
              <w:left w:val="nil"/>
              <w:bottom w:val="nil"/>
              <w:right w:val="nil"/>
            </w:tcBorders>
            <w:shd w:val="clear" w:color="000000" w:fill="FFFFFF"/>
            <w:vAlign w:val="bottom"/>
            <w:hideMark/>
          </w:tcPr>
          <w:p w:rsidR="000451EC" w:rsidRPr="002F17B5" w:rsidRDefault="000451EC" w:rsidP="00E47ECE">
            <w:pPr>
              <w:spacing w:after="20"/>
              <w:jc w:val="center"/>
              <w:rPr>
                <w:rFonts w:cs="Arial"/>
                <w:b/>
                <w:bCs/>
                <w:sz w:val="22"/>
                <w:szCs w:val="22"/>
              </w:rPr>
            </w:pPr>
            <w:r w:rsidRPr="002F17B5">
              <w:rPr>
                <w:rFonts w:cs="Arial"/>
                <w:b/>
                <w:bCs/>
                <w:sz w:val="22"/>
                <w:szCs w:val="22"/>
              </w:rPr>
              <w:t>Pension Contributions</w:t>
            </w:r>
            <w:r w:rsidRPr="002F17B5">
              <w:rPr>
                <w:rFonts w:cs="Arial"/>
                <w:b/>
                <w:bCs/>
                <w:sz w:val="22"/>
                <w:szCs w:val="22"/>
              </w:rPr>
              <w:br/>
              <w:t>£</w:t>
            </w:r>
          </w:p>
        </w:tc>
        <w:tc>
          <w:tcPr>
            <w:tcW w:w="1701" w:type="dxa"/>
            <w:tcBorders>
              <w:top w:val="nil"/>
              <w:left w:val="nil"/>
              <w:bottom w:val="nil"/>
              <w:right w:val="nil"/>
            </w:tcBorders>
            <w:shd w:val="clear" w:color="000000" w:fill="FFFFFF"/>
            <w:vAlign w:val="bottom"/>
            <w:hideMark/>
          </w:tcPr>
          <w:p w:rsidR="000451EC" w:rsidRPr="002F17B5" w:rsidRDefault="000451EC" w:rsidP="00E47ECE">
            <w:pPr>
              <w:spacing w:after="20"/>
              <w:jc w:val="center"/>
              <w:rPr>
                <w:rFonts w:cs="Arial"/>
                <w:b/>
                <w:bCs/>
                <w:sz w:val="22"/>
                <w:szCs w:val="22"/>
              </w:rPr>
            </w:pPr>
            <w:r w:rsidRPr="002F17B5">
              <w:rPr>
                <w:rFonts w:cs="Arial"/>
                <w:b/>
                <w:bCs/>
                <w:sz w:val="22"/>
                <w:szCs w:val="22"/>
              </w:rPr>
              <w:t>Total Remuneration (including pension contributions)</w:t>
            </w:r>
            <w:r w:rsidRPr="002F17B5">
              <w:rPr>
                <w:rFonts w:cs="Arial"/>
                <w:b/>
                <w:bCs/>
                <w:sz w:val="22"/>
                <w:szCs w:val="22"/>
              </w:rPr>
              <w:br/>
              <w:t>£</w:t>
            </w:r>
          </w:p>
        </w:tc>
      </w:tr>
      <w:tr w:rsidR="000451EC" w:rsidRPr="002F17B5" w:rsidTr="00E47ECE">
        <w:trPr>
          <w:trHeight w:val="518"/>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County Secretary &amp; Solicitor</w:t>
            </w:r>
          </w:p>
        </w:tc>
        <w:tc>
          <w:tcPr>
            <w:tcW w:w="856" w:type="dxa"/>
            <w:tcBorders>
              <w:top w:val="nil"/>
              <w:left w:val="nil"/>
              <w:bottom w:val="nil"/>
              <w:right w:val="nil"/>
            </w:tcBorders>
            <w:shd w:val="clear" w:color="000000" w:fill="FFFFFF"/>
            <w:noWrap/>
            <w:vAlign w:val="center"/>
            <w:hideMark/>
          </w:tcPr>
          <w:p w:rsidR="000451EC" w:rsidRPr="002F17B5" w:rsidRDefault="000451EC" w:rsidP="00E47ECE">
            <w:pPr>
              <w:spacing w:after="20"/>
              <w:jc w:val="center"/>
              <w:rPr>
                <w:rFonts w:cs="Arial"/>
                <w:sz w:val="23"/>
                <w:szCs w:val="23"/>
              </w:rPr>
            </w:pPr>
            <w:r w:rsidRPr="002F17B5">
              <w:rPr>
                <w:rFonts w:cs="Arial"/>
                <w:sz w:val="23"/>
                <w:szCs w:val="23"/>
              </w:rPr>
              <w:t> </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129,201</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3,965</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133,166</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24,677</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157,843</w:t>
            </w:r>
          </w:p>
        </w:tc>
      </w:tr>
      <w:tr w:rsidR="000451EC" w:rsidRPr="002F17B5" w:rsidTr="00E47ECE">
        <w:trPr>
          <w:trHeight w:val="518"/>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Interim Executive Director for Children &amp; Young People</w:t>
            </w:r>
          </w:p>
        </w:tc>
        <w:tc>
          <w:tcPr>
            <w:tcW w:w="856" w:type="dxa"/>
            <w:tcBorders>
              <w:top w:val="nil"/>
              <w:left w:val="nil"/>
              <w:bottom w:val="nil"/>
              <w:right w:val="nil"/>
            </w:tcBorders>
            <w:shd w:val="clear" w:color="000000" w:fill="FFFFFF"/>
            <w:noWrap/>
            <w:vAlign w:val="center"/>
            <w:hideMark/>
          </w:tcPr>
          <w:p w:rsidR="000451EC" w:rsidRPr="002F17B5" w:rsidRDefault="000451EC" w:rsidP="00E47ECE">
            <w:pPr>
              <w:spacing w:after="20"/>
              <w:jc w:val="center"/>
              <w:rPr>
                <w:rFonts w:cs="Arial"/>
                <w:sz w:val="23"/>
                <w:szCs w:val="23"/>
              </w:rPr>
            </w:pPr>
            <w:r w:rsidRPr="002F17B5">
              <w:rPr>
                <w:rFonts w:cs="Arial"/>
                <w:sz w:val="23"/>
                <w:szCs w:val="23"/>
              </w:rPr>
              <w:t> </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119,403</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112</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119,515</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22,806</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142,321</w:t>
            </w:r>
          </w:p>
        </w:tc>
      </w:tr>
      <w:tr w:rsidR="000451EC" w:rsidRPr="002F17B5" w:rsidTr="00E47ECE">
        <w:trPr>
          <w:trHeight w:val="388"/>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County Treasurer</w:t>
            </w:r>
          </w:p>
        </w:tc>
        <w:tc>
          <w:tcPr>
            <w:tcW w:w="856" w:type="dxa"/>
            <w:tcBorders>
              <w:top w:val="nil"/>
              <w:left w:val="nil"/>
              <w:bottom w:val="nil"/>
              <w:right w:val="nil"/>
            </w:tcBorders>
            <w:shd w:val="clear" w:color="000000" w:fill="FFFFFF"/>
            <w:noWrap/>
            <w:vAlign w:val="center"/>
            <w:hideMark/>
          </w:tcPr>
          <w:p w:rsidR="000451EC" w:rsidRPr="002F17B5" w:rsidRDefault="000451EC" w:rsidP="00E47ECE">
            <w:pPr>
              <w:spacing w:after="20"/>
              <w:jc w:val="center"/>
              <w:rPr>
                <w:rFonts w:cs="Arial"/>
                <w:sz w:val="23"/>
                <w:szCs w:val="23"/>
              </w:rPr>
            </w:pPr>
            <w:r w:rsidRPr="002F17B5">
              <w:rPr>
                <w:rFonts w:cs="Arial"/>
                <w:sz w:val="23"/>
                <w:szCs w:val="23"/>
              </w:rPr>
              <w:t> </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112,500</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5,300</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117,800</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21,488</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139,288</w:t>
            </w:r>
          </w:p>
        </w:tc>
      </w:tr>
      <w:tr w:rsidR="000451EC" w:rsidRPr="002F17B5" w:rsidTr="00E47ECE">
        <w:trPr>
          <w:trHeight w:val="518"/>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Executive Director for Adult Services, Health &amp; Wellbeing</w:t>
            </w:r>
          </w:p>
        </w:tc>
        <w:tc>
          <w:tcPr>
            <w:tcW w:w="856" w:type="dxa"/>
            <w:tcBorders>
              <w:top w:val="nil"/>
              <w:left w:val="nil"/>
              <w:bottom w:val="nil"/>
              <w:right w:val="nil"/>
            </w:tcBorders>
            <w:shd w:val="clear" w:color="000000" w:fill="FFFFFF"/>
            <w:noWrap/>
            <w:vAlign w:val="center"/>
            <w:hideMark/>
          </w:tcPr>
          <w:p w:rsidR="000451EC" w:rsidRPr="00597F30" w:rsidRDefault="00E47956" w:rsidP="00E47ECE">
            <w:pPr>
              <w:spacing w:after="20"/>
              <w:jc w:val="center"/>
              <w:rPr>
                <w:rFonts w:cs="Arial"/>
                <w:sz w:val="23"/>
                <w:szCs w:val="23"/>
                <w:vertAlign w:val="superscript"/>
              </w:rPr>
            </w:pPr>
            <w:r>
              <w:rPr>
                <w:rFonts w:cs="Arial"/>
                <w:sz w:val="23"/>
                <w:szCs w:val="23"/>
                <w:vertAlign w:val="superscript"/>
              </w:rPr>
              <w:t>2</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109,556</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1,787</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111,343</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20,925</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132,268</w:t>
            </w:r>
          </w:p>
        </w:tc>
      </w:tr>
      <w:tr w:rsidR="000451EC" w:rsidRPr="002F17B5" w:rsidTr="00E47ECE">
        <w:trPr>
          <w:trHeight w:val="590"/>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Interim Executive Director for the Environment</w:t>
            </w:r>
          </w:p>
        </w:tc>
        <w:tc>
          <w:tcPr>
            <w:tcW w:w="856" w:type="dxa"/>
            <w:tcBorders>
              <w:top w:val="nil"/>
              <w:left w:val="nil"/>
              <w:bottom w:val="nil"/>
              <w:right w:val="nil"/>
            </w:tcBorders>
            <w:shd w:val="clear" w:color="000000" w:fill="FFFFFF"/>
            <w:noWrap/>
            <w:vAlign w:val="center"/>
            <w:hideMark/>
          </w:tcPr>
          <w:p w:rsidR="000451EC" w:rsidRPr="00597F30" w:rsidRDefault="00E47956" w:rsidP="00E47ECE">
            <w:pPr>
              <w:spacing w:after="20"/>
              <w:jc w:val="center"/>
              <w:rPr>
                <w:rFonts w:cs="Arial"/>
                <w:sz w:val="23"/>
                <w:szCs w:val="23"/>
                <w:vertAlign w:val="superscript"/>
              </w:rPr>
            </w:pPr>
            <w:r>
              <w:rPr>
                <w:rFonts w:cs="Arial"/>
                <w:sz w:val="23"/>
                <w:szCs w:val="23"/>
                <w:vertAlign w:val="superscript"/>
              </w:rPr>
              <w:t>3</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105,111</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6,389</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111,500</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20,806</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132,307</w:t>
            </w:r>
          </w:p>
        </w:tc>
      </w:tr>
      <w:tr w:rsidR="000451EC" w:rsidRPr="002F17B5" w:rsidTr="00E47ECE">
        <w:trPr>
          <w:trHeight w:val="478"/>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Assistant Chief Executive</w:t>
            </w:r>
          </w:p>
        </w:tc>
        <w:tc>
          <w:tcPr>
            <w:tcW w:w="856" w:type="dxa"/>
            <w:tcBorders>
              <w:top w:val="nil"/>
              <w:left w:val="nil"/>
              <w:bottom w:val="nil"/>
              <w:right w:val="nil"/>
            </w:tcBorders>
            <w:shd w:val="clear" w:color="000000" w:fill="FFFFFF"/>
            <w:noWrap/>
            <w:vAlign w:val="center"/>
            <w:hideMark/>
          </w:tcPr>
          <w:p w:rsidR="000451EC" w:rsidRPr="00597F30" w:rsidRDefault="000451EC" w:rsidP="00E47ECE">
            <w:pPr>
              <w:spacing w:after="20"/>
              <w:jc w:val="center"/>
              <w:rPr>
                <w:rFonts w:cs="Arial"/>
                <w:sz w:val="23"/>
                <w:szCs w:val="23"/>
                <w:vertAlign w:val="superscript"/>
              </w:rPr>
            </w:pPr>
            <w:r w:rsidRPr="00597F30">
              <w:rPr>
                <w:rFonts w:cs="Arial"/>
                <w:sz w:val="23"/>
                <w:szCs w:val="23"/>
                <w:vertAlign w:val="superscript"/>
              </w:rPr>
              <w:t> </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93,180</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7,715</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100,895</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17,797</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118,692</w:t>
            </w:r>
          </w:p>
        </w:tc>
      </w:tr>
      <w:tr w:rsidR="000451EC" w:rsidRPr="002F17B5" w:rsidTr="00E47ECE">
        <w:trPr>
          <w:trHeight w:val="518"/>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Director of Economic Development</w:t>
            </w:r>
          </w:p>
        </w:tc>
        <w:tc>
          <w:tcPr>
            <w:tcW w:w="856" w:type="dxa"/>
            <w:tcBorders>
              <w:top w:val="nil"/>
              <w:left w:val="nil"/>
              <w:bottom w:val="nil"/>
              <w:right w:val="nil"/>
            </w:tcBorders>
            <w:shd w:val="clear" w:color="000000" w:fill="FFFFFF"/>
            <w:noWrap/>
            <w:vAlign w:val="center"/>
            <w:hideMark/>
          </w:tcPr>
          <w:p w:rsidR="000451EC" w:rsidRPr="00597F30" w:rsidRDefault="000451EC" w:rsidP="00E47ECE">
            <w:pPr>
              <w:spacing w:after="20"/>
              <w:jc w:val="center"/>
              <w:rPr>
                <w:rFonts w:cs="Arial"/>
                <w:sz w:val="23"/>
                <w:szCs w:val="23"/>
                <w:vertAlign w:val="superscript"/>
              </w:rPr>
            </w:pPr>
            <w:r w:rsidRPr="00597F30">
              <w:rPr>
                <w:rFonts w:cs="Arial"/>
                <w:sz w:val="23"/>
                <w:szCs w:val="23"/>
                <w:vertAlign w:val="superscript"/>
              </w:rPr>
              <w:t> </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93,180</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5,749</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98,929</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17,797</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116,726</w:t>
            </w:r>
          </w:p>
        </w:tc>
      </w:tr>
      <w:tr w:rsidR="000451EC" w:rsidRPr="002F17B5" w:rsidTr="00E47ECE">
        <w:trPr>
          <w:trHeight w:val="518"/>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Director for Public Health</w:t>
            </w:r>
          </w:p>
        </w:tc>
        <w:tc>
          <w:tcPr>
            <w:tcW w:w="856" w:type="dxa"/>
            <w:tcBorders>
              <w:top w:val="nil"/>
              <w:left w:val="nil"/>
              <w:bottom w:val="nil"/>
              <w:right w:val="nil"/>
            </w:tcBorders>
            <w:shd w:val="clear" w:color="000000" w:fill="FFFFFF"/>
            <w:noWrap/>
            <w:vAlign w:val="center"/>
            <w:hideMark/>
          </w:tcPr>
          <w:p w:rsidR="000451EC" w:rsidRPr="00597F30" w:rsidRDefault="00E47956" w:rsidP="00E47ECE">
            <w:pPr>
              <w:spacing w:after="20"/>
              <w:jc w:val="center"/>
              <w:rPr>
                <w:rFonts w:cs="Arial"/>
                <w:sz w:val="23"/>
                <w:szCs w:val="23"/>
                <w:vertAlign w:val="superscript"/>
              </w:rPr>
            </w:pPr>
            <w:r>
              <w:rPr>
                <w:rFonts w:cs="Arial"/>
                <w:sz w:val="23"/>
                <w:szCs w:val="23"/>
                <w:vertAlign w:val="superscript"/>
              </w:rPr>
              <w:t>4</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89,299</w:t>
            </w:r>
          </w:p>
        </w:tc>
        <w:tc>
          <w:tcPr>
            <w:tcW w:w="1134" w:type="dxa"/>
            <w:tcBorders>
              <w:top w:val="nil"/>
              <w:left w:val="nil"/>
              <w:bottom w:val="nil"/>
              <w:right w:val="nil"/>
            </w:tcBorders>
            <w:shd w:val="clear" w:color="000000" w:fill="FFFFFF"/>
            <w:noWrap/>
            <w:vAlign w:val="center"/>
            <w:hideMark/>
          </w:tcPr>
          <w:p w:rsidR="000451EC" w:rsidRPr="002F17B5" w:rsidRDefault="00043106" w:rsidP="00E47ECE">
            <w:pPr>
              <w:spacing w:after="20"/>
              <w:jc w:val="right"/>
              <w:rPr>
                <w:rFonts w:cs="Arial"/>
                <w:sz w:val="23"/>
                <w:szCs w:val="23"/>
              </w:rPr>
            </w:pPr>
            <w:r w:rsidRPr="002F17B5">
              <w:rPr>
                <w:rFonts w:cs="Arial"/>
                <w:sz w:val="23"/>
                <w:szCs w:val="23"/>
              </w:rPr>
              <w:t>-</w:t>
            </w:r>
            <w:r w:rsidR="000451EC" w:rsidRPr="002F17B5">
              <w:rPr>
                <w:rFonts w:cs="Arial"/>
                <w:sz w:val="23"/>
                <w:szCs w:val="23"/>
              </w:rPr>
              <w:t> </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89,299</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12,502</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101,800</w:t>
            </w:r>
          </w:p>
        </w:tc>
      </w:tr>
      <w:tr w:rsidR="000451EC" w:rsidRPr="002F17B5" w:rsidTr="00E47ECE">
        <w:trPr>
          <w:trHeight w:val="518"/>
        </w:trPr>
        <w:tc>
          <w:tcPr>
            <w:tcW w:w="2114" w:type="dxa"/>
            <w:tcBorders>
              <w:top w:val="nil"/>
              <w:left w:val="nil"/>
              <w:bottom w:val="nil"/>
              <w:right w:val="nil"/>
            </w:tcBorders>
            <w:shd w:val="clear" w:color="000000" w:fill="FFFFFF"/>
            <w:vAlign w:val="center"/>
            <w:hideMark/>
          </w:tcPr>
          <w:p w:rsidR="000451EC" w:rsidRPr="002F17B5" w:rsidRDefault="00CA19A4" w:rsidP="00E47ECE">
            <w:pPr>
              <w:spacing w:after="20"/>
              <w:jc w:val="left"/>
              <w:rPr>
                <w:rFonts w:cs="Arial"/>
                <w:sz w:val="23"/>
                <w:szCs w:val="23"/>
              </w:rPr>
            </w:pPr>
            <w:r w:rsidRPr="002F17B5">
              <w:rPr>
                <w:rFonts w:cs="Arial"/>
                <w:sz w:val="23"/>
                <w:szCs w:val="23"/>
              </w:rPr>
              <w:t>Head of Communications</w:t>
            </w:r>
            <w:r w:rsidR="000451EC" w:rsidRPr="002F17B5">
              <w:rPr>
                <w:rFonts w:cs="Arial"/>
                <w:sz w:val="23"/>
                <w:szCs w:val="23"/>
              </w:rPr>
              <w:t xml:space="preserve"> </w:t>
            </w:r>
          </w:p>
        </w:tc>
        <w:tc>
          <w:tcPr>
            <w:tcW w:w="856" w:type="dxa"/>
            <w:tcBorders>
              <w:top w:val="nil"/>
              <w:left w:val="nil"/>
              <w:bottom w:val="nil"/>
              <w:right w:val="nil"/>
            </w:tcBorders>
            <w:shd w:val="clear" w:color="000000" w:fill="FFFFFF"/>
            <w:noWrap/>
            <w:vAlign w:val="center"/>
            <w:hideMark/>
          </w:tcPr>
          <w:p w:rsidR="000451EC" w:rsidRPr="00597F30" w:rsidRDefault="000451EC" w:rsidP="00E47ECE">
            <w:pPr>
              <w:spacing w:after="20"/>
              <w:jc w:val="center"/>
              <w:rPr>
                <w:rFonts w:cs="Arial"/>
                <w:sz w:val="23"/>
                <w:szCs w:val="23"/>
                <w:vertAlign w:val="superscript"/>
              </w:rPr>
            </w:pPr>
            <w:r w:rsidRPr="00597F30">
              <w:rPr>
                <w:rFonts w:cs="Arial"/>
                <w:sz w:val="23"/>
                <w:szCs w:val="23"/>
                <w:vertAlign w:val="superscript"/>
              </w:rPr>
              <w:t> </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71,612</w:t>
            </w:r>
          </w:p>
        </w:tc>
        <w:tc>
          <w:tcPr>
            <w:tcW w:w="1134" w:type="dxa"/>
            <w:tcBorders>
              <w:top w:val="nil"/>
              <w:left w:val="nil"/>
              <w:bottom w:val="nil"/>
              <w:right w:val="nil"/>
            </w:tcBorders>
            <w:shd w:val="clear" w:color="000000" w:fill="FFFFFF"/>
            <w:noWrap/>
            <w:vAlign w:val="center"/>
            <w:hideMark/>
          </w:tcPr>
          <w:p w:rsidR="000451EC" w:rsidRPr="002F17B5" w:rsidRDefault="00043106" w:rsidP="00E47ECE">
            <w:pPr>
              <w:spacing w:after="20"/>
              <w:jc w:val="right"/>
              <w:rPr>
                <w:rFonts w:cs="Arial"/>
                <w:sz w:val="23"/>
                <w:szCs w:val="23"/>
              </w:rPr>
            </w:pPr>
            <w:r w:rsidRPr="002F17B5">
              <w:rPr>
                <w:rFonts w:cs="Arial"/>
                <w:sz w:val="23"/>
                <w:szCs w:val="23"/>
              </w:rPr>
              <w:t>-</w:t>
            </w:r>
            <w:r w:rsidR="000451EC" w:rsidRPr="002F17B5">
              <w:rPr>
                <w:rFonts w:cs="Arial"/>
                <w:sz w:val="23"/>
                <w:szCs w:val="23"/>
              </w:rPr>
              <w:t> </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71,612</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13,678</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85,290</w:t>
            </w:r>
          </w:p>
        </w:tc>
      </w:tr>
      <w:tr w:rsidR="000451EC" w:rsidRPr="002F17B5" w:rsidTr="00E47ECE">
        <w:trPr>
          <w:trHeight w:val="1011"/>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sz w:val="23"/>
                <w:szCs w:val="23"/>
              </w:rPr>
            </w:pPr>
            <w:r w:rsidRPr="002F17B5">
              <w:rPr>
                <w:rFonts w:cs="Arial"/>
                <w:sz w:val="23"/>
                <w:szCs w:val="23"/>
              </w:rPr>
              <w:t>Interim Executive Director for Adult Services, Health &amp; Wellbeing</w:t>
            </w:r>
          </w:p>
        </w:tc>
        <w:tc>
          <w:tcPr>
            <w:tcW w:w="856" w:type="dxa"/>
            <w:tcBorders>
              <w:top w:val="nil"/>
              <w:left w:val="nil"/>
              <w:bottom w:val="nil"/>
              <w:right w:val="nil"/>
            </w:tcBorders>
            <w:shd w:val="clear" w:color="000000" w:fill="FFFFFF"/>
            <w:noWrap/>
            <w:vAlign w:val="center"/>
            <w:hideMark/>
          </w:tcPr>
          <w:p w:rsidR="000451EC" w:rsidRPr="00597F30" w:rsidRDefault="00E47956" w:rsidP="00E47ECE">
            <w:pPr>
              <w:spacing w:after="20"/>
              <w:jc w:val="center"/>
              <w:rPr>
                <w:rFonts w:cs="Arial"/>
                <w:sz w:val="23"/>
                <w:szCs w:val="23"/>
                <w:vertAlign w:val="superscript"/>
              </w:rPr>
            </w:pPr>
            <w:r>
              <w:rPr>
                <w:rFonts w:cs="Arial"/>
                <w:sz w:val="23"/>
                <w:szCs w:val="23"/>
                <w:vertAlign w:val="superscript"/>
              </w:rPr>
              <w:t>5</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96,901</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4,070</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100,971</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sz w:val="23"/>
                <w:szCs w:val="23"/>
              </w:rPr>
            </w:pPr>
            <w:r w:rsidRPr="002F17B5">
              <w:rPr>
                <w:rFonts w:cs="Arial"/>
                <w:sz w:val="23"/>
                <w:szCs w:val="23"/>
              </w:rPr>
              <w:t>12,339</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113,310</w:t>
            </w:r>
          </w:p>
        </w:tc>
      </w:tr>
      <w:tr w:rsidR="000451EC" w:rsidRPr="002F17B5" w:rsidTr="00E47ECE">
        <w:trPr>
          <w:trHeight w:val="321"/>
        </w:trPr>
        <w:tc>
          <w:tcPr>
            <w:tcW w:w="2114" w:type="dxa"/>
            <w:tcBorders>
              <w:top w:val="nil"/>
              <w:left w:val="nil"/>
              <w:bottom w:val="nil"/>
              <w:right w:val="nil"/>
            </w:tcBorders>
            <w:shd w:val="clear" w:color="000000" w:fill="FFFFFF"/>
            <w:vAlign w:val="center"/>
            <w:hideMark/>
          </w:tcPr>
          <w:p w:rsidR="000451EC" w:rsidRPr="002F17B5" w:rsidRDefault="000451EC" w:rsidP="00E47ECE">
            <w:pPr>
              <w:spacing w:after="20"/>
              <w:jc w:val="left"/>
              <w:rPr>
                <w:rFonts w:cs="Arial"/>
                <w:b/>
                <w:bCs/>
                <w:sz w:val="23"/>
                <w:szCs w:val="23"/>
              </w:rPr>
            </w:pPr>
            <w:r w:rsidRPr="002F17B5">
              <w:rPr>
                <w:rFonts w:cs="Arial"/>
                <w:b/>
                <w:bCs/>
                <w:sz w:val="23"/>
                <w:szCs w:val="23"/>
              </w:rPr>
              <w:t>Total</w:t>
            </w:r>
          </w:p>
        </w:tc>
        <w:tc>
          <w:tcPr>
            <w:tcW w:w="856" w:type="dxa"/>
            <w:tcBorders>
              <w:top w:val="nil"/>
              <w:left w:val="nil"/>
              <w:bottom w:val="nil"/>
              <w:right w:val="nil"/>
            </w:tcBorders>
            <w:shd w:val="clear" w:color="000000" w:fill="FFFFFF"/>
            <w:noWrap/>
            <w:vAlign w:val="center"/>
            <w:hideMark/>
          </w:tcPr>
          <w:p w:rsidR="000451EC" w:rsidRPr="002F17B5" w:rsidRDefault="000451EC" w:rsidP="00E47ECE">
            <w:pPr>
              <w:spacing w:after="20"/>
              <w:jc w:val="center"/>
              <w:rPr>
                <w:rFonts w:cs="Arial"/>
                <w:b/>
                <w:bCs/>
                <w:sz w:val="23"/>
                <w:szCs w:val="23"/>
              </w:rPr>
            </w:pPr>
            <w:r w:rsidRPr="002F17B5">
              <w:rPr>
                <w:rFonts w:cs="Arial"/>
                <w:b/>
                <w:bCs/>
                <w:sz w:val="23"/>
                <w:szCs w:val="23"/>
              </w:rPr>
              <w:t> </w:t>
            </w:r>
          </w:p>
        </w:tc>
        <w:tc>
          <w:tcPr>
            <w:tcW w:w="146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1,019,943</w:t>
            </w:r>
          </w:p>
        </w:tc>
        <w:tc>
          <w:tcPr>
            <w:tcW w:w="1134"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35,087</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1,055,030</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184,816</w:t>
            </w:r>
          </w:p>
        </w:tc>
        <w:tc>
          <w:tcPr>
            <w:tcW w:w="1701" w:type="dxa"/>
            <w:tcBorders>
              <w:top w:val="nil"/>
              <w:left w:val="nil"/>
              <w:bottom w:val="nil"/>
              <w:right w:val="nil"/>
            </w:tcBorders>
            <w:shd w:val="clear" w:color="000000" w:fill="FFFFFF"/>
            <w:noWrap/>
            <w:vAlign w:val="center"/>
            <w:hideMark/>
          </w:tcPr>
          <w:p w:rsidR="000451EC" w:rsidRPr="002F17B5" w:rsidRDefault="000451EC" w:rsidP="00E47ECE">
            <w:pPr>
              <w:spacing w:after="20"/>
              <w:jc w:val="right"/>
              <w:rPr>
                <w:rFonts w:cs="Arial"/>
                <w:b/>
                <w:bCs/>
                <w:sz w:val="23"/>
                <w:szCs w:val="23"/>
              </w:rPr>
            </w:pPr>
            <w:r w:rsidRPr="002F17B5">
              <w:rPr>
                <w:rFonts w:cs="Arial"/>
                <w:b/>
                <w:bCs/>
                <w:sz w:val="23"/>
                <w:szCs w:val="23"/>
              </w:rPr>
              <w:t>1,239,846</w:t>
            </w:r>
          </w:p>
        </w:tc>
      </w:tr>
      <w:tr w:rsidR="00597F30" w:rsidRPr="002F17B5" w:rsidTr="00972600">
        <w:trPr>
          <w:trHeight w:val="97"/>
        </w:trPr>
        <w:tc>
          <w:tcPr>
            <w:tcW w:w="10671" w:type="dxa"/>
            <w:gridSpan w:val="7"/>
            <w:tcBorders>
              <w:top w:val="nil"/>
              <w:left w:val="nil"/>
              <w:bottom w:val="nil"/>
              <w:right w:val="nil"/>
            </w:tcBorders>
            <w:shd w:val="clear" w:color="000000" w:fill="FFFFFF"/>
            <w:vAlign w:val="center"/>
          </w:tcPr>
          <w:p w:rsidR="00597F30" w:rsidRPr="00717EFF" w:rsidRDefault="00597F30" w:rsidP="00E47ECE">
            <w:pPr>
              <w:spacing w:after="20"/>
              <w:jc w:val="right"/>
              <w:rPr>
                <w:rFonts w:cs="Arial"/>
                <w:b/>
                <w:bCs/>
                <w:sz w:val="19"/>
                <w:szCs w:val="23"/>
              </w:rPr>
            </w:pPr>
          </w:p>
        </w:tc>
      </w:tr>
    </w:tbl>
    <w:p w:rsidR="00061885" w:rsidRPr="002F17B5" w:rsidRDefault="00E47956" w:rsidP="006977BB">
      <w:pPr>
        <w:spacing w:after="80"/>
        <w:rPr>
          <w:sz w:val="22"/>
          <w:szCs w:val="22"/>
        </w:rPr>
      </w:pPr>
      <w:r w:rsidRPr="00E47956">
        <w:rPr>
          <w:sz w:val="22"/>
          <w:szCs w:val="22"/>
          <w:vertAlign w:val="superscript"/>
        </w:rPr>
        <w:t>1</w:t>
      </w:r>
      <w:r w:rsidR="000451EC" w:rsidRPr="002F17B5">
        <w:rPr>
          <w:sz w:val="22"/>
          <w:szCs w:val="22"/>
        </w:rPr>
        <w:t xml:space="preserve"> </w:t>
      </w:r>
      <w:r w:rsidR="00227F9C">
        <w:rPr>
          <w:sz w:val="22"/>
          <w:szCs w:val="22"/>
        </w:rPr>
        <w:t xml:space="preserve">Other </w:t>
      </w:r>
      <w:r w:rsidR="000451EC" w:rsidRPr="002F17B5">
        <w:rPr>
          <w:sz w:val="22"/>
          <w:szCs w:val="22"/>
        </w:rPr>
        <w:t>Benefits relate to either lease car payments or a cash equivalent.</w:t>
      </w:r>
    </w:p>
    <w:p w:rsidR="000451EC" w:rsidRPr="002F17B5" w:rsidRDefault="00E47956" w:rsidP="006977BB">
      <w:pPr>
        <w:spacing w:after="80"/>
        <w:rPr>
          <w:sz w:val="22"/>
          <w:szCs w:val="22"/>
        </w:rPr>
      </w:pPr>
      <w:r>
        <w:rPr>
          <w:sz w:val="22"/>
          <w:szCs w:val="22"/>
          <w:vertAlign w:val="superscript"/>
        </w:rPr>
        <w:t>2</w:t>
      </w:r>
      <w:r w:rsidR="00597F30">
        <w:rPr>
          <w:sz w:val="22"/>
          <w:szCs w:val="22"/>
        </w:rPr>
        <w:t xml:space="preserve"> </w:t>
      </w:r>
      <w:r w:rsidR="000451EC" w:rsidRPr="002F17B5">
        <w:rPr>
          <w:sz w:val="22"/>
          <w:szCs w:val="22"/>
        </w:rPr>
        <w:t>The Executive Director for Adult Services, Health &amp; Wellbeing was appointed on 12th August 2013.</w:t>
      </w:r>
    </w:p>
    <w:p w:rsidR="000451EC" w:rsidRPr="002F17B5" w:rsidRDefault="00E47956" w:rsidP="006977BB">
      <w:pPr>
        <w:spacing w:after="80"/>
        <w:rPr>
          <w:sz w:val="22"/>
          <w:szCs w:val="22"/>
        </w:rPr>
      </w:pPr>
      <w:r>
        <w:rPr>
          <w:sz w:val="22"/>
          <w:szCs w:val="22"/>
          <w:vertAlign w:val="superscript"/>
        </w:rPr>
        <w:t>3</w:t>
      </w:r>
      <w:r w:rsidR="00597F30">
        <w:rPr>
          <w:sz w:val="22"/>
          <w:szCs w:val="22"/>
        </w:rPr>
        <w:t xml:space="preserve"> </w:t>
      </w:r>
      <w:r w:rsidR="000451EC" w:rsidRPr="002F17B5">
        <w:rPr>
          <w:sz w:val="22"/>
          <w:szCs w:val="22"/>
        </w:rPr>
        <w:t>The Interim Executive Director for the Environment was appointed on 20th August 2013.</w:t>
      </w:r>
    </w:p>
    <w:p w:rsidR="00621E0F" w:rsidRPr="002F17B5" w:rsidRDefault="00E47956" w:rsidP="006977BB">
      <w:pPr>
        <w:spacing w:after="80"/>
        <w:rPr>
          <w:sz w:val="22"/>
          <w:szCs w:val="22"/>
        </w:rPr>
      </w:pPr>
      <w:r>
        <w:rPr>
          <w:sz w:val="22"/>
          <w:szCs w:val="22"/>
          <w:vertAlign w:val="superscript"/>
        </w:rPr>
        <w:t>4</w:t>
      </w:r>
      <w:r w:rsidR="00597F30">
        <w:rPr>
          <w:sz w:val="22"/>
          <w:szCs w:val="22"/>
        </w:rPr>
        <w:t xml:space="preserve"> </w:t>
      </w:r>
      <w:r w:rsidR="00621E0F" w:rsidRPr="002F17B5">
        <w:rPr>
          <w:sz w:val="22"/>
          <w:szCs w:val="22"/>
        </w:rPr>
        <w:t>The Director for Public Health was appointed on 1st November 2013.</w:t>
      </w:r>
    </w:p>
    <w:p w:rsidR="00621E0F" w:rsidRDefault="00E47956" w:rsidP="006977BB">
      <w:pPr>
        <w:spacing w:after="80"/>
        <w:rPr>
          <w:sz w:val="22"/>
          <w:szCs w:val="22"/>
        </w:rPr>
      </w:pPr>
      <w:r>
        <w:rPr>
          <w:sz w:val="22"/>
          <w:szCs w:val="22"/>
          <w:vertAlign w:val="superscript"/>
        </w:rPr>
        <w:t>5</w:t>
      </w:r>
      <w:r w:rsidR="00597F30">
        <w:rPr>
          <w:sz w:val="22"/>
          <w:szCs w:val="22"/>
        </w:rPr>
        <w:t xml:space="preserve"> </w:t>
      </w:r>
      <w:r w:rsidR="00621E0F" w:rsidRPr="002F17B5">
        <w:rPr>
          <w:sz w:val="22"/>
          <w:szCs w:val="22"/>
        </w:rPr>
        <w:t>The Interim Executive Director for Adult Services, Health &amp; Wellbeing remained in post until 30th September 201</w:t>
      </w:r>
      <w:r w:rsidR="009D2C26" w:rsidRPr="002F17B5">
        <w:rPr>
          <w:sz w:val="22"/>
          <w:szCs w:val="22"/>
        </w:rPr>
        <w:t xml:space="preserve">3 when the </w:t>
      </w:r>
      <w:proofErr w:type="spellStart"/>
      <w:r w:rsidR="009D2C26" w:rsidRPr="002F17B5">
        <w:rPr>
          <w:sz w:val="22"/>
          <w:szCs w:val="22"/>
        </w:rPr>
        <w:t>postholder</w:t>
      </w:r>
      <w:proofErr w:type="spellEnd"/>
      <w:r w:rsidR="009D2C26" w:rsidRPr="002F17B5">
        <w:rPr>
          <w:sz w:val="22"/>
          <w:szCs w:val="22"/>
        </w:rPr>
        <w:t xml:space="preserve"> left the a</w:t>
      </w:r>
      <w:r w:rsidR="00621E0F" w:rsidRPr="002F17B5">
        <w:rPr>
          <w:sz w:val="22"/>
          <w:szCs w:val="22"/>
        </w:rPr>
        <w:t>uthority.</w:t>
      </w:r>
    </w:p>
    <w:p w:rsidR="006728BA" w:rsidRDefault="006728BA">
      <w:pPr>
        <w:autoSpaceDE/>
        <w:autoSpaceDN/>
        <w:adjustRightInd/>
        <w:spacing w:after="20"/>
        <w:jc w:val="right"/>
        <w:rPr>
          <w:sz w:val="22"/>
          <w:szCs w:val="22"/>
        </w:rPr>
      </w:pPr>
      <w:r>
        <w:rPr>
          <w:sz w:val="22"/>
          <w:szCs w:val="22"/>
        </w:rPr>
        <w:br w:type="page"/>
      </w:r>
    </w:p>
    <w:p w:rsidR="00621E0F" w:rsidRPr="00122637" w:rsidRDefault="006E53A5" w:rsidP="00344A55">
      <w:pPr>
        <w:rPr>
          <w:b/>
          <w:sz w:val="22"/>
        </w:rPr>
      </w:pPr>
      <w:r w:rsidRPr="00122637">
        <w:rPr>
          <w:b/>
          <w:sz w:val="22"/>
        </w:rPr>
        <w:lastRenderedPageBreak/>
        <w:t>Disclosure of Senior Officers' Remuneration 2012/13: Remuneration £50k to £150k (Restated*)</w:t>
      </w:r>
    </w:p>
    <w:tbl>
      <w:tblPr>
        <w:tblW w:w="10900" w:type="dxa"/>
        <w:tblInd w:w="93" w:type="dxa"/>
        <w:tblLook w:val="04A0" w:firstRow="1" w:lastRow="0" w:firstColumn="1" w:lastColumn="0" w:noHBand="0" w:noVBand="1"/>
      </w:tblPr>
      <w:tblGrid>
        <w:gridCol w:w="2180"/>
        <w:gridCol w:w="828"/>
        <w:gridCol w:w="1680"/>
        <w:gridCol w:w="1162"/>
        <w:gridCol w:w="1696"/>
        <w:gridCol w:w="1658"/>
        <w:gridCol w:w="1696"/>
      </w:tblGrid>
      <w:tr w:rsidR="00621E0F" w:rsidRPr="002F17B5" w:rsidTr="001602B7">
        <w:trPr>
          <w:trHeight w:val="2100"/>
        </w:trPr>
        <w:tc>
          <w:tcPr>
            <w:tcW w:w="3100" w:type="dxa"/>
            <w:shd w:val="clear" w:color="000000" w:fill="FFFFFF"/>
            <w:vAlign w:val="bottom"/>
            <w:hideMark/>
          </w:tcPr>
          <w:p w:rsidR="00621E0F" w:rsidRPr="002F17B5" w:rsidRDefault="00621E0F" w:rsidP="00621E0F">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Post</w:t>
            </w:r>
          </w:p>
        </w:tc>
        <w:tc>
          <w:tcPr>
            <w:tcW w:w="700" w:type="dxa"/>
            <w:shd w:val="clear" w:color="000000" w:fill="FFFFFF"/>
            <w:vAlign w:val="bottom"/>
            <w:hideMark/>
          </w:tcPr>
          <w:p w:rsidR="00621E0F" w:rsidRPr="002F17B5" w:rsidRDefault="00621E0F" w:rsidP="00621E0F">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Notes</w:t>
            </w:r>
          </w:p>
        </w:tc>
        <w:tc>
          <w:tcPr>
            <w:tcW w:w="1680" w:type="dxa"/>
            <w:shd w:val="clear" w:color="000000" w:fill="FFFFFF"/>
            <w:vAlign w:val="bottom"/>
            <w:hideMark/>
          </w:tcPr>
          <w:p w:rsidR="00621E0F" w:rsidRPr="002F17B5" w:rsidRDefault="00621E0F" w:rsidP="00621E0F">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Salary (including fees and allowances)</w:t>
            </w:r>
            <w:r w:rsidRPr="002F17B5">
              <w:rPr>
                <w:rFonts w:eastAsia="Times New Roman" w:cs="Arial"/>
                <w:b/>
                <w:bCs/>
                <w:sz w:val="22"/>
                <w:szCs w:val="22"/>
                <w:lang w:eastAsia="en-GB"/>
              </w:rPr>
              <w:br/>
              <w:t>£</w:t>
            </w:r>
          </w:p>
        </w:tc>
        <w:tc>
          <w:tcPr>
            <w:tcW w:w="1080" w:type="dxa"/>
            <w:shd w:val="clear" w:color="000000" w:fill="FFFFFF"/>
            <w:vAlign w:val="bottom"/>
            <w:hideMark/>
          </w:tcPr>
          <w:p w:rsidR="00621E0F" w:rsidRPr="002F17B5" w:rsidRDefault="00227F9C" w:rsidP="00227F9C">
            <w:pPr>
              <w:autoSpaceDE/>
              <w:autoSpaceDN/>
              <w:adjustRightInd/>
              <w:spacing w:before="0" w:after="0"/>
              <w:jc w:val="center"/>
              <w:rPr>
                <w:rFonts w:eastAsia="Times New Roman" w:cs="Arial"/>
                <w:b/>
                <w:bCs/>
                <w:sz w:val="22"/>
                <w:szCs w:val="22"/>
                <w:lang w:eastAsia="en-GB"/>
              </w:rPr>
            </w:pPr>
            <w:r>
              <w:rPr>
                <w:rFonts w:eastAsia="Times New Roman" w:cs="Arial"/>
                <w:b/>
                <w:bCs/>
                <w:sz w:val="22"/>
                <w:szCs w:val="22"/>
                <w:lang w:eastAsia="en-GB"/>
              </w:rPr>
              <w:t>Other Benefits</w:t>
            </w:r>
            <w:r w:rsidR="00E47956" w:rsidRPr="00E47956">
              <w:rPr>
                <w:rFonts w:eastAsia="Times New Roman" w:cs="Arial"/>
                <w:b/>
                <w:bCs/>
                <w:sz w:val="22"/>
                <w:szCs w:val="22"/>
                <w:vertAlign w:val="superscript"/>
                <w:lang w:eastAsia="en-GB"/>
              </w:rPr>
              <w:t>1</w:t>
            </w:r>
            <w:r w:rsidR="00621E0F" w:rsidRPr="002F17B5">
              <w:rPr>
                <w:rFonts w:eastAsia="Times New Roman" w:cs="Arial"/>
                <w:b/>
                <w:bCs/>
                <w:sz w:val="22"/>
                <w:szCs w:val="22"/>
                <w:lang w:eastAsia="en-GB"/>
              </w:rPr>
              <w:br/>
              <w:t>£</w:t>
            </w:r>
          </w:p>
        </w:tc>
        <w:tc>
          <w:tcPr>
            <w:tcW w:w="1420" w:type="dxa"/>
            <w:shd w:val="clear" w:color="000000" w:fill="FFFFFF"/>
            <w:vAlign w:val="bottom"/>
            <w:hideMark/>
          </w:tcPr>
          <w:p w:rsidR="00621E0F" w:rsidRPr="002F17B5" w:rsidRDefault="00621E0F" w:rsidP="00621E0F">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Total Remuneration (excluding pension contributions)</w:t>
            </w:r>
            <w:r w:rsidRPr="002F17B5">
              <w:rPr>
                <w:rFonts w:eastAsia="Times New Roman" w:cs="Arial"/>
                <w:b/>
                <w:bCs/>
                <w:sz w:val="22"/>
                <w:szCs w:val="22"/>
                <w:lang w:eastAsia="en-GB"/>
              </w:rPr>
              <w:br/>
              <w:t>£</w:t>
            </w:r>
          </w:p>
        </w:tc>
        <w:tc>
          <w:tcPr>
            <w:tcW w:w="1500" w:type="dxa"/>
            <w:shd w:val="clear" w:color="000000" w:fill="FFFFFF"/>
            <w:vAlign w:val="bottom"/>
            <w:hideMark/>
          </w:tcPr>
          <w:p w:rsidR="00621E0F" w:rsidRPr="002F17B5" w:rsidRDefault="00621E0F" w:rsidP="00621E0F">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Pension Contributions</w:t>
            </w:r>
            <w:r w:rsidRPr="002F17B5">
              <w:rPr>
                <w:rFonts w:eastAsia="Times New Roman" w:cs="Arial"/>
                <w:b/>
                <w:bCs/>
                <w:sz w:val="22"/>
                <w:szCs w:val="22"/>
                <w:lang w:eastAsia="en-GB"/>
              </w:rPr>
              <w:br/>
              <w:t>£</w:t>
            </w:r>
          </w:p>
        </w:tc>
        <w:tc>
          <w:tcPr>
            <w:tcW w:w="1420" w:type="dxa"/>
            <w:shd w:val="clear" w:color="000000" w:fill="FFFFFF"/>
            <w:vAlign w:val="bottom"/>
            <w:hideMark/>
          </w:tcPr>
          <w:p w:rsidR="00621E0F" w:rsidRPr="002F17B5" w:rsidRDefault="00621E0F" w:rsidP="00621E0F">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Total Remuneration (including pension contributions)</w:t>
            </w:r>
            <w:r w:rsidRPr="002F17B5">
              <w:rPr>
                <w:rFonts w:eastAsia="Times New Roman" w:cs="Arial"/>
                <w:b/>
                <w:bCs/>
                <w:sz w:val="22"/>
                <w:szCs w:val="22"/>
                <w:lang w:eastAsia="en-GB"/>
              </w:rPr>
              <w:br/>
              <w:t>£</w:t>
            </w:r>
          </w:p>
        </w:tc>
      </w:tr>
      <w:tr w:rsidR="00621E0F" w:rsidRPr="002F17B5" w:rsidTr="001602B7">
        <w:trPr>
          <w:trHeight w:val="702"/>
        </w:trPr>
        <w:tc>
          <w:tcPr>
            <w:tcW w:w="3100" w:type="dxa"/>
            <w:shd w:val="clear" w:color="000000" w:fill="FFFFFF"/>
            <w:vAlign w:val="center"/>
            <w:hideMark/>
          </w:tcPr>
          <w:p w:rsidR="00621E0F" w:rsidRPr="002F17B5" w:rsidRDefault="00621E0F" w:rsidP="00621E0F">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Executive Director for Children &amp; Young People</w:t>
            </w:r>
          </w:p>
        </w:tc>
        <w:tc>
          <w:tcPr>
            <w:tcW w:w="700" w:type="dxa"/>
            <w:shd w:val="clear" w:color="000000" w:fill="FFFFFF"/>
            <w:noWrap/>
            <w:vAlign w:val="center"/>
            <w:hideMark/>
          </w:tcPr>
          <w:p w:rsidR="00621E0F" w:rsidRPr="00E47956" w:rsidRDefault="00E47956" w:rsidP="00621E0F">
            <w:pPr>
              <w:autoSpaceDE/>
              <w:autoSpaceDN/>
              <w:adjustRightInd/>
              <w:spacing w:before="0" w:after="0"/>
              <w:jc w:val="center"/>
              <w:rPr>
                <w:rFonts w:eastAsia="Times New Roman" w:cs="Arial"/>
                <w:sz w:val="22"/>
                <w:szCs w:val="22"/>
                <w:vertAlign w:val="superscript"/>
                <w:lang w:eastAsia="en-GB"/>
              </w:rPr>
            </w:pPr>
            <w:r>
              <w:rPr>
                <w:rFonts w:eastAsia="Times New Roman" w:cs="Arial"/>
                <w:sz w:val="22"/>
                <w:szCs w:val="22"/>
                <w:vertAlign w:val="superscript"/>
                <w:lang w:eastAsia="en-GB"/>
              </w:rPr>
              <w:t>2</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129,201</w:t>
            </w:r>
          </w:p>
        </w:tc>
        <w:tc>
          <w:tcPr>
            <w:tcW w:w="108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8,120</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137,321</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24,161</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161,482</w:t>
            </w:r>
          </w:p>
        </w:tc>
      </w:tr>
      <w:tr w:rsidR="00621E0F" w:rsidRPr="002F17B5" w:rsidTr="001602B7">
        <w:trPr>
          <w:trHeight w:val="702"/>
        </w:trPr>
        <w:tc>
          <w:tcPr>
            <w:tcW w:w="3100" w:type="dxa"/>
            <w:shd w:val="clear" w:color="000000" w:fill="FFFFFF"/>
            <w:vAlign w:val="center"/>
            <w:hideMark/>
          </w:tcPr>
          <w:p w:rsidR="00621E0F" w:rsidRPr="002F17B5" w:rsidRDefault="00C411F3" w:rsidP="00C411F3">
            <w:pPr>
              <w:autoSpaceDE/>
              <w:autoSpaceDN/>
              <w:adjustRightInd/>
              <w:spacing w:before="0" w:after="0"/>
              <w:jc w:val="left"/>
              <w:rPr>
                <w:rFonts w:eastAsia="Times New Roman" w:cs="Arial"/>
                <w:sz w:val="22"/>
                <w:szCs w:val="22"/>
                <w:lang w:eastAsia="en-GB"/>
              </w:rPr>
            </w:pPr>
            <w:r>
              <w:rPr>
                <w:rFonts w:eastAsia="Times New Roman" w:cs="Arial"/>
                <w:sz w:val="22"/>
                <w:szCs w:val="22"/>
                <w:lang w:eastAsia="en-GB"/>
              </w:rPr>
              <w:t>Executive Director of Adult Services, Health and Wellbeing</w:t>
            </w:r>
            <w:r w:rsidR="00621E0F" w:rsidRPr="002F17B5">
              <w:rPr>
                <w:rFonts w:eastAsia="Times New Roman" w:cs="Arial"/>
                <w:sz w:val="22"/>
                <w:szCs w:val="22"/>
                <w:lang w:eastAsia="en-GB"/>
              </w:rPr>
              <w:t xml:space="preserve"> </w:t>
            </w:r>
          </w:p>
        </w:tc>
        <w:tc>
          <w:tcPr>
            <w:tcW w:w="700" w:type="dxa"/>
            <w:shd w:val="clear" w:color="000000" w:fill="FFFFFF"/>
            <w:noWrap/>
            <w:vAlign w:val="center"/>
            <w:hideMark/>
          </w:tcPr>
          <w:p w:rsidR="00621E0F" w:rsidRPr="00E47956" w:rsidRDefault="00E47956" w:rsidP="00621E0F">
            <w:pPr>
              <w:autoSpaceDE/>
              <w:autoSpaceDN/>
              <w:adjustRightInd/>
              <w:spacing w:before="0" w:after="0"/>
              <w:jc w:val="center"/>
              <w:rPr>
                <w:rFonts w:eastAsia="Times New Roman" w:cs="Arial"/>
                <w:sz w:val="22"/>
                <w:szCs w:val="22"/>
                <w:vertAlign w:val="superscript"/>
                <w:lang w:eastAsia="en-GB"/>
              </w:rPr>
            </w:pPr>
            <w:r>
              <w:rPr>
                <w:rFonts w:eastAsia="Times New Roman" w:cs="Arial"/>
                <w:sz w:val="22"/>
                <w:szCs w:val="22"/>
                <w:vertAlign w:val="superscript"/>
                <w:lang w:eastAsia="en-GB"/>
              </w:rPr>
              <w:t>2</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129,201</w:t>
            </w:r>
          </w:p>
        </w:tc>
        <w:tc>
          <w:tcPr>
            <w:tcW w:w="108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1,974</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131,175</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24,161</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155,336</w:t>
            </w:r>
          </w:p>
        </w:tc>
      </w:tr>
      <w:tr w:rsidR="00621E0F" w:rsidRPr="002F17B5" w:rsidTr="001602B7">
        <w:trPr>
          <w:trHeight w:val="702"/>
        </w:trPr>
        <w:tc>
          <w:tcPr>
            <w:tcW w:w="3100" w:type="dxa"/>
            <w:shd w:val="clear" w:color="000000" w:fill="FFFFFF"/>
            <w:vAlign w:val="center"/>
            <w:hideMark/>
          </w:tcPr>
          <w:p w:rsidR="00621E0F" w:rsidRPr="002F17B5" w:rsidRDefault="00621E0F" w:rsidP="00621E0F">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County Secretary &amp; Solicitor</w:t>
            </w:r>
          </w:p>
        </w:tc>
        <w:tc>
          <w:tcPr>
            <w:tcW w:w="700" w:type="dxa"/>
            <w:shd w:val="clear" w:color="000000" w:fill="FFFFFF"/>
            <w:noWrap/>
            <w:vAlign w:val="center"/>
            <w:hideMark/>
          </w:tcPr>
          <w:p w:rsidR="00621E0F" w:rsidRPr="002F17B5" w:rsidRDefault="00621E0F" w:rsidP="00621E0F">
            <w:pPr>
              <w:autoSpaceDE/>
              <w:autoSpaceDN/>
              <w:adjustRightInd/>
              <w:spacing w:before="0" w:after="0"/>
              <w:jc w:val="center"/>
              <w:rPr>
                <w:rFonts w:eastAsia="Times New Roman" w:cs="Arial"/>
                <w:sz w:val="22"/>
                <w:szCs w:val="22"/>
                <w:lang w:eastAsia="en-GB"/>
              </w:rPr>
            </w:pPr>
            <w:r w:rsidRPr="002F17B5">
              <w:rPr>
                <w:rFonts w:eastAsia="Times New Roman" w:cs="Arial"/>
                <w:sz w:val="22"/>
                <w:szCs w:val="22"/>
                <w:lang w:eastAsia="en-GB"/>
              </w:rPr>
              <w:t> </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129,201</w:t>
            </w:r>
          </w:p>
        </w:tc>
        <w:tc>
          <w:tcPr>
            <w:tcW w:w="108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1,375</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130,576</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24,161</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154,737</w:t>
            </w:r>
          </w:p>
        </w:tc>
      </w:tr>
      <w:tr w:rsidR="00621E0F" w:rsidRPr="002F17B5" w:rsidTr="001602B7">
        <w:trPr>
          <w:trHeight w:val="702"/>
        </w:trPr>
        <w:tc>
          <w:tcPr>
            <w:tcW w:w="3100" w:type="dxa"/>
            <w:shd w:val="clear" w:color="000000" w:fill="FFFFFF"/>
            <w:vAlign w:val="center"/>
            <w:hideMark/>
          </w:tcPr>
          <w:p w:rsidR="00621E0F" w:rsidRPr="002F17B5" w:rsidRDefault="00621E0F" w:rsidP="00621E0F">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Executive Director for the Environment</w:t>
            </w:r>
          </w:p>
        </w:tc>
        <w:tc>
          <w:tcPr>
            <w:tcW w:w="700" w:type="dxa"/>
            <w:shd w:val="clear" w:color="000000" w:fill="FFFFFF"/>
            <w:noWrap/>
            <w:vAlign w:val="center"/>
            <w:hideMark/>
          </w:tcPr>
          <w:p w:rsidR="00621E0F" w:rsidRPr="002F17B5" w:rsidRDefault="00621E0F" w:rsidP="00621E0F">
            <w:pPr>
              <w:autoSpaceDE/>
              <w:autoSpaceDN/>
              <w:adjustRightInd/>
              <w:spacing w:before="0" w:after="0"/>
              <w:jc w:val="center"/>
              <w:rPr>
                <w:rFonts w:eastAsia="Times New Roman" w:cs="Arial"/>
                <w:sz w:val="22"/>
                <w:szCs w:val="22"/>
                <w:lang w:eastAsia="en-GB"/>
              </w:rPr>
            </w:pPr>
            <w:r w:rsidRPr="002F17B5">
              <w:rPr>
                <w:rFonts w:eastAsia="Times New Roman" w:cs="Arial"/>
                <w:sz w:val="22"/>
                <w:szCs w:val="22"/>
                <w:lang w:eastAsia="en-GB"/>
              </w:rPr>
              <w:t> </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129,201</w:t>
            </w:r>
          </w:p>
        </w:tc>
        <w:tc>
          <w:tcPr>
            <w:tcW w:w="108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5,300</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134,501</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24,161</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158,662</w:t>
            </w:r>
          </w:p>
        </w:tc>
      </w:tr>
      <w:tr w:rsidR="00621E0F" w:rsidRPr="002F17B5" w:rsidTr="001602B7">
        <w:trPr>
          <w:trHeight w:val="499"/>
        </w:trPr>
        <w:tc>
          <w:tcPr>
            <w:tcW w:w="3100" w:type="dxa"/>
            <w:shd w:val="clear" w:color="000000" w:fill="FFFFFF"/>
            <w:vAlign w:val="center"/>
            <w:hideMark/>
          </w:tcPr>
          <w:p w:rsidR="00621E0F" w:rsidRPr="002F17B5" w:rsidRDefault="00621E0F" w:rsidP="00621E0F">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County Treasurer</w:t>
            </w:r>
          </w:p>
        </w:tc>
        <w:tc>
          <w:tcPr>
            <w:tcW w:w="700" w:type="dxa"/>
            <w:shd w:val="clear" w:color="000000" w:fill="FFFFFF"/>
            <w:noWrap/>
            <w:vAlign w:val="center"/>
            <w:hideMark/>
          </w:tcPr>
          <w:p w:rsidR="00621E0F" w:rsidRPr="002F17B5" w:rsidRDefault="00621E0F" w:rsidP="00621E0F">
            <w:pPr>
              <w:autoSpaceDE/>
              <w:autoSpaceDN/>
              <w:adjustRightInd/>
              <w:spacing w:before="0" w:after="0"/>
              <w:jc w:val="center"/>
              <w:rPr>
                <w:rFonts w:eastAsia="Times New Roman" w:cs="Arial"/>
                <w:sz w:val="22"/>
                <w:szCs w:val="22"/>
                <w:lang w:eastAsia="en-GB"/>
              </w:rPr>
            </w:pPr>
            <w:r w:rsidRPr="002F17B5">
              <w:rPr>
                <w:rFonts w:eastAsia="Times New Roman" w:cs="Arial"/>
                <w:sz w:val="22"/>
                <w:szCs w:val="22"/>
                <w:lang w:eastAsia="en-GB"/>
              </w:rPr>
              <w:t> </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110,000</w:t>
            </w:r>
          </w:p>
        </w:tc>
        <w:tc>
          <w:tcPr>
            <w:tcW w:w="108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5,300</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115,300</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20,570</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135,870</w:t>
            </w:r>
          </w:p>
        </w:tc>
      </w:tr>
      <w:tr w:rsidR="00621E0F" w:rsidRPr="002F17B5" w:rsidTr="001602B7">
        <w:trPr>
          <w:trHeight w:val="499"/>
        </w:trPr>
        <w:tc>
          <w:tcPr>
            <w:tcW w:w="3100" w:type="dxa"/>
            <w:shd w:val="clear" w:color="000000" w:fill="FFFFFF"/>
            <w:vAlign w:val="center"/>
            <w:hideMark/>
          </w:tcPr>
          <w:p w:rsidR="00621E0F" w:rsidRPr="002F17B5" w:rsidRDefault="00621E0F" w:rsidP="00621E0F">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Assistant Chief Executive</w:t>
            </w:r>
          </w:p>
        </w:tc>
        <w:tc>
          <w:tcPr>
            <w:tcW w:w="700" w:type="dxa"/>
            <w:shd w:val="clear" w:color="000000" w:fill="FFFFFF"/>
            <w:noWrap/>
            <w:vAlign w:val="center"/>
            <w:hideMark/>
          </w:tcPr>
          <w:p w:rsidR="00621E0F" w:rsidRPr="002F17B5" w:rsidRDefault="00621E0F" w:rsidP="00621E0F">
            <w:pPr>
              <w:autoSpaceDE/>
              <w:autoSpaceDN/>
              <w:adjustRightInd/>
              <w:spacing w:before="0" w:after="0"/>
              <w:jc w:val="center"/>
              <w:rPr>
                <w:rFonts w:eastAsia="Times New Roman" w:cs="Arial"/>
                <w:sz w:val="22"/>
                <w:szCs w:val="22"/>
                <w:lang w:eastAsia="en-GB"/>
              </w:rPr>
            </w:pPr>
            <w:r w:rsidRPr="002F17B5">
              <w:rPr>
                <w:rFonts w:eastAsia="Times New Roman" w:cs="Arial"/>
                <w:sz w:val="22"/>
                <w:szCs w:val="22"/>
                <w:lang w:eastAsia="en-GB"/>
              </w:rPr>
              <w:t> </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93,180</w:t>
            </w:r>
          </w:p>
        </w:tc>
        <w:tc>
          <w:tcPr>
            <w:tcW w:w="108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4,594</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97,774</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17,425</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115,198</w:t>
            </w:r>
          </w:p>
        </w:tc>
      </w:tr>
      <w:tr w:rsidR="00621E0F" w:rsidRPr="002F17B5" w:rsidTr="001602B7">
        <w:trPr>
          <w:trHeight w:val="702"/>
        </w:trPr>
        <w:tc>
          <w:tcPr>
            <w:tcW w:w="3100" w:type="dxa"/>
            <w:shd w:val="clear" w:color="000000" w:fill="FFFFFF"/>
            <w:vAlign w:val="center"/>
            <w:hideMark/>
          </w:tcPr>
          <w:p w:rsidR="00621E0F" w:rsidRPr="002F17B5" w:rsidRDefault="00621E0F" w:rsidP="00621E0F">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Director of Economic Development</w:t>
            </w:r>
          </w:p>
        </w:tc>
        <w:tc>
          <w:tcPr>
            <w:tcW w:w="700" w:type="dxa"/>
            <w:shd w:val="clear" w:color="000000" w:fill="FFFFFF"/>
            <w:noWrap/>
            <w:vAlign w:val="center"/>
            <w:hideMark/>
          </w:tcPr>
          <w:p w:rsidR="00621E0F" w:rsidRPr="002F17B5" w:rsidRDefault="00621E0F" w:rsidP="00621E0F">
            <w:pPr>
              <w:autoSpaceDE/>
              <w:autoSpaceDN/>
              <w:adjustRightInd/>
              <w:spacing w:before="0" w:after="0"/>
              <w:jc w:val="center"/>
              <w:rPr>
                <w:rFonts w:eastAsia="Times New Roman" w:cs="Arial"/>
                <w:sz w:val="22"/>
                <w:szCs w:val="22"/>
                <w:lang w:eastAsia="en-GB"/>
              </w:rPr>
            </w:pPr>
            <w:r w:rsidRPr="002F17B5">
              <w:rPr>
                <w:rFonts w:eastAsia="Times New Roman" w:cs="Arial"/>
                <w:sz w:val="22"/>
                <w:szCs w:val="22"/>
                <w:lang w:eastAsia="en-GB"/>
              </w:rPr>
              <w:t> </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93,180</w:t>
            </w:r>
          </w:p>
        </w:tc>
        <w:tc>
          <w:tcPr>
            <w:tcW w:w="108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2,804</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95,984</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17,425</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113,409</w:t>
            </w:r>
          </w:p>
        </w:tc>
      </w:tr>
      <w:tr w:rsidR="00621E0F" w:rsidRPr="002F17B5" w:rsidTr="001602B7">
        <w:trPr>
          <w:trHeight w:val="702"/>
        </w:trPr>
        <w:tc>
          <w:tcPr>
            <w:tcW w:w="3100" w:type="dxa"/>
            <w:shd w:val="clear" w:color="000000" w:fill="FFFFFF"/>
            <w:vAlign w:val="center"/>
            <w:hideMark/>
          </w:tcPr>
          <w:p w:rsidR="00621E0F" w:rsidRPr="002F17B5" w:rsidRDefault="00CA19A4" w:rsidP="00621E0F">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Head of Communications</w:t>
            </w:r>
            <w:r w:rsidR="00621E0F" w:rsidRPr="002F17B5">
              <w:rPr>
                <w:rFonts w:eastAsia="Times New Roman" w:cs="Arial"/>
                <w:sz w:val="22"/>
                <w:szCs w:val="22"/>
                <w:lang w:eastAsia="en-GB"/>
              </w:rPr>
              <w:t xml:space="preserve"> </w:t>
            </w:r>
          </w:p>
        </w:tc>
        <w:tc>
          <w:tcPr>
            <w:tcW w:w="700" w:type="dxa"/>
            <w:shd w:val="clear" w:color="000000" w:fill="FFFFFF"/>
            <w:noWrap/>
            <w:vAlign w:val="center"/>
            <w:hideMark/>
          </w:tcPr>
          <w:p w:rsidR="00621E0F" w:rsidRPr="002F17B5" w:rsidRDefault="00621E0F" w:rsidP="00621E0F">
            <w:pPr>
              <w:autoSpaceDE/>
              <w:autoSpaceDN/>
              <w:adjustRightInd/>
              <w:spacing w:before="0" w:after="0"/>
              <w:jc w:val="center"/>
              <w:rPr>
                <w:rFonts w:eastAsia="Times New Roman" w:cs="Arial"/>
                <w:sz w:val="22"/>
                <w:szCs w:val="22"/>
                <w:lang w:eastAsia="en-GB"/>
              </w:rPr>
            </w:pPr>
            <w:r w:rsidRPr="002F17B5">
              <w:rPr>
                <w:rFonts w:eastAsia="Times New Roman" w:cs="Arial"/>
                <w:sz w:val="22"/>
                <w:szCs w:val="22"/>
                <w:lang w:eastAsia="en-GB"/>
              </w:rPr>
              <w:t> </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65,952</w:t>
            </w:r>
          </w:p>
        </w:tc>
        <w:tc>
          <w:tcPr>
            <w:tcW w:w="1080" w:type="dxa"/>
            <w:shd w:val="clear" w:color="000000" w:fill="FFFFFF"/>
            <w:noWrap/>
            <w:vAlign w:val="center"/>
            <w:hideMark/>
          </w:tcPr>
          <w:p w:rsidR="001D73DF" w:rsidRPr="002F17B5" w:rsidRDefault="0004310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621E0F" w:rsidRPr="002F17B5">
              <w:rPr>
                <w:rFonts w:eastAsia="Times New Roman" w:cs="Arial"/>
                <w:sz w:val="22"/>
                <w:szCs w:val="22"/>
                <w:lang w:eastAsia="en-GB"/>
              </w:rPr>
              <w:t> </w:t>
            </w:r>
          </w:p>
        </w:tc>
        <w:tc>
          <w:tcPr>
            <w:tcW w:w="142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65,952</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12,333</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78,285</w:t>
            </w:r>
          </w:p>
        </w:tc>
      </w:tr>
      <w:tr w:rsidR="00621E0F" w:rsidRPr="002F17B5" w:rsidTr="001602B7">
        <w:trPr>
          <w:trHeight w:val="390"/>
        </w:trPr>
        <w:tc>
          <w:tcPr>
            <w:tcW w:w="3100" w:type="dxa"/>
            <w:shd w:val="clear" w:color="000000" w:fill="FFFFFF"/>
            <w:vAlign w:val="center"/>
            <w:hideMark/>
          </w:tcPr>
          <w:p w:rsidR="00621E0F" w:rsidRPr="002F17B5" w:rsidRDefault="00621E0F" w:rsidP="00621E0F">
            <w:pPr>
              <w:autoSpaceDE/>
              <w:autoSpaceDN/>
              <w:adjustRightInd/>
              <w:spacing w:before="0" w:after="0"/>
              <w:jc w:val="left"/>
              <w:rPr>
                <w:rFonts w:eastAsia="Times New Roman" w:cs="Arial"/>
                <w:b/>
                <w:bCs/>
                <w:sz w:val="22"/>
                <w:szCs w:val="22"/>
                <w:lang w:eastAsia="en-GB"/>
              </w:rPr>
            </w:pPr>
            <w:r w:rsidRPr="002F17B5">
              <w:rPr>
                <w:rFonts w:eastAsia="Times New Roman" w:cs="Arial"/>
                <w:b/>
                <w:bCs/>
                <w:sz w:val="22"/>
                <w:szCs w:val="22"/>
                <w:lang w:eastAsia="en-GB"/>
              </w:rPr>
              <w:t>Total</w:t>
            </w:r>
          </w:p>
        </w:tc>
        <w:tc>
          <w:tcPr>
            <w:tcW w:w="700" w:type="dxa"/>
            <w:shd w:val="clear" w:color="000000" w:fill="FFFFFF"/>
            <w:noWrap/>
            <w:vAlign w:val="center"/>
            <w:hideMark/>
          </w:tcPr>
          <w:p w:rsidR="00621E0F" w:rsidRPr="002F17B5" w:rsidRDefault="00621E0F" w:rsidP="00621E0F">
            <w:pPr>
              <w:autoSpaceDE/>
              <w:autoSpaceDN/>
              <w:adjustRightInd/>
              <w:spacing w:before="0" w:after="0"/>
              <w:jc w:val="center"/>
              <w:rPr>
                <w:rFonts w:eastAsia="Times New Roman" w:cs="Arial"/>
                <w:b/>
                <w:bCs/>
                <w:sz w:val="22"/>
                <w:szCs w:val="22"/>
                <w:lang w:eastAsia="en-GB"/>
              </w:rPr>
            </w:pPr>
            <w:r w:rsidRPr="002F17B5">
              <w:rPr>
                <w:rFonts w:eastAsia="Times New Roman" w:cs="Arial"/>
                <w:b/>
                <w:bCs/>
                <w:sz w:val="22"/>
                <w:szCs w:val="22"/>
                <w:lang w:eastAsia="en-GB"/>
              </w:rPr>
              <w:t> </w:t>
            </w:r>
          </w:p>
        </w:tc>
        <w:tc>
          <w:tcPr>
            <w:tcW w:w="1680" w:type="dxa"/>
            <w:shd w:val="clear" w:color="000000" w:fill="FFFFFF"/>
            <w:noWrap/>
            <w:vAlign w:val="center"/>
            <w:hideMark/>
          </w:tcPr>
          <w:p w:rsidR="00621E0F" w:rsidRPr="002F17B5" w:rsidRDefault="00621E0F" w:rsidP="001C1AA2">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879,116</w:t>
            </w:r>
          </w:p>
        </w:tc>
        <w:tc>
          <w:tcPr>
            <w:tcW w:w="108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29,467</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908,583</w:t>
            </w:r>
          </w:p>
        </w:tc>
        <w:tc>
          <w:tcPr>
            <w:tcW w:w="150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164,396</w:t>
            </w:r>
          </w:p>
        </w:tc>
        <w:tc>
          <w:tcPr>
            <w:tcW w:w="1420" w:type="dxa"/>
            <w:shd w:val="clear" w:color="000000" w:fill="FFFFFF"/>
            <w:noWrap/>
            <w:vAlign w:val="center"/>
            <w:hideMark/>
          </w:tcPr>
          <w:p w:rsidR="001D73DF" w:rsidRPr="002F17B5" w:rsidRDefault="00621E0F">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1,072,979</w:t>
            </w:r>
          </w:p>
        </w:tc>
      </w:tr>
    </w:tbl>
    <w:p w:rsidR="00621E0F" w:rsidRPr="002F17B5" w:rsidRDefault="00621E0F" w:rsidP="00344A55">
      <w:pPr>
        <w:rPr>
          <w:sz w:val="22"/>
        </w:rPr>
      </w:pPr>
    </w:p>
    <w:p w:rsidR="00422911" w:rsidRDefault="008A5559" w:rsidP="00422911">
      <w:pPr>
        <w:rPr>
          <w:rFonts w:cs="Arial"/>
        </w:rPr>
      </w:pPr>
      <w:r w:rsidRPr="002F17B5">
        <w:rPr>
          <w:sz w:val="22"/>
          <w:szCs w:val="22"/>
        </w:rPr>
        <w:t xml:space="preserve">*Restated </w:t>
      </w:r>
      <w:r w:rsidR="00737D5D" w:rsidRPr="002F17B5">
        <w:rPr>
          <w:sz w:val="22"/>
          <w:szCs w:val="22"/>
        </w:rPr>
        <w:t>in accordance with guidance</w:t>
      </w:r>
      <w:r w:rsidR="00422911">
        <w:rPr>
          <w:sz w:val="22"/>
          <w:szCs w:val="22"/>
        </w:rPr>
        <w:t xml:space="preserve"> </w:t>
      </w:r>
      <w:r w:rsidR="00422911">
        <w:rPr>
          <w:rFonts w:cs="Arial"/>
        </w:rPr>
        <w:t xml:space="preserve">to include all payments and all employees; including those seconded to other organisations. </w:t>
      </w:r>
    </w:p>
    <w:p w:rsidR="006977BB" w:rsidRDefault="006977BB" w:rsidP="00422911">
      <w:pPr>
        <w:rPr>
          <w:rFonts w:ascii="Calibri" w:eastAsiaTheme="minorHAnsi" w:hAnsi="Calibri" w:cs="Times New Roman"/>
          <w:color w:val="auto"/>
          <w:sz w:val="22"/>
          <w:szCs w:val="22"/>
          <w:lang w:eastAsia="en-GB"/>
        </w:rPr>
      </w:pPr>
    </w:p>
    <w:p w:rsidR="00344A55" w:rsidRDefault="00E47956" w:rsidP="00344A55">
      <w:pPr>
        <w:rPr>
          <w:sz w:val="22"/>
          <w:szCs w:val="22"/>
        </w:rPr>
      </w:pPr>
      <w:r w:rsidRPr="00E47956">
        <w:rPr>
          <w:sz w:val="22"/>
          <w:szCs w:val="22"/>
          <w:vertAlign w:val="superscript"/>
        </w:rPr>
        <w:t>1</w:t>
      </w:r>
      <w:r w:rsidR="005D3E0E" w:rsidRPr="002F17B5">
        <w:rPr>
          <w:sz w:val="22"/>
          <w:szCs w:val="22"/>
        </w:rPr>
        <w:t xml:space="preserve"> </w:t>
      </w:r>
      <w:r w:rsidR="00227F9C">
        <w:rPr>
          <w:sz w:val="22"/>
          <w:szCs w:val="22"/>
        </w:rPr>
        <w:t xml:space="preserve">Other </w:t>
      </w:r>
      <w:r w:rsidR="005D3E0E" w:rsidRPr="002F17B5">
        <w:rPr>
          <w:sz w:val="22"/>
          <w:szCs w:val="22"/>
        </w:rPr>
        <w:t>Benefits relate either to lease car payments, or a cash equivalent</w:t>
      </w:r>
    </w:p>
    <w:p w:rsidR="006977BB" w:rsidRDefault="006977BB" w:rsidP="00344A55">
      <w:pPr>
        <w:rPr>
          <w:sz w:val="22"/>
          <w:szCs w:val="22"/>
        </w:rPr>
      </w:pPr>
    </w:p>
    <w:p w:rsidR="00A113CE" w:rsidRPr="002F17B5" w:rsidRDefault="00E47956" w:rsidP="00344A55">
      <w:pPr>
        <w:rPr>
          <w:sz w:val="22"/>
          <w:szCs w:val="22"/>
        </w:rPr>
      </w:pPr>
      <w:r>
        <w:rPr>
          <w:sz w:val="22"/>
          <w:szCs w:val="22"/>
          <w:vertAlign w:val="superscript"/>
        </w:rPr>
        <w:t>2</w:t>
      </w:r>
      <w:r w:rsidR="005D3E0E" w:rsidRPr="002F17B5">
        <w:rPr>
          <w:sz w:val="22"/>
          <w:szCs w:val="22"/>
        </w:rPr>
        <w:t xml:space="preserve"> On 22 of March 2013; The Executive Director of Adult</w:t>
      </w:r>
      <w:r w:rsidR="00C411F3">
        <w:rPr>
          <w:sz w:val="22"/>
          <w:szCs w:val="22"/>
        </w:rPr>
        <w:t xml:space="preserve"> Services, Health and Wellbeing</w:t>
      </w:r>
      <w:r w:rsidR="005D3E0E" w:rsidRPr="002F17B5">
        <w:rPr>
          <w:sz w:val="22"/>
          <w:szCs w:val="22"/>
        </w:rPr>
        <w:t xml:space="preserve"> left employment at Lancashire County Council; The Executive Director for Children and Young People took up the post of Executive Director for Adult</w:t>
      </w:r>
      <w:r w:rsidR="00C411F3">
        <w:rPr>
          <w:sz w:val="22"/>
          <w:szCs w:val="22"/>
        </w:rPr>
        <w:t xml:space="preserve"> Services, Health and Wellbeing</w:t>
      </w:r>
      <w:r w:rsidR="005D3E0E" w:rsidRPr="002F17B5">
        <w:rPr>
          <w:sz w:val="22"/>
          <w:szCs w:val="22"/>
        </w:rPr>
        <w:t xml:space="preserve">; and a new Interim Executive Director for Children and Young People was appointed. The salary for the new Interim Director is not included in this table, but is included within the main banding </w:t>
      </w:r>
      <w:r w:rsidR="00227F9C">
        <w:rPr>
          <w:sz w:val="22"/>
          <w:szCs w:val="22"/>
        </w:rPr>
        <w:t>table for 2012/13</w:t>
      </w:r>
      <w:r w:rsidR="005D3E0E" w:rsidRPr="002F17B5">
        <w:rPr>
          <w:sz w:val="22"/>
          <w:szCs w:val="22"/>
        </w:rPr>
        <w:t>.</w:t>
      </w:r>
    </w:p>
    <w:p w:rsidR="009276EC" w:rsidRDefault="009276EC">
      <w:pPr>
        <w:autoSpaceDE/>
        <w:autoSpaceDN/>
        <w:adjustRightInd/>
        <w:spacing w:after="20"/>
        <w:jc w:val="right"/>
        <w:rPr>
          <w:sz w:val="22"/>
        </w:rPr>
      </w:pPr>
    </w:p>
    <w:p w:rsidR="009276EC" w:rsidRDefault="009276EC">
      <w:pPr>
        <w:autoSpaceDE/>
        <w:autoSpaceDN/>
        <w:adjustRightInd/>
        <w:spacing w:after="20"/>
        <w:jc w:val="right"/>
        <w:rPr>
          <w:sz w:val="22"/>
        </w:rPr>
      </w:pPr>
    </w:p>
    <w:p w:rsidR="009276EC" w:rsidRDefault="009276EC">
      <w:pPr>
        <w:autoSpaceDE/>
        <w:autoSpaceDN/>
        <w:adjustRightInd/>
        <w:spacing w:after="20"/>
        <w:jc w:val="right"/>
        <w:rPr>
          <w:sz w:val="22"/>
        </w:rPr>
      </w:pPr>
    </w:p>
    <w:p w:rsidR="009276EC" w:rsidRDefault="009276EC">
      <w:pPr>
        <w:autoSpaceDE/>
        <w:autoSpaceDN/>
        <w:adjustRightInd/>
        <w:spacing w:after="20"/>
        <w:jc w:val="right"/>
        <w:rPr>
          <w:sz w:val="22"/>
        </w:rPr>
      </w:pPr>
    </w:p>
    <w:p w:rsidR="009276EC" w:rsidRDefault="009276EC">
      <w:pPr>
        <w:autoSpaceDE/>
        <w:autoSpaceDN/>
        <w:adjustRightInd/>
        <w:spacing w:after="20"/>
        <w:jc w:val="right"/>
        <w:rPr>
          <w:sz w:val="22"/>
        </w:rPr>
      </w:pPr>
    </w:p>
    <w:tbl>
      <w:tblPr>
        <w:tblW w:w="10792" w:type="dxa"/>
        <w:tblInd w:w="89" w:type="dxa"/>
        <w:tblLook w:val="04A0" w:firstRow="1" w:lastRow="0" w:firstColumn="1" w:lastColumn="0" w:noHBand="0" w:noVBand="1"/>
      </w:tblPr>
      <w:tblGrid>
        <w:gridCol w:w="2246"/>
        <w:gridCol w:w="1534"/>
        <w:gridCol w:w="1533"/>
        <w:gridCol w:w="1440"/>
        <w:gridCol w:w="1928"/>
        <w:gridCol w:w="2111"/>
      </w:tblGrid>
      <w:tr w:rsidR="009276EC" w:rsidRPr="002F17B5" w:rsidTr="009276EC">
        <w:trPr>
          <w:trHeight w:val="567"/>
        </w:trPr>
        <w:tc>
          <w:tcPr>
            <w:tcW w:w="6753" w:type="dxa"/>
            <w:gridSpan w:val="4"/>
            <w:shd w:val="clear" w:color="000000" w:fill="FFFFFF"/>
            <w:noWrap/>
            <w:vAlign w:val="bottom"/>
          </w:tcPr>
          <w:p w:rsidR="009276EC" w:rsidRPr="009276EC" w:rsidRDefault="009276EC" w:rsidP="009276EC">
            <w:pPr>
              <w:autoSpaceDE/>
              <w:autoSpaceDN/>
              <w:adjustRightInd/>
              <w:spacing w:before="0" w:after="0" w:line="276" w:lineRule="auto"/>
              <w:ind w:left="170"/>
              <w:jc w:val="left"/>
              <w:rPr>
                <w:rFonts w:eastAsia="Times New Roman" w:cs="Arial"/>
                <w:b/>
                <w:bCs/>
                <w:sz w:val="23"/>
                <w:szCs w:val="23"/>
                <w:lang w:eastAsia="en-GB"/>
              </w:rPr>
            </w:pPr>
            <w:r w:rsidRPr="009276EC">
              <w:rPr>
                <w:rFonts w:eastAsia="Times New Roman" w:cs="Arial"/>
                <w:b/>
                <w:bCs/>
                <w:sz w:val="23"/>
                <w:szCs w:val="23"/>
                <w:lang w:eastAsia="en-GB"/>
              </w:rPr>
              <w:lastRenderedPageBreak/>
              <w:t>Number of Employees – 2013/14</w:t>
            </w:r>
          </w:p>
        </w:tc>
        <w:tc>
          <w:tcPr>
            <w:tcW w:w="1928" w:type="dxa"/>
            <w:shd w:val="clear" w:color="000000" w:fill="FFFFFF"/>
            <w:vAlign w:val="bottom"/>
          </w:tcPr>
          <w:p w:rsidR="009276EC" w:rsidRPr="009276EC" w:rsidRDefault="009276EC" w:rsidP="00717EFF">
            <w:pPr>
              <w:autoSpaceDE/>
              <w:autoSpaceDN/>
              <w:adjustRightInd/>
              <w:spacing w:before="0" w:after="0" w:line="276" w:lineRule="auto"/>
              <w:jc w:val="center"/>
              <w:rPr>
                <w:rFonts w:eastAsia="Times New Roman" w:cs="Arial"/>
                <w:b/>
                <w:bCs/>
                <w:sz w:val="23"/>
                <w:szCs w:val="23"/>
                <w:lang w:eastAsia="en-GB"/>
              </w:rPr>
            </w:pPr>
          </w:p>
        </w:tc>
        <w:tc>
          <w:tcPr>
            <w:tcW w:w="2111" w:type="dxa"/>
            <w:shd w:val="clear" w:color="auto" w:fill="FFFFFF" w:themeFill="background1"/>
          </w:tcPr>
          <w:p w:rsidR="009276EC" w:rsidRPr="009276EC" w:rsidRDefault="009276EC" w:rsidP="006728BA">
            <w:pPr>
              <w:autoSpaceDE/>
              <w:autoSpaceDN/>
              <w:adjustRightInd/>
              <w:spacing w:before="0" w:after="0" w:line="276" w:lineRule="auto"/>
              <w:rPr>
                <w:rFonts w:eastAsia="Times New Roman" w:cs="Arial"/>
                <w:b/>
                <w:bCs/>
                <w:sz w:val="23"/>
                <w:szCs w:val="23"/>
                <w:lang w:eastAsia="en-GB"/>
              </w:rPr>
            </w:pPr>
          </w:p>
        </w:tc>
      </w:tr>
      <w:tr w:rsidR="00431EE6" w:rsidRPr="002F17B5" w:rsidTr="009276EC">
        <w:trPr>
          <w:trHeight w:val="961"/>
        </w:trPr>
        <w:tc>
          <w:tcPr>
            <w:tcW w:w="2246" w:type="dxa"/>
            <w:shd w:val="clear" w:color="000000" w:fill="FFFFFF"/>
            <w:noWrap/>
            <w:vAlign w:val="bottom"/>
            <w:hideMark/>
          </w:tcPr>
          <w:p w:rsidR="00043106" w:rsidRPr="004169EF" w:rsidRDefault="00043106" w:rsidP="009D2C26">
            <w:pPr>
              <w:autoSpaceDE/>
              <w:autoSpaceDN/>
              <w:adjustRightInd/>
              <w:spacing w:before="0" w:after="0" w:line="276" w:lineRule="auto"/>
              <w:jc w:val="center"/>
              <w:rPr>
                <w:rFonts w:eastAsia="Times New Roman" w:cs="Arial"/>
                <w:b/>
                <w:bCs/>
                <w:sz w:val="23"/>
                <w:szCs w:val="23"/>
                <w:lang w:eastAsia="en-GB"/>
              </w:rPr>
            </w:pPr>
            <w:r w:rsidRPr="004169EF">
              <w:rPr>
                <w:rFonts w:eastAsia="Times New Roman" w:cs="Arial"/>
                <w:b/>
                <w:bCs/>
                <w:sz w:val="23"/>
                <w:szCs w:val="23"/>
                <w:lang w:eastAsia="en-GB"/>
              </w:rPr>
              <w:t>Remuneration Band (£)</w:t>
            </w:r>
            <w:r w:rsidR="00E47956" w:rsidRPr="004169EF">
              <w:rPr>
                <w:rFonts w:eastAsia="Times New Roman" w:cs="Arial"/>
                <w:b/>
                <w:bCs/>
                <w:sz w:val="23"/>
                <w:szCs w:val="23"/>
                <w:vertAlign w:val="superscript"/>
                <w:lang w:eastAsia="en-GB"/>
              </w:rPr>
              <w:t>1</w:t>
            </w:r>
          </w:p>
        </w:tc>
        <w:tc>
          <w:tcPr>
            <w:tcW w:w="1534" w:type="dxa"/>
            <w:shd w:val="clear" w:color="000000" w:fill="FFFFFF"/>
            <w:vAlign w:val="bottom"/>
            <w:hideMark/>
          </w:tcPr>
          <w:p w:rsidR="00043106" w:rsidRPr="004169EF" w:rsidRDefault="00043106" w:rsidP="00E47956">
            <w:pPr>
              <w:autoSpaceDE/>
              <w:autoSpaceDN/>
              <w:adjustRightInd/>
              <w:spacing w:before="0" w:after="0" w:line="276" w:lineRule="auto"/>
              <w:ind w:left="170"/>
              <w:jc w:val="center"/>
              <w:rPr>
                <w:rFonts w:eastAsia="Times New Roman" w:cs="Arial"/>
                <w:b/>
                <w:bCs/>
                <w:sz w:val="23"/>
                <w:szCs w:val="23"/>
                <w:lang w:eastAsia="en-GB"/>
              </w:rPr>
            </w:pPr>
            <w:r w:rsidRPr="004169EF">
              <w:rPr>
                <w:rFonts w:eastAsia="Times New Roman" w:cs="Arial"/>
                <w:b/>
                <w:bCs/>
                <w:sz w:val="23"/>
                <w:szCs w:val="23"/>
                <w:lang w:eastAsia="en-GB"/>
              </w:rPr>
              <w:t>LCC Non-Teaching Staff</w:t>
            </w:r>
            <w:r w:rsidR="00E47956" w:rsidRPr="004169EF">
              <w:rPr>
                <w:rFonts w:eastAsia="Times New Roman" w:cs="Arial"/>
                <w:b/>
                <w:bCs/>
                <w:sz w:val="23"/>
                <w:szCs w:val="23"/>
                <w:vertAlign w:val="superscript"/>
                <w:lang w:eastAsia="en-GB"/>
              </w:rPr>
              <w:t>2</w:t>
            </w:r>
          </w:p>
        </w:tc>
        <w:tc>
          <w:tcPr>
            <w:tcW w:w="1533" w:type="dxa"/>
            <w:shd w:val="clear" w:color="000000" w:fill="FFFFFF"/>
            <w:vAlign w:val="bottom"/>
            <w:hideMark/>
          </w:tcPr>
          <w:p w:rsidR="00043106" w:rsidRPr="004169EF" w:rsidRDefault="00043106" w:rsidP="00E47956">
            <w:pPr>
              <w:autoSpaceDE/>
              <w:autoSpaceDN/>
              <w:adjustRightInd/>
              <w:spacing w:before="0" w:after="0" w:line="276" w:lineRule="auto"/>
              <w:ind w:left="170"/>
              <w:jc w:val="center"/>
              <w:rPr>
                <w:rFonts w:eastAsia="Times New Roman" w:cs="Arial"/>
                <w:b/>
                <w:bCs/>
                <w:sz w:val="23"/>
                <w:szCs w:val="23"/>
                <w:lang w:eastAsia="en-GB"/>
              </w:rPr>
            </w:pPr>
            <w:r w:rsidRPr="004169EF">
              <w:rPr>
                <w:rFonts w:eastAsia="Times New Roman" w:cs="Arial"/>
                <w:b/>
                <w:bCs/>
                <w:sz w:val="23"/>
                <w:szCs w:val="23"/>
                <w:lang w:eastAsia="en-GB"/>
              </w:rPr>
              <w:t>Seconded Staff</w:t>
            </w:r>
            <w:r w:rsidR="00E47956" w:rsidRPr="004169EF">
              <w:rPr>
                <w:rFonts w:eastAsia="Times New Roman" w:cs="Arial"/>
                <w:b/>
                <w:bCs/>
                <w:sz w:val="23"/>
                <w:szCs w:val="23"/>
                <w:vertAlign w:val="superscript"/>
                <w:lang w:eastAsia="en-GB"/>
              </w:rPr>
              <w:t>3</w:t>
            </w:r>
          </w:p>
        </w:tc>
        <w:tc>
          <w:tcPr>
            <w:tcW w:w="1440" w:type="dxa"/>
            <w:shd w:val="clear" w:color="000000" w:fill="FFFFFF"/>
            <w:vAlign w:val="bottom"/>
            <w:hideMark/>
          </w:tcPr>
          <w:p w:rsidR="00043106" w:rsidRPr="004169EF" w:rsidRDefault="00043106" w:rsidP="00E47956">
            <w:pPr>
              <w:autoSpaceDE/>
              <w:autoSpaceDN/>
              <w:adjustRightInd/>
              <w:spacing w:before="0" w:after="0" w:line="276" w:lineRule="auto"/>
              <w:ind w:left="170"/>
              <w:jc w:val="center"/>
              <w:rPr>
                <w:rFonts w:eastAsia="Times New Roman" w:cs="Arial"/>
                <w:b/>
                <w:bCs/>
                <w:sz w:val="23"/>
                <w:szCs w:val="23"/>
                <w:lang w:eastAsia="en-GB"/>
              </w:rPr>
            </w:pPr>
            <w:r w:rsidRPr="004169EF">
              <w:rPr>
                <w:rFonts w:eastAsia="Times New Roman" w:cs="Arial"/>
                <w:b/>
                <w:bCs/>
                <w:sz w:val="23"/>
                <w:szCs w:val="23"/>
                <w:lang w:eastAsia="en-GB"/>
              </w:rPr>
              <w:t>Teaching Staff</w:t>
            </w:r>
          </w:p>
        </w:tc>
        <w:tc>
          <w:tcPr>
            <w:tcW w:w="1928" w:type="dxa"/>
            <w:shd w:val="clear" w:color="000000" w:fill="FFFFFF"/>
            <w:vAlign w:val="bottom"/>
            <w:hideMark/>
          </w:tcPr>
          <w:p w:rsidR="00043106" w:rsidRPr="004169EF" w:rsidRDefault="00043106" w:rsidP="00717EFF">
            <w:pPr>
              <w:autoSpaceDE/>
              <w:autoSpaceDN/>
              <w:adjustRightInd/>
              <w:spacing w:before="0" w:after="0" w:line="276" w:lineRule="auto"/>
              <w:jc w:val="center"/>
              <w:rPr>
                <w:rFonts w:eastAsia="Times New Roman" w:cs="Arial"/>
                <w:b/>
                <w:bCs/>
                <w:sz w:val="23"/>
                <w:szCs w:val="23"/>
                <w:lang w:eastAsia="en-GB"/>
              </w:rPr>
            </w:pPr>
            <w:r w:rsidRPr="004169EF">
              <w:rPr>
                <w:rFonts w:eastAsia="Times New Roman" w:cs="Arial"/>
                <w:b/>
                <w:bCs/>
                <w:sz w:val="23"/>
                <w:szCs w:val="23"/>
                <w:lang w:eastAsia="en-GB"/>
              </w:rPr>
              <w:t>County Council Network Staff</w:t>
            </w:r>
            <w:r w:rsidR="00E47956" w:rsidRPr="004169EF">
              <w:rPr>
                <w:rFonts w:eastAsia="Times New Roman" w:cs="Arial"/>
                <w:b/>
                <w:bCs/>
                <w:sz w:val="23"/>
                <w:szCs w:val="23"/>
                <w:vertAlign w:val="superscript"/>
                <w:lang w:eastAsia="en-GB"/>
              </w:rPr>
              <w:t>4</w:t>
            </w:r>
          </w:p>
        </w:tc>
        <w:tc>
          <w:tcPr>
            <w:tcW w:w="2111" w:type="dxa"/>
            <w:shd w:val="clear" w:color="auto" w:fill="F2F2F2" w:themeFill="background1" w:themeFillShade="F2"/>
          </w:tcPr>
          <w:p w:rsidR="00431EE6" w:rsidRPr="004169EF" w:rsidRDefault="00431EE6" w:rsidP="00717EFF">
            <w:pPr>
              <w:autoSpaceDE/>
              <w:autoSpaceDN/>
              <w:adjustRightInd/>
              <w:spacing w:before="0" w:after="0" w:line="276" w:lineRule="auto"/>
              <w:ind w:left="113"/>
              <w:jc w:val="center"/>
              <w:rPr>
                <w:rFonts w:eastAsia="Times New Roman" w:cs="Arial"/>
                <w:b/>
                <w:bCs/>
                <w:sz w:val="23"/>
                <w:szCs w:val="23"/>
                <w:lang w:eastAsia="en-GB"/>
              </w:rPr>
            </w:pPr>
          </w:p>
          <w:p w:rsidR="00043106" w:rsidRPr="004169EF" w:rsidRDefault="00717EFF" w:rsidP="00431EE6">
            <w:pPr>
              <w:autoSpaceDE/>
              <w:autoSpaceDN/>
              <w:adjustRightInd/>
              <w:spacing w:before="0" w:after="0" w:line="276" w:lineRule="auto"/>
              <w:ind w:left="113"/>
              <w:jc w:val="center"/>
              <w:rPr>
                <w:rFonts w:eastAsia="Times New Roman" w:cs="Arial"/>
                <w:b/>
                <w:bCs/>
                <w:sz w:val="23"/>
                <w:szCs w:val="23"/>
                <w:lang w:eastAsia="en-GB"/>
              </w:rPr>
            </w:pPr>
            <w:r w:rsidRPr="009276EC">
              <w:rPr>
                <w:rFonts w:eastAsia="Times New Roman" w:cs="Arial"/>
                <w:b/>
                <w:bCs/>
                <w:sz w:val="23"/>
                <w:szCs w:val="23"/>
                <w:shd w:val="clear" w:color="auto" w:fill="F2F2F2" w:themeFill="background1" w:themeFillShade="F2"/>
                <w:lang w:eastAsia="en-GB"/>
              </w:rPr>
              <w:t>R</w:t>
            </w:r>
            <w:r w:rsidR="00431EE6" w:rsidRPr="009276EC">
              <w:rPr>
                <w:rFonts w:eastAsia="Times New Roman" w:cs="Arial"/>
                <w:b/>
                <w:bCs/>
                <w:sz w:val="23"/>
                <w:szCs w:val="23"/>
                <w:shd w:val="clear" w:color="auto" w:fill="F2F2F2" w:themeFill="background1" w:themeFillShade="F2"/>
                <w:lang w:eastAsia="en-GB"/>
              </w:rPr>
              <w:t>edundancies</w:t>
            </w:r>
            <w:r w:rsidR="00E47956" w:rsidRPr="009276EC">
              <w:rPr>
                <w:rFonts w:eastAsia="Times New Roman" w:cs="Arial"/>
                <w:b/>
                <w:bCs/>
                <w:sz w:val="23"/>
                <w:szCs w:val="23"/>
                <w:shd w:val="clear" w:color="auto" w:fill="F2F2F2" w:themeFill="background1" w:themeFillShade="F2"/>
                <w:lang w:eastAsia="en-GB"/>
              </w:rPr>
              <w:t xml:space="preserve"> </w:t>
            </w:r>
            <w:r w:rsidR="00E47956" w:rsidRPr="004169EF">
              <w:rPr>
                <w:rFonts w:eastAsia="Times New Roman" w:cs="Arial"/>
                <w:b/>
                <w:bCs/>
                <w:sz w:val="23"/>
                <w:szCs w:val="23"/>
                <w:vertAlign w:val="superscript"/>
                <w:lang w:eastAsia="en-GB"/>
              </w:rPr>
              <w:t>5</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50,000 - 54,999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89</w:t>
            </w:r>
          </w:p>
        </w:tc>
        <w:tc>
          <w:tcPr>
            <w:tcW w:w="1533"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16</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311</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5F6805" w:rsidP="00EE287E">
            <w:pPr>
              <w:autoSpaceDE/>
              <w:autoSpaceDN/>
              <w:adjustRightInd/>
              <w:spacing w:before="0"/>
              <w:ind w:right="397"/>
              <w:jc w:val="right"/>
              <w:rPr>
                <w:rFonts w:eastAsia="Times New Roman" w:cs="Arial"/>
                <w:lang w:eastAsia="en-GB"/>
              </w:rPr>
            </w:pPr>
            <w:r w:rsidRPr="00EE287E">
              <w:rPr>
                <w:rFonts w:eastAsia="Times New Roman" w:cs="Arial"/>
                <w:lang w:eastAsia="en-GB"/>
              </w:rPr>
              <w:t>1</w:t>
            </w:r>
            <w:r w:rsidR="00EE287E" w:rsidRPr="00EE287E">
              <w:rPr>
                <w:rFonts w:eastAsia="Times New Roman" w:cs="Arial"/>
                <w:lang w:eastAsia="en-GB"/>
              </w:rPr>
              <w:t>3</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55,000 - 59,999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44</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6</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196</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5F6805" w:rsidP="00EE287E">
            <w:pPr>
              <w:autoSpaceDE/>
              <w:autoSpaceDN/>
              <w:adjustRightInd/>
              <w:spacing w:before="0"/>
              <w:ind w:right="397"/>
              <w:jc w:val="right"/>
              <w:rPr>
                <w:rFonts w:eastAsia="Times New Roman" w:cs="Arial"/>
                <w:lang w:eastAsia="en-GB"/>
              </w:rPr>
            </w:pPr>
            <w:r w:rsidRPr="00EE287E">
              <w:rPr>
                <w:rFonts w:eastAsia="Times New Roman" w:cs="Arial"/>
                <w:lang w:eastAsia="en-GB"/>
              </w:rPr>
              <w:t>1</w:t>
            </w:r>
            <w:r w:rsidR="00EE287E" w:rsidRPr="00EE287E">
              <w:rPr>
                <w:rFonts w:eastAsia="Times New Roman" w:cs="Arial"/>
                <w:lang w:eastAsia="en-GB"/>
              </w:rPr>
              <w:t>3</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60,000 - 64,999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52</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6</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115</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5F6805"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11</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65,000 - 69,999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50</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1</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38</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1</w:t>
            </w:r>
          </w:p>
        </w:tc>
        <w:tc>
          <w:tcPr>
            <w:tcW w:w="2111" w:type="dxa"/>
            <w:shd w:val="clear" w:color="auto" w:fill="F2F2F2" w:themeFill="background1" w:themeFillShade="F2"/>
          </w:tcPr>
          <w:p w:rsidR="00043106" w:rsidRPr="00EE287E" w:rsidRDefault="005F6805"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19</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70,000 - 74,999</w:t>
            </w:r>
          </w:p>
        </w:tc>
        <w:tc>
          <w:tcPr>
            <w:tcW w:w="1534" w:type="dxa"/>
            <w:shd w:val="clear" w:color="000000" w:fill="FFFFFF"/>
            <w:noWrap/>
            <w:vAlign w:val="bottom"/>
            <w:hideMark/>
          </w:tcPr>
          <w:p w:rsidR="00043106" w:rsidRPr="002F17B5" w:rsidRDefault="00972600" w:rsidP="00EE287E">
            <w:pPr>
              <w:autoSpaceDE/>
              <w:autoSpaceDN/>
              <w:adjustRightInd/>
              <w:spacing w:before="0"/>
              <w:ind w:right="340"/>
              <w:jc w:val="right"/>
              <w:rPr>
                <w:rFonts w:eastAsia="Times New Roman" w:cs="Arial"/>
                <w:lang w:eastAsia="en-GB"/>
              </w:rPr>
            </w:pPr>
            <w:r>
              <w:rPr>
                <w:rFonts w:eastAsia="Times New Roman" w:cs="Arial"/>
                <w:lang w:eastAsia="en-GB"/>
              </w:rPr>
              <w:t>1</w:t>
            </w:r>
            <w:r w:rsidR="00EE287E">
              <w:rPr>
                <w:rFonts w:eastAsia="Times New Roman" w:cs="Arial"/>
                <w:lang w:eastAsia="en-GB"/>
              </w:rPr>
              <w:t>3</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27</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5F6805"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11</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75,000 - 79,999</w:t>
            </w:r>
          </w:p>
        </w:tc>
        <w:tc>
          <w:tcPr>
            <w:tcW w:w="1534"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7</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16</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043106"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4</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80,000 - 84,999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8</w:t>
            </w:r>
          </w:p>
        </w:tc>
        <w:tc>
          <w:tcPr>
            <w:tcW w:w="1533" w:type="dxa"/>
            <w:shd w:val="clear" w:color="000000" w:fill="FFFFFF"/>
            <w:noWrap/>
            <w:vAlign w:val="bottom"/>
            <w:hideMark/>
          </w:tcPr>
          <w:p w:rsidR="00043106" w:rsidRPr="002F17B5" w:rsidRDefault="005F6805" w:rsidP="00717EFF">
            <w:pPr>
              <w:autoSpaceDE/>
              <w:autoSpaceDN/>
              <w:adjustRightInd/>
              <w:spacing w:before="0"/>
              <w:ind w:right="340"/>
              <w:jc w:val="right"/>
              <w:rPr>
                <w:rFonts w:eastAsia="Times New Roman" w:cs="Arial"/>
                <w:lang w:eastAsia="en-GB"/>
              </w:rPr>
            </w:pPr>
            <w:r>
              <w:rPr>
                <w:rFonts w:eastAsia="Times New Roman" w:cs="Arial"/>
                <w:lang w:eastAsia="en-GB"/>
              </w:rPr>
              <w:t>1</w:t>
            </w:r>
            <w:r w:rsidR="00043106"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9</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5F6805"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6</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85,000 - 89,999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6</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11</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5F6805"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3</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90,000 - 94,999</w:t>
            </w:r>
          </w:p>
        </w:tc>
        <w:tc>
          <w:tcPr>
            <w:tcW w:w="1534" w:type="dxa"/>
            <w:shd w:val="clear" w:color="000000" w:fill="FFFFFF"/>
            <w:noWrap/>
            <w:vAlign w:val="bottom"/>
            <w:hideMark/>
          </w:tcPr>
          <w:p w:rsidR="00043106" w:rsidRPr="002F17B5" w:rsidRDefault="00EE287E" w:rsidP="00717EFF">
            <w:pPr>
              <w:autoSpaceDE/>
              <w:autoSpaceDN/>
              <w:adjustRightInd/>
              <w:spacing w:before="0"/>
              <w:ind w:right="340"/>
              <w:jc w:val="right"/>
              <w:rPr>
                <w:rFonts w:eastAsia="Times New Roman" w:cs="Arial"/>
                <w:lang w:eastAsia="en-GB"/>
              </w:rPr>
            </w:pPr>
            <w:r>
              <w:rPr>
                <w:rFonts w:eastAsia="Times New Roman" w:cs="Arial"/>
                <w:lang w:eastAsia="en-GB"/>
              </w:rPr>
              <w:t>4</w:t>
            </w:r>
          </w:p>
        </w:tc>
        <w:tc>
          <w:tcPr>
            <w:tcW w:w="1533" w:type="dxa"/>
            <w:shd w:val="clear" w:color="000000" w:fill="FFFFFF"/>
            <w:noWrap/>
            <w:vAlign w:val="bottom"/>
            <w:hideMark/>
          </w:tcPr>
          <w:p w:rsidR="00043106" w:rsidRPr="002F17B5" w:rsidRDefault="005F6805" w:rsidP="005F6805">
            <w:pPr>
              <w:autoSpaceDE/>
              <w:autoSpaceDN/>
              <w:adjustRightInd/>
              <w:spacing w:before="0"/>
              <w:ind w:right="397"/>
              <w:jc w:val="right"/>
              <w:rPr>
                <w:rFonts w:eastAsia="Times New Roman" w:cs="Arial"/>
                <w:lang w:eastAsia="en-GB"/>
              </w:rPr>
            </w:pPr>
            <w:r>
              <w:rPr>
                <w:rFonts w:eastAsia="Times New Roman" w:cs="Arial"/>
                <w:lang w:eastAsia="en-GB"/>
              </w:rPr>
              <w:t>1</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7</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EE287E"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4</w:t>
            </w:r>
          </w:p>
        </w:tc>
      </w:tr>
      <w:tr w:rsidR="00431EE6" w:rsidRPr="002F17B5" w:rsidTr="00EE287E">
        <w:trPr>
          <w:trHeight w:val="300"/>
        </w:trPr>
        <w:tc>
          <w:tcPr>
            <w:tcW w:w="2246" w:type="dxa"/>
            <w:shd w:val="clear" w:color="000000" w:fill="FFFFFF"/>
            <w:noWrap/>
            <w:vAlign w:val="bottom"/>
            <w:hideMark/>
          </w:tcPr>
          <w:p w:rsidR="00043106" w:rsidRPr="002F17B5" w:rsidRDefault="00406E34" w:rsidP="009376DC">
            <w:pPr>
              <w:autoSpaceDE/>
              <w:autoSpaceDN/>
              <w:adjustRightInd/>
              <w:spacing w:before="0"/>
              <w:jc w:val="left"/>
              <w:rPr>
                <w:rFonts w:eastAsia="Times New Roman" w:cs="Arial"/>
                <w:lang w:eastAsia="en-GB"/>
              </w:rPr>
            </w:pPr>
            <w:r w:rsidRPr="002F17B5">
              <w:rPr>
                <w:rFonts w:eastAsia="Times New Roman" w:cs="Arial"/>
                <w:lang w:eastAsia="en-GB"/>
              </w:rPr>
              <w:t xml:space="preserve">  </w:t>
            </w:r>
            <w:r w:rsidR="00043106" w:rsidRPr="002F17B5">
              <w:rPr>
                <w:rFonts w:eastAsia="Times New Roman" w:cs="Arial"/>
                <w:lang w:eastAsia="en-GB"/>
              </w:rPr>
              <w:t>95,000 - 99,999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9</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2</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EE287E"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w:t>
            </w:r>
          </w:p>
        </w:tc>
      </w:tr>
      <w:tr w:rsidR="00431EE6" w:rsidRPr="002F17B5" w:rsidTr="00EE287E">
        <w:trPr>
          <w:trHeight w:val="300"/>
        </w:trPr>
        <w:tc>
          <w:tcPr>
            <w:tcW w:w="2246" w:type="dxa"/>
            <w:shd w:val="clear" w:color="000000" w:fill="FFFFFF"/>
            <w:noWrap/>
            <w:vAlign w:val="bottom"/>
            <w:hideMark/>
          </w:tcPr>
          <w:p w:rsidR="00043106" w:rsidRPr="002F17B5" w:rsidRDefault="00043106" w:rsidP="009376DC">
            <w:pPr>
              <w:autoSpaceDE/>
              <w:autoSpaceDN/>
              <w:adjustRightInd/>
              <w:spacing w:before="0"/>
              <w:jc w:val="left"/>
              <w:rPr>
                <w:rFonts w:eastAsia="Times New Roman" w:cs="Arial"/>
                <w:lang w:eastAsia="en-GB"/>
              </w:rPr>
            </w:pPr>
            <w:r w:rsidRPr="002F17B5">
              <w:rPr>
                <w:rFonts w:eastAsia="Times New Roman" w:cs="Arial"/>
                <w:lang w:eastAsia="en-GB"/>
              </w:rPr>
              <w:t>100,000 - 104,999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2</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1</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1</w:t>
            </w:r>
          </w:p>
        </w:tc>
        <w:tc>
          <w:tcPr>
            <w:tcW w:w="2111" w:type="dxa"/>
            <w:shd w:val="clear" w:color="auto" w:fill="F2F2F2" w:themeFill="background1" w:themeFillShade="F2"/>
          </w:tcPr>
          <w:p w:rsidR="00043106" w:rsidRPr="00EE287E" w:rsidRDefault="00EE287E"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w:t>
            </w:r>
          </w:p>
        </w:tc>
      </w:tr>
      <w:tr w:rsidR="00431EE6" w:rsidRPr="002F17B5" w:rsidTr="00EE287E">
        <w:trPr>
          <w:trHeight w:val="300"/>
        </w:trPr>
        <w:tc>
          <w:tcPr>
            <w:tcW w:w="2246" w:type="dxa"/>
            <w:shd w:val="clear" w:color="000000" w:fill="FFFFFF"/>
            <w:noWrap/>
            <w:vAlign w:val="bottom"/>
            <w:hideMark/>
          </w:tcPr>
          <w:p w:rsidR="00043106" w:rsidRPr="002F17B5" w:rsidRDefault="00043106" w:rsidP="009376DC">
            <w:pPr>
              <w:autoSpaceDE/>
              <w:autoSpaceDN/>
              <w:adjustRightInd/>
              <w:spacing w:before="0"/>
              <w:jc w:val="left"/>
              <w:rPr>
                <w:rFonts w:eastAsia="Times New Roman" w:cs="Arial"/>
                <w:lang w:eastAsia="en-GB"/>
              </w:rPr>
            </w:pPr>
            <w:r w:rsidRPr="002F17B5">
              <w:rPr>
                <w:rFonts w:eastAsia="Times New Roman" w:cs="Arial"/>
                <w:lang w:eastAsia="en-GB"/>
              </w:rPr>
              <w:t>105,000 - 109,999</w:t>
            </w:r>
          </w:p>
        </w:tc>
        <w:tc>
          <w:tcPr>
            <w:tcW w:w="1534" w:type="dxa"/>
            <w:shd w:val="clear" w:color="000000" w:fill="FFFFFF"/>
            <w:noWrap/>
            <w:vAlign w:val="bottom"/>
            <w:hideMark/>
          </w:tcPr>
          <w:p w:rsidR="00043106" w:rsidRPr="002F17B5" w:rsidRDefault="00972600" w:rsidP="00717EFF">
            <w:pPr>
              <w:autoSpaceDE/>
              <w:autoSpaceDN/>
              <w:adjustRightInd/>
              <w:spacing w:before="0"/>
              <w:ind w:right="340"/>
              <w:jc w:val="right"/>
              <w:rPr>
                <w:rFonts w:eastAsia="Times New Roman" w:cs="Arial"/>
                <w:lang w:eastAsia="en-GB"/>
              </w:rPr>
            </w:pPr>
            <w:r>
              <w:rPr>
                <w:rFonts w:eastAsia="Times New Roman" w:cs="Arial"/>
                <w:lang w:eastAsia="en-GB"/>
              </w:rPr>
              <w:t>-</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1</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EE287E"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0</w:t>
            </w:r>
          </w:p>
        </w:tc>
      </w:tr>
      <w:tr w:rsidR="00431EE6" w:rsidRPr="002F17B5" w:rsidTr="00EE287E">
        <w:trPr>
          <w:trHeight w:val="300"/>
        </w:trPr>
        <w:tc>
          <w:tcPr>
            <w:tcW w:w="2246" w:type="dxa"/>
            <w:shd w:val="clear" w:color="000000" w:fill="FFFFFF"/>
            <w:noWrap/>
            <w:vAlign w:val="bottom"/>
            <w:hideMark/>
          </w:tcPr>
          <w:p w:rsidR="00043106" w:rsidRPr="002F17B5" w:rsidRDefault="00043106" w:rsidP="009376DC">
            <w:pPr>
              <w:autoSpaceDE/>
              <w:autoSpaceDN/>
              <w:adjustRightInd/>
              <w:spacing w:before="0"/>
              <w:jc w:val="left"/>
              <w:rPr>
                <w:rFonts w:eastAsia="Times New Roman" w:cs="Arial"/>
                <w:lang w:eastAsia="en-GB"/>
              </w:rPr>
            </w:pPr>
            <w:r w:rsidRPr="002F17B5">
              <w:rPr>
                <w:rFonts w:eastAsia="Times New Roman" w:cs="Arial"/>
                <w:lang w:eastAsia="en-GB"/>
              </w:rPr>
              <w:t>110,000 - 114,999</w:t>
            </w:r>
          </w:p>
        </w:tc>
        <w:tc>
          <w:tcPr>
            <w:tcW w:w="1534"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1</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 -</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EE287E"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0</w:t>
            </w:r>
          </w:p>
        </w:tc>
      </w:tr>
      <w:tr w:rsidR="00431EE6" w:rsidRPr="002F17B5" w:rsidTr="00EE287E">
        <w:trPr>
          <w:trHeight w:val="300"/>
        </w:trPr>
        <w:tc>
          <w:tcPr>
            <w:tcW w:w="2246" w:type="dxa"/>
            <w:shd w:val="clear" w:color="000000" w:fill="FFFFFF"/>
            <w:noWrap/>
            <w:vAlign w:val="bottom"/>
            <w:hideMark/>
          </w:tcPr>
          <w:p w:rsidR="00043106" w:rsidRPr="002F17B5" w:rsidRDefault="00043106" w:rsidP="009376DC">
            <w:pPr>
              <w:autoSpaceDE/>
              <w:autoSpaceDN/>
              <w:adjustRightInd/>
              <w:spacing w:before="0"/>
              <w:jc w:val="left"/>
              <w:rPr>
                <w:rFonts w:eastAsia="Times New Roman" w:cs="Arial"/>
                <w:lang w:eastAsia="en-GB"/>
              </w:rPr>
            </w:pPr>
            <w:r w:rsidRPr="002F17B5">
              <w:rPr>
                <w:rFonts w:eastAsia="Times New Roman" w:cs="Arial"/>
                <w:lang w:eastAsia="en-GB"/>
              </w:rPr>
              <w:t>115,000 - 119,999</w:t>
            </w:r>
          </w:p>
        </w:tc>
        <w:tc>
          <w:tcPr>
            <w:tcW w:w="1534"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2</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 -</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043106"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w:t>
            </w:r>
          </w:p>
        </w:tc>
      </w:tr>
      <w:tr w:rsidR="00431EE6" w:rsidRPr="002F17B5" w:rsidTr="00EE287E">
        <w:trPr>
          <w:trHeight w:val="300"/>
        </w:trPr>
        <w:tc>
          <w:tcPr>
            <w:tcW w:w="2246" w:type="dxa"/>
            <w:shd w:val="clear" w:color="000000" w:fill="FFFFFF"/>
            <w:noWrap/>
            <w:vAlign w:val="bottom"/>
            <w:hideMark/>
          </w:tcPr>
          <w:p w:rsidR="00043106" w:rsidRPr="002F17B5" w:rsidRDefault="005F6805" w:rsidP="009376DC">
            <w:pPr>
              <w:autoSpaceDE/>
              <w:autoSpaceDN/>
              <w:adjustRightInd/>
              <w:spacing w:before="0"/>
              <w:jc w:val="left"/>
              <w:rPr>
                <w:rFonts w:eastAsia="Times New Roman" w:cs="Arial"/>
                <w:lang w:eastAsia="en-GB"/>
              </w:rPr>
            </w:pPr>
            <w:r>
              <w:rPr>
                <w:rFonts w:eastAsia="Times New Roman" w:cs="Arial"/>
                <w:lang w:eastAsia="en-GB"/>
              </w:rPr>
              <w:t>120,000 - 12</w:t>
            </w:r>
            <w:r w:rsidR="00043106" w:rsidRPr="002F17B5">
              <w:rPr>
                <w:rFonts w:eastAsia="Times New Roman" w:cs="Arial"/>
                <w:lang w:eastAsia="en-GB"/>
              </w:rPr>
              <w:t>4,999</w:t>
            </w:r>
          </w:p>
        </w:tc>
        <w:tc>
          <w:tcPr>
            <w:tcW w:w="1534" w:type="dxa"/>
            <w:shd w:val="clear" w:color="000000" w:fill="FFFFFF"/>
            <w:noWrap/>
            <w:vAlign w:val="bottom"/>
            <w:hideMark/>
          </w:tcPr>
          <w:p w:rsidR="00043106" w:rsidRPr="002F17B5" w:rsidRDefault="005F6805" w:rsidP="00717EFF">
            <w:pPr>
              <w:autoSpaceDE/>
              <w:autoSpaceDN/>
              <w:adjustRightInd/>
              <w:spacing w:before="0"/>
              <w:ind w:right="340"/>
              <w:jc w:val="right"/>
              <w:rPr>
                <w:rFonts w:eastAsia="Times New Roman" w:cs="Arial"/>
                <w:lang w:eastAsia="en-GB"/>
              </w:rPr>
            </w:pPr>
            <w:r>
              <w:rPr>
                <w:rFonts w:eastAsia="Times New Roman" w:cs="Arial"/>
                <w:lang w:eastAsia="en-GB"/>
              </w:rPr>
              <w:t>1</w:t>
            </w:r>
          </w:p>
        </w:tc>
        <w:tc>
          <w:tcPr>
            <w:tcW w:w="1533"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 -</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EE287E"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w:t>
            </w:r>
          </w:p>
        </w:tc>
      </w:tr>
      <w:tr w:rsidR="00431EE6" w:rsidRPr="002F17B5" w:rsidTr="00EE287E">
        <w:trPr>
          <w:trHeight w:val="300"/>
        </w:trPr>
        <w:tc>
          <w:tcPr>
            <w:tcW w:w="2246" w:type="dxa"/>
            <w:shd w:val="clear" w:color="000000" w:fill="FFFFFF"/>
            <w:noWrap/>
            <w:vAlign w:val="bottom"/>
            <w:hideMark/>
          </w:tcPr>
          <w:p w:rsidR="00043106" w:rsidRPr="002F17B5" w:rsidRDefault="005F6805" w:rsidP="009376DC">
            <w:pPr>
              <w:autoSpaceDE/>
              <w:autoSpaceDN/>
              <w:adjustRightInd/>
              <w:spacing w:before="0"/>
              <w:jc w:val="left"/>
              <w:rPr>
                <w:rFonts w:eastAsia="Times New Roman" w:cs="Arial"/>
                <w:lang w:eastAsia="en-GB"/>
              </w:rPr>
            </w:pPr>
            <w:r>
              <w:rPr>
                <w:rFonts w:eastAsia="Times New Roman" w:cs="Arial"/>
                <w:lang w:eastAsia="en-GB"/>
              </w:rPr>
              <w:t>135,000 - 13</w:t>
            </w:r>
            <w:r w:rsidR="00043106" w:rsidRPr="002F17B5">
              <w:rPr>
                <w:rFonts w:eastAsia="Times New Roman" w:cs="Arial"/>
                <w:lang w:eastAsia="en-GB"/>
              </w:rPr>
              <w:t>9,999</w:t>
            </w:r>
          </w:p>
        </w:tc>
        <w:tc>
          <w:tcPr>
            <w:tcW w:w="1534" w:type="dxa"/>
            <w:shd w:val="clear" w:color="000000" w:fill="FFFFFF"/>
            <w:noWrap/>
            <w:vAlign w:val="bottom"/>
            <w:hideMark/>
          </w:tcPr>
          <w:p w:rsidR="00043106" w:rsidRPr="002F17B5" w:rsidRDefault="005F6805" w:rsidP="00717EFF">
            <w:pPr>
              <w:autoSpaceDE/>
              <w:autoSpaceDN/>
              <w:adjustRightInd/>
              <w:spacing w:before="0"/>
              <w:ind w:right="340"/>
              <w:jc w:val="right"/>
              <w:rPr>
                <w:rFonts w:eastAsia="Times New Roman" w:cs="Arial"/>
                <w:lang w:eastAsia="en-GB"/>
              </w:rPr>
            </w:pPr>
            <w:r>
              <w:rPr>
                <w:rFonts w:eastAsia="Times New Roman" w:cs="Arial"/>
                <w:lang w:eastAsia="en-GB"/>
              </w:rPr>
              <w:t>1</w:t>
            </w:r>
          </w:p>
        </w:tc>
        <w:tc>
          <w:tcPr>
            <w:tcW w:w="1533" w:type="dxa"/>
            <w:shd w:val="clear" w:color="000000" w:fill="FFFFFF"/>
            <w:noWrap/>
            <w:vAlign w:val="bottom"/>
            <w:hideMark/>
          </w:tcPr>
          <w:p w:rsidR="00043106" w:rsidRPr="002F17B5" w:rsidRDefault="005F6805" w:rsidP="005F6805">
            <w:pPr>
              <w:autoSpaceDE/>
              <w:autoSpaceDN/>
              <w:adjustRightInd/>
              <w:spacing w:before="0"/>
              <w:ind w:right="397"/>
              <w:jc w:val="right"/>
              <w:rPr>
                <w:rFonts w:eastAsia="Times New Roman" w:cs="Arial"/>
                <w:lang w:eastAsia="en-GB"/>
              </w:rPr>
            </w:pPr>
            <w:r>
              <w:rPr>
                <w:rFonts w:eastAsia="Times New Roman" w:cs="Arial"/>
                <w:lang w:eastAsia="en-GB"/>
              </w:rPr>
              <w:t>-</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 -</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043106"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w:t>
            </w:r>
          </w:p>
        </w:tc>
      </w:tr>
      <w:tr w:rsidR="00431EE6" w:rsidRPr="002F17B5" w:rsidTr="00EE287E">
        <w:trPr>
          <w:trHeight w:val="300"/>
        </w:trPr>
        <w:tc>
          <w:tcPr>
            <w:tcW w:w="2246" w:type="dxa"/>
            <w:shd w:val="clear" w:color="000000" w:fill="FFFFFF"/>
            <w:noWrap/>
            <w:vAlign w:val="bottom"/>
            <w:hideMark/>
          </w:tcPr>
          <w:p w:rsidR="00043106" w:rsidRPr="002F17B5" w:rsidRDefault="00780E01" w:rsidP="005F6805">
            <w:pPr>
              <w:autoSpaceDE/>
              <w:autoSpaceDN/>
              <w:adjustRightInd/>
              <w:spacing w:before="0"/>
              <w:jc w:val="left"/>
              <w:rPr>
                <w:rFonts w:eastAsia="Times New Roman" w:cs="Arial"/>
                <w:lang w:eastAsia="en-GB"/>
              </w:rPr>
            </w:pPr>
            <w:r>
              <w:rPr>
                <w:rFonts w:eastAsia="Times New Roman" w:cs="Arial"/>
                <w:lang w:eastAsia="en-GB"/>
              </w:rPr>
              <w:t>190,000 – 194,999</w:t>
            </w:r>
          </w:p>
        </w:tc>
        <w:tc>
          <w:tcPr>
            <w:tcW w:w="1534" w:type="dxa"/>
            <w:shd w:val="clear" w:color="000000" w:fill="FFFFFF"/>
            <w:noWrap/>
            <w:vAlign w:val="bottom"/>
            <w:hideMark/>
          </w:tcPr>
          <w:p w:rsidR="00043106" w:rsidRPr="002F17B5" w:rsidRDefault="005F6805" w:rsidP="00717EFF">
            <w:pPr>
              <w:autoSpaceDE/>
              <w:autoSpaceDN/>
              <w:adjustRightInd/>
              <w:spacing w:before="0"/>
              <w:ind w:right="340"/>
              <w:jc w:val="right"/>
              <w:rPr>
                <w:rFonts w:eastAsia="Times New Roman" w:cs="Arial"/>
                <w:lang w:eastAsia="en-GB"/>
              </w:rPr>
            </w:pPr>
            <w:r>
              <w:rPr>
                <w:rFonts w:eastAsia="Times New Roman" w:cs="Arial"/>
                <w:lang w:eastAsia="en-GB"/>
              </w:rPr>
              <w:t>-</w:t>
            </w:r>
          </w:p>
        </w:tc>
        <w:tc>
          <w:tcPr>
            <w:tcW w:w="1533" w:type="dxa"/>
            <w:shd w:val="clear" w:color="000000" w:fill="FFFFFF"/>
            <w:noWrap/>
            <w:vAlign w:val="bottom"/>
            <w:hideMark/>
          </w:tcPr>
          <w:p w:rsidR="00043106" w:rsidRPr="002F17B5" w:rsidRDefault="005F6805" w:rsidP="00717EFF">
            <w:pPr>
              <w:autoSpaceDE/>
              <w:autoSpaceDN/>
              <w:adjustRightInd/>
              <w:spacing w:before="0"/>
              <w:ind w:right="340"/>
              <w:jc w:val="right"/>
              <w:rPr>
                <w:rFonts w:eastAsia="Times New Roman" w:cs="Arial"/>
                <w:color w:val="auto"/>
                <w:lang w:eastAsia="en-GB"/>
              </w:rPr>
            </w:pPr>
            <w:r>
              <w:rPr>
                <w:rFonts w:eastAsia="Times New Roman" w:cs="Arial"/>
                <w:color w:val="auto"/>
                <w:lang w:eastAsia="en-GB"/>
              </w:rPr>
              <w:t>1</w:t>
            </w:r>
            <w:r w:rsidR="00043106" w:rsidRPr="002F17B5">
              <w:rPr>
                <w:rFonts w:eastAsia="Times New Roman" w:cs="Arial"/>
                <w:color w:val="auto"/>
                <w:lang w:eastAsia="en-GB"/>
              </w:rPr>
              <w:t> </w:t>
            </w:r>
          </w:p>
        </w:tc>
        <w:tc>
          <w:tcPr>
            <w:tcW w:w="1440" w:type="dxa"/>
            <w:shd w:val="clear" w:color="000000" w:fill="FFFFFF"/>
            <w:noWrap/>
            <w:vAlign w:val="bottom"/>
            <w:hideMark/>
          </w:tcPr>
          <w:p w:rsidR="00043106" w:rsidRPr="002F17B5" w:rsidRDefault="00043106" w:rsidP="00717EFF">
            <w:pPr>
              <w:autoSpaceDE/>
              <w:autoSpaceDN/>
              <w:adjustRightInd/>
              <w:spacing w:before="0"/>
              <w:ind w:right="170"/>
              <w:jc w:val="right"/>
              <w:rPr>
                <w:rFonts w:eastAsia="Times New Roman" w:cs="Arial"/>
                <w:lang w:eastAsia="en-GB"/>
              </w:rPr>
            </w:pPr>
            <w:r w:rsidRPr="002F17B5">
              <w:rPr>
                <w:rFonts w:eastAsia="Times New Roman" w:cs="Arial"/>
                <w:lang w:eastAsia="en-GB"/>
              </w:rPr>
              <w:t> -</w:t>
            </w:r>
          </w:p>
        </w:tc>
        <w:tc>
          <w:tcPr>
            <w:tcW w:w="1928" w:type="dxa"/>
            <w:shd w:val="clear" w:color="000000" w:fill="FFFFFF"/>
            <w:noWrap/>
            <w:vAlign w:val="bottom"/>
            <w:hideMark/>
          </w:tcPr>
          <w:p w:rsidR="00043106" w:rsidRPr="002F17B5" w:rsidRDefault="00043106" w:rsidP="00717EFF">
            <w:pPr>
              <w:autoSpaceDE/>
              <w:autoSpaceDN/>
              <w:adjustRightInd/>
              <w:spacing w:before="0"/>
              <w:ind w:right="340"/>
              <w:jc w:val="right"/>
              <w:rPr>
                <w:rFonts w:eastAsia="Times New Roman" w:cs="Arial"/>
                <w:lang w:eastAsia="en-GB"/>
              </w:rPr>
            </w:pPr>
            <w:r w:rsidRPr="002F17B5">
              <w:rPr>
                <w:rFonts w:eastAsia="Times New Roman" w:cs="Arial"/>
                <w:lang w:eastAsia="en-GB"/>
              </w:rPr>
              <w:t>- </w:t>
            </w:r>
          </w:p>
        </w:tc>
        <w:tc>
          <w:tcPr>
            <w:tcW w:w="2111" w:type="dxa"/>
            <w:shd w:val="clear" w:color="auto" w:fill="F2F2F2" w:themeFill="background1" w:themeFillShade="F2"/>
          </w:tcPr>
          <w:p w:rsidR="00043106" w:rsidRPr="00EE287E" w:rsidRDefault="00043106" w:rsidP="00431EE6">
            <w:pPr>
              <w:autoSpaceDE/>
              <w:autoSpaceDN/>
              <w:adjustRightInd/>
              <w:spacing w:before="0"/>
              <w:ind w:right="397"/>
              <w:jc w:val="right"/>
              <w:rPr>
                <w:rFonts w:eastAsia="Times New Roman" w:cs="Arial"/>
                <w:lang w:eastAsia="en-GB"/>
              </w:rPr>
            </w:pPr>
            <w:r w:rsidRPr="00EE287E">
              <w:rPr>
                <w:rFonts w:eastAsia="Times New Roman" w:cs="Arial"/>
                <w:lang w:eastAsia="en-GB"/>
              </w:rPr>
              <w:t>1</w:t>
            </w:r>
          </w:p>
        </w:tc>
      </w:tr>
      <w:tr w:rsidR="00431EE6" w:rsidRPr="002F17B5" w:rsidTr="00EE287E">
        <w:trPr>
          <w:trHeight w:val="300"/>
        </w:trPr>
        <w:tc>
          <w:tcPr>
            <w:tcW w:w="2246" w:type="dxa"/>
            <w:shd w:val="clear" w:color="000000" w:fill="FFFFFF"/>
            <w:noWrap/>
            <w:vAlign w:val="bottom"/>
            <w:hideMark/>
          </w:tcPr>
          <w:p w:rsidR="00043106" w:rsidRPr="002F17B5" w:rsidRDefault="00406E34" w:rsidP="009D2C26">
            <w:pPr>
              <w:autoSpaceDE/>
              <w:autoSpaceDN/>
              <w:adjustRightInd/>
              <w:spacing w:before="0" w:after="0"/>
              <w:jc w:val="left"/>
              <w:rPr>
                <w:rFonts w:eastAsia="Times New Roman" w:cs="Arial"/>
                <w:b/>
                <w:bCs/>
                <w:lang w:eastAsia="en-GB"/>
              </w:rPr>
            </w:pPr>
            <w:r w:rsidRPr="002F17B5">
              <w:rPr>
                <w:rFonts w:eastAsia="Times New Roman" w:cs="Arial"/>
                <w:b/>
                <w:bCs/>
                <w:lang w:eastAsia="en-GB"/>
              </w:rPr>
              <w:t xml:space="preserve">  </w:t>
            </w:r>
            <w:r w:rsidR="00043106" w:rsidRPr="002F17B5">
              <w:rPr>
                <w:rFonts w:eastAsia="Times New Roman" w:cs="Arial"/>
                <w:b/>
                <w:bCs/>
                <w:lang w:eastAsia="en-GB"/>
              </w:rPr>
              <w:t>TOTAL</w:t>
            </w:r>
          </w:p>
        </w:tc>
        <w:tc>
          <w:tcPr>
            <w:tcW w:w="1534" w:type="dxa"/>
            <w:shd w:val="clear" w:color="000000" w:fill="FFFFFF"/>
            <w:noWrap/>
            <w:vAlign w:val="bottom"/>
            <w:hideMark/>
          </w:tcPr>
          <w:p w:rsidR="00043106" w:rsidRPr="002F17B5" w:rsidRDefault="005F6805" w:rsidP="00717EFF">
            <w:pPr>
              <w:autoSpaceDE/>
              <w:autoSpaceDN/>
              <w:adjustRightInd/>
              <w:spacing w:before="0" w:after="0"/>
              <w:ind w:right="227"/>
              <w:jc w:val="right"/>
              <w:rPr>
                <w:rFonts w:eastAsia="Times New Roman" w:cs="Arial"/>
                <w:b/>
                <w:bCs/>
                <w:lang w:eastAsia="en-GB"/>
              </w:rPr>
            </w:pPr>
            <w:r>
              <w:rPr>
                <w:rFonts w:eastAsia="Times New Roman" w:cs="Arial"/>
                <w:b/>
                <w:bCs/>
                <w:lang w:eastAsia="en-GB"/>
              </w:rPr>
              <w:t>289</w:t>
            </w:r>
          </w:p>
        </w:tc>
        <w:tc>
          <w:tcPr>
            <w:tcW w:w="1533" w:type="dxa"/>
            <w:shd w:val="clear" w:color="000000" w:fill="FFFFFF"/>
            <w:noWrap/>
            <w:vAlign w:val="bottom"/>
            <w:hideMark/>
          </w:tcPr>
          <w:p w:rsidR="00043106" w:rsidRPr="002F17B5" w:rsidRDefault="005F6805" w:rsidP="00717EFF">
            <w:pPr>
              <w:autoSpaceDE/>
              <w:autoSpaceDN/>
              <w:adjustRightInd/>
              <w:spacing w:before="0" w:after="0"/>
              <w:ind w:right="340"/>
              <w:jc w:val="right"/>
              <w:rPr>
                <w:rFonts w:eastAsia="Times New Roman" w:cs="Arial"/>
                <w:b/>
                <w:bCs/>
                <w:lang w:eastAsia="en-GB"/>
              </w:rPr>
            </w:pPr>
            <w:r>
              <w:rPr>
                <w:rFonts w:eastAsia="Times New Roman" w:cs="Arial"/>
                <w:b/>
                <w:bCs/>
                <w:lang w:eastAsia="en-GB"/>
              </w:rPr>
              <w:t>32</w:t>
            </w:r>
          </w:p>
        </w:tc>
        <w:tc>
          <w:tcPr>
            <w:tcW w:w="1440" w:type="dxa"/>
            <w:shd w:val="clear" w:color="000000" w:fill="FFFFFF"/>
            <w:noWrap/>
            <w:vAlign w:val="bottom"/>
            <w:hideMark/>
          </w:tcPr>
          <w:p w:rsidR="00043106" w:rsidRPr="002F17B5" w:rsidRDefault="00043106" w:rsidP="00717EFF">
            <w:pPr>
              <w:autoSpaceDE/>
              <w:autoSpaceDN/>
              <w:adjustRightInd/>
              <w:spacing w:before="0" w:after="0"/>
              <w:ind w:right="170"/>
              <w:jc w:val="right"/>
              <w:rPr>
                <w:rFonts w:eastAsia="Times New Roman" w:cs="Arial"/>
                <w:b/>
                <w:bCs/>
                <w:lang w:eastAsia="en-GB"/>
              </w:rPr>
            </w:pPr>
            <w:r w:rsidRPr="002F17B5">
              <w:rPr>
                <w:rFonts w:eastAsia="Times New Roman" w:cs="Arial"/>
                <w:b/>
                <w:bCs/>
                <w:lang w:eastAsia="en-GB"/>
              </w:rPr>
              <w:t>734</w:t>
            </w:r>
          </w:p>
        </w:tc>
        <w:tc>
          <w:tcPr>
            <w:tcW w:w="1928" w:type="dxa"/>
            <w:shd w:val="clear" w:color="000000" w:fill="FFFFFF"/>
            <w:noWrap/>
            <w:vAlign w:val="bottom"/>
            <w:hideMark/>
          </w:tcPr>
          <w:p w:rsidR="00043106" w:rsidRPr="002F17B5" w:rsidRDefault="00043106" w:rsidP="00717EFF">
            <w:pPr>
              <w:autoSpaceDE/>
              <w:autoSpaceDN/>
              <w:adjustRightInd/>
              <w:spacing w:before="0" w:after="0"/>
              <w:ind w:right="340"/>
              <w:jc w:val="right"/>
              <w:rPr>
                <w:rFonts w:eastAsia="Times New Roman" w:cs="Arial"/>
                <w:b/>
                <w:bCs/>
                <w:lang w:eastAsia="en-GB"/>
              </w:rPr>
            </w:pPr>
            <w:r w:rsidRPr="002F17B5">
              <w:rPr>
                <w:rFonts w:eastAsia="Times New Roman" w:cs="Arial"/>
                <w:b/>
                <w:bCs/>
                <w:lang w:eastAsia="en-GB"/>
              </w:rPr>
              <w:t>2</w:t>
            </w:r>
          </w:p>
        </w:tc>
        <w:tc>
          <w:tcPr>
            <w:tcW w:w="2111" w:type="dxa"/>
            <w:shd w:val="clear" w:color="auto" w:fill="F2F2F2" w:themeFill="background1" w:themeFillShade="F2"/>
          </w:tcPr>
          <w:p w:rsidR="00043106" w:rsidRPr="00EE287E" w:rsidRDefault="002E33B9" w:rsidP="00431EE6">
            <w:pPr>
              <w:autoSpaceDE/>
              <w:autoSpaceDN/>
              <w:adjustRightInd/>
              <w:spacing w:before="0" w:after="0"/>
              <w:ind w:right="397"/>
              <w:jc w:val="right"/>
              <w:rPr>
                <w:rFonts w:eastAsia="Times New Roman" w:cs="Arial"/>
                <w:b/>
                <w:bCs/>
                <w:lang w:eastAsia="en-GB"/>
              </w:rPr>
            </w:pPr>
            <w:r w:rsidRPr="00EE287E">
              <w:rPr>
                <w:rFonts w:eastAsia="Times New Roman" w:cs="Arial"/>
                <w:b/>
                <w:bCs/>
                <w:lang w:eastAsia="en-GB"/>
              </w:rPr>
              <w:t>90</w:t>
            </w:r>
          </w:p>
        </w:tc>
      </w:tr>
    </w:tbl>
    <w:p w:rsidR="00B70B4B" w:rsidRPr="002F17B5" w:rsidRDefault="00B70B4B">
      <w:pPr>
        <w:autoSpaceDE/>
        <w:autoSpaceDN/>
        <w:adjustRightInd/>
        <w:spacing w:after="20"/>
        <w:rPr>
          <w:sz w:val="16"/>
          <w:szCs w:val="16"/>
        </w:rPr>
      </w:pPr>
    </w:p>
    <w:p w:rsidR="00EC68C6" w:rsidRPr="002F17B5" w:rsidRDefault="00EC68C6" w:rsidP="00344A55">
      <w:pPr>
        <w:rPr>
          <w:sz w:val="8"/>
        </w:rPr>
      </w:pPr>
    </w:p>
    <w:p w:rsidR="009276EC" w:rsidRDefault="009276EC" w:rsidP="00717EFF">
      <w:pPr>
        <w:rPr>
          <w:rFonts w:cs="Arial"/>
        </w:rPr>
      </w:pPr>
    </w:p>
    <w:p w:rsidR="003121E2" w:rsidRDefault="005D3E0E" w:rsidP="00717EFF">
      <w:pPr>
        <w:rPr>
          <w:rFonts w:cs="Arial"/>
        </w:rPr>
      </w:pPr>
      <w:r w:rsidRPr="002F17B5">
        <w:rPr>
          <w:rFonts w:cs="Arial"/>
        </w:rPr>
        <w:t xml:space="preserve">This table does not include any of the Senior Management Team </w:t>
      </w:r>
      <w:r w:rsidR="003121E2" w:rsidRPr="002F17B5">
        <w:rPr>
          <w:rFonts w:cs="Arial"/>
        </w:rPr>
        <w:t>highlighted in the tables above.</w:t>
      </w:r>
    </w:p>
    <w:p w:rsidR="00717EFF" w:rsidRPr="00717EFF" w:rsidRDefault="00717EFF" w:rsidP="00717EFF">
      <w:pPr>
        <w:rPr>
          <w:rFonts w:cs="Arial"/>
          <w:sz w:val="10"/>
        </w:rPr>
      </w:pPr>
    </w:p>
    <w:p w:rsidR="00344A55" w:rsidRPr="006977BB" w:rsidRDefault="00E47956" w:rsidP="00717EFF">
      <w:pPr>
        <w:rPr>
          <w:rFonts w:cs="Arial"/>
          <w:sz w:val="22"/>
          <w:szCs w:val="22"/>
        </w:rPr>
      </w:pPr>
      <w:r w:rsidRPr="006977BB">
        <w:rPr>
          <w:rFonts w:cs="Arial"/>
          <w:sz w:val="22"/>
          <w:szCs w:val="22"/>
          <w:vertAlign w:val="superscript"/>
        </w:rPr>
        <w:t>1</w:t>
      </w:r>
      <w:r w:rsidR="004E2912" w:rsidRPr="006977BB">
        <w:rPr>
          <w:rFonts w:cs="Arial"/>
          <w:sz w:val="22"/>
          <w:szCs w:val="22"/>
        </w:rPr>
        <w:t xml:space="preserve"> </w:t>
      </w:r>
      <w:r w:rsidR="003121E2" w:rsidRPr="006977BB">
        <w:rPr>
          <w:rFonts w:cs="Arial"/>
          <w:sz w:val="22"/>
          <w:szCs w:val="22"/>
        </w:rPr>
        <w:t>R</w:t>
      </w:r>
      <w:r w:rsidR="004E2912" w:rsidRPr="006977BB">
        <w:rPr>
          <w:rFonts w:cs="Arial"/>
          <w:sz w:val="22"/>
          <w:szCs w:val="22"/>
        </w:rPr>
        <w:t>emun</w:t>
      </w:r>
      <w:r w:rsidR="003121E2" w:rsidRPr="006977BB">
        <w:rPr>
          <w:rFonts w:cs="Arial"/>
          <w:sz w:val="22"/>
          <w:szCs w:val="22"/>
        </w:rPr>
        <w:t>eration bands</w:t>
      </w:r>
      <w:r w:rsidR="004E2912" w:rsidRPr="006977BB">
        <w:rPr>
          <w:rFonts w:cs="Arial"/>
          <w:sz w:val="22"/>
          <w:szCs w:val="22"/>
        </w:rPr>
        <w:t xml:space="preserve"> have been removed in cases where the entry for every column was zero. </w:t>
      </w:r>
    </w:p>
    <w:p w:rsidR="00B009B3" w:rsidRPr="006977BB" w:rsidRDefault="00E47956" w:rsidP="00717EFF">
      <w:pPr>
        <w:autoSpaceDE/>
        <w:autoSpaceDN/>
        <w:adjustRightInd/>
        <w:spacing w:before="0"/>
        <w:rPr>
          <w:rFonts w:eastAsia="Times New Roman" w:cs="Arial"/>
          <w:sz w:val="22"/>
          <w:szCs w:val="22"/>
          <w:lang w:eastAsia="en-GB"/>
        </w:rPr>
      </w:pPr>
      <w:r w:rsidRPr="006977BB">
        <w:rPr>
          <w:rFonts w:eastAsia="Times New Roman" w:cs="Arial"/>
          <w:sz w:val="22"/>
          <w:szCs w:val="22"/>
          <w:vertAlign w:val="superscript"/>
          <w:lang w:eastAsia="en-GB"/>
        </w:rPr>
        <w:t>2</w:t>
      </w:r>
      <w:r w:rsidR="004E2912" w:rsidRPr="006977BB">
        <w:rPr>
          <w:rFonts w:eastAsia="Times New Roman" w:cs="Arial"/>
          <w:sz w:val="22"/>
          <w:szCs w:val="22"/>
          <w:lang w:eastAsia="en-GB"/>
        </w:rPr>
        <w:t xml:space="preserve"> </w:t>
      </w:r>
      <w:r w:rsidR="00B009B3" w:rsidRPr="006977BB">
        <w:rPr>
          <w:rFonts w:eastAsia="Times New Roman" w:cs="Arial"/>
          <w:sz w:val="22"/>
          <w:szCs w:val="22"/>
          <w:lang w:eastAsia="en-GB"/>
        </w:rPr>
        <w:t>Includes 17 staff who transferred from the NH</w:t>
      </w:r>
      <w:r w:rsidR="00A4192A" w:rsidRPr="006977BB">
        <w:rPr>
          <w:rFonts w:eastAsia="Times New Roman" w:cs="Arial"/>
          <w:sz w:val="22"/>
          <w:szCs w:val="22"/>
          <w:lang w:eastAsia="en-GB"/>
        </w:rPr>
        <w:t>S as a result of the c</w:t>
      </w:r>
      <w:r w:rsidR="00B009B3" w:rsidRPr="006977BB">
        <w:rPr>
          <w:rFonts w:eastAsia="Times New Roman" w:cs="Arial"/>
          <w:sz w:val="22"/>
          <w:szCs w:val="22"/>
          <w:lang w:eastAsia="en-GB"/>
        </w:rPr>
        <w:t>ouncil's new public health duties.</w:t>
      </w:r>
    </w:p>
    <w:p w:rsidR="00B009B3" w:rsidRPr="006977BB" w:rsidRDefault="00E47956" w:rsidP="00717EFF">
      <w:pPr>
        <w:rPr>
          <w:rFonts w:eastAsia="Times New Roman" w:cs="Arial"/>
          <w:sz w:val="22"/>
          <w:szCs w:val="22"/>
          <w:lang w:eastAsia="en-GB"/>
        </w:rPr>
      </w:pPr>
      <w:r w:rsidRPr="006977BB">
        <w:rPr>
          <w:rFonts w:eastAsia="Times New Roman" w:cs="Arial"/>
          <w:sz w:val="22"/>
          <w:szCs w:val="22"/>
          <w:vertAlign w:val="superscript"/>
          <w:lang w:eastAsia="en-GB"/>
        </w:rPr>
        <w:t>3</w:t>
      </w:r>
      <w:r w:rsidR="004E2912" w:rsidRPr="006977BB">
        <w:rPr>
          <w:rFonts w:eastAsia="Times New Roman" w:cs="Arial"/>
          <w:sz w:val="22"/>
          <w:szCs w:val="22"/>
          <w:lang w:eastAsia="en-GB"/>
        </w:rPr>
        <w:t xml:space="preserve"> </w:t>
      </w:r>
      <w:r w:rsidR="00B009B3" w:rsidRPr="006977BB">
        <w:rPr>
          <w:rFonts w:eastAsia="Times New Roman" w:cs="Arial"/>
          <w:sz w:val="22"/>
          <w:szCs w:val="22"/>
          <w:lang w:eastAsia="en-GB"/>
        </w:rPr>
        <w:t xml:space="preserve">Includes those </w:t>
      </w:r>
      <w:r w:rsidR="002F2130">
        <w:rPr>
          <w:rFonts w:eastAsia="Times New Roman" w:cs="Arial"/>
          <w:sz w:val="22"/>
          <w:szCs w:val="22"/>
          <w:lang w:eastAsia="en-GB"/>
        </w:rPr>
        <w:t>who worked</w:t>
      </w:r>
      <w:r w:rsidR="00B009B3" w:rsidRPr="006977BB">
        <w:rPr>
          <w:rFonts w:eastAsia="Times New Roman" w:cs="Arial"/>
          <w:sz w:val="22"/>
          <w:szCs w:val="22"/>
          <w:lang w:eastAsia="en-GB"/>
        </w:rPr>
        <w:t xml:space="preserve"> for One Connect Limited (OCL) and Lancashire County Developments Limited (LCDL).  Of these, 10 OCL staff transferred back to the County Council on 1st April 2014.</w:t>
      </w:r>
    </w:p>
    <w:p w:rsidR="00B009B3" w:rsidRPr="006977BB" w:rsidRDefault="00E47956" w:rsidP="00717EFF">
      <w:pPr>
        <w:rPr>
          <w:rFonts w:eastAsia="Times New Roman" w:cs="Arial"/>
          <w:sz w:val="22"/>
          <w:szCs w:val="22"/>
          <w:lang w:eastAsia="en-GB"/>
        </w:rPr>
      </w:pPr>
      <w:r w:rsidRPr="006977BB">
        <w:rPr>
          <w:rFonts w:eastAsia="Times New Roman" w:cs="Arial"/>
          <w:sz w:val="22"/>
          <w:szCs w:val="22"/>
          <w:vertAlign w:val="superscript"/>
          <w:lang w:eastAsia="en-GB"/>
        </w:rPr>
        <w:t>4</w:t>
      </w:r>
      <w:r w:rsidR="004E2912" w:rsidRPr="006977BB">
        <w:rPr>
          <w:rFonts w:eastAsia="Times New Roman" w:cs="Arial"/>
          <w:sz w:val="22"/>
          <w:szCs w:val="22"/>
          <w:lang w:eastAsia="en-GB"/>
        </w:rPr>
        <w:t xml:space="preserve"> </w:t>
      </w:r>
      <w:r w:rsidR="00B009B3" w:rsidRPr="006977BB">
        <w:rPr>
          <w:rFonts w:eastAsia="Times New Roman" w:cs="Arial"/>
          <w:sz w:val="22"/>
          <w:szCs w:val="22"/>
          <w:lang w:eastAsia="en-GB"/>
        </w:rPr>
        <w:t>County Council Network Staff are those wo</w:t>
      </w:r>
      <w:r w:rsidR="00A4192A" w:rsidRPr="006977BB">
        <w:rPr>
          <w:rFonts w:eastAsia="Times New Roman" w:cs="Arial"/>
          <w:sz w:val="22"/>
          <w:szCs w:val="22"/>
          <w:lang w:eastAsia="en-GB"/>
        </w:rPr>
        <w:t>rking for and paid for, by the county c</w:t>
      </w:r>
      <w:r w:rsidR="00B009B3" w:rsidRPr="006977BB">
        <w:rPr>
          <w:rFonts w:eastAsia="Times New Roman" w:cs="Arial"/>
          <w:sz w:val="22"/>
          <w:szCs w:val="22"/>
          <w:lang w:eastAsia="en-GB"/>
        </w:rPr>
        <w:t>ouncil's network who are "hosted" for pay and rations by Lancashire County Council.</w:t>
      </w:r>
    </w:p>
    <w:p w:rsidR="000068C0" w:rsidRPr="002F17B5" w:rsidRDefault="00E47956" w:rsidP="00D35BCE">
      <w:pPr>
        <w:rPr>
          <w:rFonts w:cs="Arial"/>
          <w:sz w:val="4"/>
        </w:rPr>
      </w:pPr>
      <w:r w:rsidRPr="006977BB">
        <w:rPr>
          <w:rFonts w:eastAsia="Times New Roman" w:cs="Arial"/>
          <w:sz w:val="22"/>
          <w:szCs w:val="22"/>
          <w:vertAlign w:val="superscript"/>
          <w:lang w:eastAsia="en-GB"/>
        </w:rPr>
        <w:t>5</w:t>
      </w:r>
      <w:r w:rsidR="00406E34" w:rsidRPr="006977BB">
        <w:rPr>
          <w:rFonts w:eastAsia="Times New Roman" w:cs="Arial"/>
          <w:sz w:val="22"/>
          <w:szCs w:val="22"/>
          <w:lang w:eastAsia="en-GB"/>
        </w:rPr>
        <w:t xml:space="preserve"> </w:t>
      </w:r>
      <w:r w:rsidR="00D35BCE" w:rsidRPr="006977BB">
        <w:rPr>
          <w:sz w:val="22"/>
          <w:szCs w:val="22"/>
        </w:rPr>
        <w:t xml:space="preserve">This additional information has been included </w:t>
      </w:r>
      <w:r w:rsidR="00EE287E" w:rsidRPr="006977BB">
        <w:rPr>
          <w:sz w:val="22"/>
          <w:szCs w:val="22"/>
        </w:rPr>
        <w:t xml:space="preserve">to show the </w:t>
      </w:r>
      <w:r w:rsidR="00D35BCE" w:rsidRPr="006977BB">
        <w:rPr>
          <w:sz w:val="22"/>
          <w:szCs w:val="22"/>
        </w:rPr>
        <w:t xml:space="preserve">number of </w:t>
      </w:r>
      <w:r w:rsidR="00EE287E" w:rsidRPr="006977BB">
        <w:rPr>
          <w:sz w:val="22"/>
          <w:szCs w:val="22"/>
        </w:rPr>
        <w:t>staff whose remuneration</w:t>
      </w:r>
      <w:r w:rsidR="00D35BCE" w:rsidRPr="006977BB">
        <w:rPr>
          <w:sz w:val="22"/>
          <w:szCs w:val="22"/>
        </w:rPr>
        <w:t xml:space="preserve"> </w:t>
      </w:r>
      <w:r w:rsidR="00EE287E" w:rsidRPr="006977BB">
        <w:rPr>
          <w:sz w:val="22"/>
          <w:szCs w:val="22"/>
        </w:rPr>
        <w:t xml:space="preserve">included redundancy payments. </w:t>
      </w:r>
      <w:r w:rsidR="00D35BCE" w:rsidRPr="006977BB">
        <w:rPr>
          <w:sz w:val="22"/>
          <w:szCs w:val="22"/>
        </w:rPr>
        <w:t>Th</w:t>
      </w:r>
      <w:r w:rsidR="00EE287E" w:rsidRPr="006977BB">
        <w:rPr>
          <w:sz w:val="22"/>
          <w:szCs w:val="22"/>
        </w:rPr>
        <w:t>e redundancy payments</w:t>
      </w:r>
      <w:r w:rsidR="006B4402" w:rsidRPr="006977BB">
        <w:rPr>
          <w:sz w:val="22"/>
          <w:szCs w:val="22"/>
        </w:rPr>
        <w:t xml:space="preserve"> have</w:t>
      </w:r>
      <w:r w:rsidR="00D35BCE" w:rsidRPr="006977BB">
        <w:rPr>
          <w:sz w:val="22"/>
          <w:szCs w:val="22"/>
        </w:rPr>
        <w:t xml:space="preserve"> led to some individuals moving </w:t>
      </w:r>
      <w:r w:rsidR="001714B0" w:rsidRPr="006977BB">
        <w:rPr>
          <w:sz w:val="22"/>
          <w:szCs w:val="22"/>
        </w:rPr>
        <w:t xml:space="preserve">up </w:t>
      </w:r>
      <w:r w:rsidR="00D35BCE" w:rsidRPr="006977BB">
        <w:rPr>
          <w:sz w:val="22"/>
          <w:szCs w:val="22"/>
        </w:rPr>
        <w:t xml:space="preserve">in the remuneration banding and </w:t>
      </w:r>
      <w:r w:rsidR="001714B0" w:rsidRPr="006977BB">
        <w:rPr>
          <w:sz w:val="22"/>
          <w:szCs w:val="22"/>
        </w:rPr>
        <w:t>ha</w:t>
      </w:r>
      <w:r w:rsidR="00067989" w:rsidRPr="006977BB">
        <w:rPr>
          <w:sz w:val="22"/>
          <w:szCs w:val="22"/>
        </w:rPr>
        <w:t>s</w:t>
      </w:r>
      <w:r w:rsidR="001714B0" w:rsidRPr="006977BB">
        <w:rPr>
          <w:sz w:val="22"/>
          <w:szCs w:val="22"/>
        </w:rPr>
        <w:t xml:space="preserve"> also meant </w:t>
      </w:r>
      <w:r w:rsidR="00D35BCE" w:rsidRPr="006977BB">
        <w:rPr>
          <w:sz w:val="22"/>
          <w:szCs w:val="22"/>
        </w:rPr>
        <w:t xml:space="preserve">additional </w:t>
      </w:r>
      <w:r w:rsidR="001714B0" w:rsidRPr="006977BB">
        <w:rPr>
          <w:sz w:val="22"/>
          <w:szCs w:val="22"/>
        </w:rPr>
        <w:t xml:space="preserve">individuals are included </w:t>
      </w:r>
      <w:r w:rsidR="00D35BCE" w:rsidRPr="006977BB">
        <w:rPr>
          <w:sz w:val="22"/>
          <w:szCs w:val="22"/>
        </w:rPr>
        <w:t>in this note</w:t>
      </w:r>
      <w:r w:rsidR="0081161B" w:rsidRPr="006977BB">
        <w:rPr>
          <w:sz w:val="22"/>
          <w:szCs w:val="22"/>
        </w:rPr>
        <w:t>.</w:t>
      </w:r>
      <w:r w:rsidR="00D35BCE">
        <w:t xml:space="preserve"> </w:t>
      </w:r>
      <w:r w:rsidR="000068C0" w:rsidRPr="002F17B5">
        <w:rPr>
          <w:rFonts w:cs="Arial"/>
          <w:sz w:val="4"/>
        </w:rPr>
        <w:br w:type="page"/>
      </w:r>
    </w:p>
    <w:tbl>
      <w:tblPr>
        <w:tblW w:w="10225" w:type="dxa"/>
        <w:tblInd w:w="89" w:type="dxa"/>
        <w:tblLook w:val="04A0" w:firstRow="1" w:lastRow="0" w:firstColumn="1" w:lastColumn="0" w:noHBand="0" w:noVBand="1"/>
      </w:tblPr>
      <w:tblGrid>
        <w:gridCol w:w="3138"/>
        <w:gridCol w:w="2126"/>
        <w:gridCol w:w="1418"/>
        <w:gridCol w:w="1559"/>
        <w:gridCol w:w="1984"/>
      </w:tblGrid>
      <w:tr w:rsidR="008111A3" w:rsidRPr="002F17B5" w:rsidTr="004169EF">
        <w:trPr>
          <w:trHeight w:val="300"/>
        </w:trPr>
        <w:tc>
          <w:tcPr>
            <w:tcW w:w="6682" w:type="dxa"/>
            <w:gridSpan w:val="3"/>
            <w:tcBorders>
              <w:top w:val="nil"/>
              <w:left w:val="nil"/>
              <w:bottom w:val="nil"/>
              <w:right w:val="nil"/>
            </w:tcBorders>
            <w:shd w:val="clear" w:color="000000" w:fill="FFFFFF"/>
            <w:noWrap/>
            <w:vAlign w:val="bottom"/>
            <w:hideMark/>
          </w:tcPr>
          <w:p w:rsidR="008111A3" w:rsidRPr="002F17B5" w:rsidRDefault="008111A3" w:rsidP="008111A3">
            <w:pPr>
              <w:autoSpaceDE/>
              <w:autoSpaceDN/>
              <w:adjustRightInd/>
              <w:spacing w:before="0" w:after="0"/>
              <w:jc w:val="left"/>
              <w:rPr>
                <w:rFonts w:eastAsia="Times New Roman" w:cs="Arial"/>
                <w:b/>
                <w:bCs/>
                <w:lang w:eastAsia="en-GB"/>
              </w:rPr>
            </w:pPr>
            <w:r w:rsidRPr="002F17B5">
              <w:rPr>
                <w:rFonts w:eastAsia="Times New Roman" w:cs="Arial"/>
                <w:b/>
                <w:bCs/>
                <w:lang w:eastAsia="en-GB"/>
              </w:rPr>
              <w:lastRenderedPageBreak/>
              <w:t xml:space="preserve">Number of Employees - 2012/13 *Restated </w:t>
            </w:r>
          </w:p>
        </w:tc>
        <w:tc>
          <w:tcPr>
            <w:tcW w:w="1559" w:type="dxa"/>
            <w:tcBorders>
              <w:top w:val="nil"/>
              <w:left w:val="nil"/>
              <w:bottom w:val="nil"/>
              <w:right w:val="nil"/>
            </w:tcBorders>
            <w:shd w:val="clear" w:color="000000" w:fill="FFFFFF"/>
            <w:noWrap/>
            <w:vAlign w:val="bottom"/>
            <w:hideMark/>
          </w:tcPr>
          <w:p w:rsidR="008111A3" w:rsidRPr="002F17B5" w:rsidRDefault="008111A3" w:rsidP="008111A3">
            <w:pPr>
              <w:autoSpaceDE/>
              <w:autoSpaceDN/>
              <w:adjustRightInd/>
              <w:spacing w:before="0" w:after="0"/>
              <w:jc w:val="left"/>
              <w:rPr>
                <w:rFonts w:eastAsia="Times New Roman" w:cs="Arial"/>
                <w:b/>
                <w:bCs/>
                <w:lang w:eastAsia="en-GB"/>
              </w:rPr>
            </w:pPr>
            <w:r w:rsidRPr="002F17B5">
              <w:rPr>
                <w:rFonts w:eastAsia="Times New Roman" w:cs="Arial"/>
                <w:b/>
                <w:bCs/>
                <w:lang w:eastAsia="en-GB"/>
              </w:rPr>
              <w:t> </w:t>
            </w:r>
          </w:p>
        </w:tc>
        <w:tc>
          <w:tcPr>
            <w:tcW w:w="1984" w:type="dxa"/>
            <w:tcBorders>
              <w:top w:val="nil"/>
              <w:left w:val="nil"/>
              <w:bottom w:val="nil"/>
              <w:right w:val="nil"/>
            </w:tcBorders>
            <w:shd w:val="clear" w:color="000000" w:fill="FFFFFF"/>
            <w:noWrap/>
            <w:vAlign w:val="bottom"/>
            <w:hideMark/>
          </w:tcPr>
          <w:p w:rsidR="008111A3" w:rsidRPr="002F17B5" w:rsidRDefault="008111A3" w:rsidP="008111A3">
            <w:pPr>
              <w:autoSpaceDE/>
              <w:autoSpaceDN/>
              <w:adjustRightInd/>
              <w:spacing w:before="0" w:after="0"/>
              <w:jc w:val="left"/>
              <w:rPr>
                <w:rFonts w:eastAsia="Times New Roman" w:cs="Arial"/>
                <w:b/>
                <w:bCs/>
                <w:lang w:eastAsia="en-GB"/>
              </w:rPr>
            </w:pPr>
            <w:r w:rsidRPr="002F17B5">
              <w:rPr>
                <w:rFonts w:eastAsia="Times New Roman" w:cs="Arial"/>
                <w:b/>
                <w:bCs/>
                <w:lang w:eastAsia="en-GB"/>
              </w:rPr>
              <w:t> </w:t>
            </w:r>
          </w:p>
        </w:tc>
      </w:tr>
      <w:tr w:rsidR="008111A3" w:rsidRPr="002F17B5" w:rsidTr="004169EF">
        <w:trPr>
          <w:trHeight w:val="97"/>
        </w:trPr>
        <w:tc>
          <w:tcPr>
            <w:tcW w:w="3138" w:type="dxa"/>
            <w:tcBorders>
              <w:top w:val="nil"/>
              <w:left w:val="nil"/>
              <w:right w:val="nil"/>
            </w:tcBorders>
            <w:shd w:val="clear" w:color="000000" w:fill="FFFFFF"/>
            <w:noWrap/>
            <w:vAlign w:val="bottom"/>
            <w:hideMark/>
          </w:tcPr>
          <w:p w:rsidR="008111A3" w:rsidRPr="002F17B5" w:rsidRDefault="008111A3" w:rsidP="008111A3">
            <w:pPr>
              <w:autoSpaceDE/>
              <w:autoSpaceDN/>
              <w:adjustRightInd/>
              <w:spacing w:before="0" w:after="0"/>
              <w:jc w:val="left"/>
              <w:rPr>
                <w:rFonts w:eastAsia="Times New Roman" w:cs="Arial"/>
                <w:b/>
                <w:bCs/>
                <w:sz w:val="4"/>
                <w:szCs w:val="4"/>
                <w:lang w:eastAsia="en-GB"/>
              </w:rPr>
            </w:pPr>
          </w:p>
        </w:tc>
        <w:tc>
          <w:tcPr>
            <w:tcW w:w="2126" w:type="dxa"/>
            <w:tcBorders>
              <w:top w:val="nil"/>
              <w:left w:val="nil"/>
              <w:right w:val="nil"/>
            </w:tcBorders>
            <w:shd w:val="clear" w:color="000000" w:fill="FFFFFF"/>
            <w:noWrap/>
            <w:vAlign w:val="bottom"/>
            <w:hideMark/>
          </w:tcPr>
          <w:p w:rsidR="008111A3" w:rsidRPr="002F17B5" w:rsidRDefault="008111A3" w:rsidP="008111A3">
            <w:pPr>
              <w:autoSpaceDE/>
              <w:autoSpaceDN/>
              <w:adjustRightInd/>
              <w:spacing w:before="0" w:after="0"/>
              <w:jc w:val="left"/>
              <w:rPr>
                <w:rFonts w:eastAsia="Times New Roman" w:cs="Arial"/>
                <w:b/>
                <w:bCs/>
                <w:sz w:val="4"/>
                <w:szCs w:val="4"/>
                <w:lang w:eastAsia="en-GB"/>
              </w:rPr>
            </w:pPr>
            <w:r w:rsidRPr="002F17B5">
              <w:rPr>
                <w:rFonts w:eastAsia="Times New Roman" w:cs="Arial"/>
                <w:b/>
                <w:bCs/>
                <w:sz w:val="4"/>
                <w:szCs w:val="4"/>
                <w:lang w:eastAsia="en-GB"/>
              </w:rPr>
              <w:t> </w:t>
            </w:r>
          </w:p>
        </w:tc>
        <w:tc>
          <w:tcPr>
            <w:tcW w:w="1418" w:type="dxa"/>
            <w:tcBorders>
              <w:top w:val="nil"/>
              <w:left w:val="nil"/>
              <w:right w:val="nil"/>
            </w:tcBorders>
            <w:shd w:val="clear" w:color="000000" w:fill="FFFFFF"/>
            <w:noWrap/>
            <w:vAlign w:val="bottom"/>
            <w:hideMark/>
          </w:tcPr>
          <w:p w:rsidR="008111A3" w:rsidRPr="002F17B5" w:rsidRDefault="008111A3" w:rsidP="008111A3">
            <w:pPr>
              <w:autoSpaceDE/>
              <w:autoSpaceDN/>
              <w:adjustRightInd/>
              <w:spacing w:before="0" w:after="0"/>
              <w:jc w:val="left"/>
              <w:rPr>
                <w:rFonts w:eastAsia="Times New Roman" w:cs="Arial"/>
                <w:b/>
                <w:bCs/>
                <w:sz w:val="4"/>
                <w:szCs w:val="4"/>
                <w:lang w:eastAsia="en-GB"/>
              </w:rPr>
            </w:pPr>
            <w:r w:rsidRPr="002F17B5">
              <w:rPr>
                <w:rFonts w:eastAsia="Times New Roman" w:cs="Arial"/>
                <w:b/>
                <w:bCs/>
                <w:sz w:val="4"/>
                <w:szCs w:val="4"/>
                <w:lang w:eastAsia="en-GB"/>
              </w:rPr>
              <w:t> </w:t>
            </w:r>
          </w:p>
        </w:tc>
        <w:tc>
          <w:tcPr>
            <w:tcW w:w="1559" w:type="dxa"/>
            <w:tcBorders>
              <w:top w:val="nil"/>
              <w:left w:val="nil"/>
              <w:right w:val="nil"/>
            </w:tcBorders>
            <w:shd w:val="clear" w:color="000000" w:fill="FFFFFF"/>
            <w:noWrap/>
            <w:vAlign w:val="bottom"/>
            <w:hideMark/>
          </w:tcPr>
          <w:p w:rsidR="008111A3" w:rsidRPr="002F17B5" w:rsidRDefault="008111A3" w:rsidP="008111A3">
            <w:pPr>
              <w:autoSpaceDE/>
              <w:autoSpaceDN/>
              <w:adjustRightInd/>
              <w:spacing w:before="0" w:after="0"/>
              <w:jc w:val="left"/>
              <w:rPr>
                <w:rFonts w:eastAsia="Times New Roman" w:cs="Arial"/>
                <w:b/>
                <w:bCs/>
                <w:sz w:val="4"/>
                <w:szCs w:val="4"/>
                <w:lang w:eastAsia="en-GB"/>
              </w:rPr>
            </w:pPr>
            <w:r w:rsidRPr="002F17B5">
              <w:rPr>
                <w:rFonts w:eastAsia="Times New Roman" w:cs="Arial"/>
                <w:b/>
                <w:bCs/>
                <w:sz w:val="4"/>
                <w:szCs w:val="4"/>
                <w:lang w:eastAsia="en-GB"/>
              </w:rPr>
              <w:t> </w:t>
            </w:r>
          </w:p>
        </w:tc>
        <w:tc>
          <w:tcPr>
            <w:tcW w:w="1984" w:type="dxa"/>
            <w:tcBorders>
              <w:top w:val="nil"/>
              <w:left w:val="nil"/>
              <w:right w:val="nil"/>
            </w:tcBorders>
            <w:shd w:val="clear" w:color="000000" w:fill="FFFFFF"/>
            <w:noWrap/>
            <w:vAlign w:val="bottom"/>
            <w:hideMark/>
          </w:tcPr>
          <w:p w:rsidR="008111A3" w:rsidRPr="002F17B5" w:rsidRDefault="008111A3" w:rsidP="008111A3">
            <w:pPr>
              <w:autoSpaceDE/>
              <w:autoSpaceDN/>
              <w:adjustRightInd/>
              <w:spacing w:before="0" w:after="0"/>
              <w:jc w:val="left"/>
              <w:rPr>
                <w:rFonts w:eastAsia="Times New Roman" w:cs="Arial"/>
                <w:b/>
                <w:bCs/>
                <w:sz w:val="4"/>
                <w:szCs w:val="4"/>
                <w:lang w:eastAsia="en-GB"/>
              </w:rPr>
            </w:pPr>
            <w:r w:rsidRPr="002F17B5">
              <w:rPr>
                <w:rFonts w:eastAsia="Times New Roman" w:cs="Arial"/>
                <w:b/>
                <w:bCs/>
                <w:sz w:val="4"/>
                <w:szCs w:val="4"/>
                <w:lang w:eastAsia="en-GB"/>
              </w:rPr>
              <w:t> </w:t>
            </w:r>
          </w:p>
        </w:tc>
      </w:tr>
      <w:tr w:rsidR="008111A3" w:rsidRPr="004169EF" w:rsidTr="004169EF">
        <w:trPr>
          <w:trHeight w:val="708"/>
        </w:trPr>
        <w:tc>
          <w:tcPr>
            <w:tcW w:w="3138" w:type="dxa"/>
            <w:shd w:val="clear" w:color="000000" w:fill="FFFFFF"/>
            <w:noWrap/>
            <w:vAlign w:val="bottom"/>
            <w:hideMark/>
          </w:tcPr>
          <w:p w:rsidR="008111A3" w:rsidRPr="004169EF" w:rsidRDefault="008111A3" w:rsidP="009D2C26">
            <w:pPr>
              <w:autoSpaceDE/>
              <w:autoSpaceDN/>
              <w:adjustRightInd/>
              <w:spacing w:before="0" w:after="0"/>
              <w:jc w:val="left"/>
              <w:rPr>
                <w:rFonts w:eastAsia="Times New Roman" w:cs="Arial"/>
                <w:b/>
                <w:bCs/>
                <w:sz w:val="23"/>
                <w:szCs w:val="23"/>
                <w:lang w:eastAsia="en-GB"/>
              </w:rPr>
            </w:pPr>
            <w:r w:rsidRPr="004169EF">
              <w:rPr>
                <w:rFonts w:eastAsia="Times New Roman" w:cs="Arial"/>
                <w:b/>
                <w:bCs/>
                <w:sz w:val="23"/>
                <w:szCs w:val="23"/>
                <w:lang w:eastAsia="en-GB"/>
              </w:rPr>
              <w:t>Remuneration Band (£)</w:t>
            </w:r>
            <w:r w:rsidR="00E47956" w:rsidRPr="004169EF">
              <w:rPr>
                <w:rFonts w:eastAsia="Times New Roman" w:cs="Arial"/>
                <w:b/>
                <w:bCs/>
                <w:sz w:val="23"/>
                <w:szCs w:val="23"/>
                <w:vertAlign w:val="superscript"/>
                <w:lang w:eastAsia="en-GB"/>
              </w:rPr>
              <w:t>1</w:t>
            </w:r>
          </w:p>
        </w:tc>
        <w:tc>
          <w:tcPr>
            <w:tcW w:w="2126" w:type="dxa"/>
            <w:shd w:val="clear" w:color="000000" w:fill="FFFFFF"/>
            <w:vAlign w:val="bottom"/>
            <w:hideMark/>
          </w:tcPr>
          <w:p w:rsidR="008111A3" w:rsidRPr="004169EF" w:rsidRDefault="008111A3" w:rsidP="009D2C26">
            <w:pPr>
              <w:autoSpaceDE/>
              <w:autoSpaceDN/>
              <w:adjustRightInd/>
              <w:spacing w:before="0" w:after="0"/>
              <w:jc w:val="right"/>
              <w:rPr>
                <w:rFonts w:eastAsia="Times New Roman" w:cs="Arial"/>
                <w:b/>
                <w:bCs/>
                <w:sz w:val="23"/>
                <w:szCs w:val="23"/>
                <w:lang w:eastAsia="en-GB"/>
              </w:rPr>
            </w:pPr>
            <w:r w:rsidRPr="004169EF">
              <w:rPr>
                <w:rFonts w:eastAsia="Times New Roman" w:cs="Arial"/>
                <w:b/>
                <w:bCs/>
                <w:sz w:val="23"/>
                <w:szCs w:val="23"/>
                <w:lang w:eastAsia="en-GB"/>
              </w:rPr>
              <w:t>LCC Non-Teaching Staff</w:t>
            </w:r>
          </w:p>
        </w:tc>
        <w:tc>
          <w:tcPr>
            <w:tcW w:w="1418" w:type="dxa"/>
            <w:shd w:val="clear" w:color="000000" w:fill="FFFFFF"/>
            <w:vAlign w:val="bottom"/>
            <w:hideMark/>
          </w:tcPr>
          <w:p w:rsidR="008111A3" w:rsidRPr="004169EF" w:rsidRDefault="008111A3" w:rsidP="009D2C26">
            <w:pPr>
              <w:autoSpaceDE/>
              <w:autoSpaceDN/>
              <w:adjustRightInd/>
              <w:spacing w:before="0" w:after="0"/>
              <w:jc w:val="right"/>
              <w:rPr>
                <w:rFonts w:eastAsia="Times New Roman" w:cs="Arial"/>
                <w:b/>
                <w:bCs/>
                <w:sz w:val="23"/>
                <w:szCs w:val="23"/>
                <w:lang w:eastAsia="en-GB"/>
              </w:rPr>
            </w:pPr>
            <w:r w:rsidRPr="004169EF">
              <w:rPr>
                <w:rFonts w:eastAsia="Times New Roman" w:cs="Arial"/>
                <w:b/>
                <w:bCs/>
                <w:sz w:val="23"/>
                <w:szCs w:val="23"/>
                <w:lang w:eastAsia="en-GB"/>
              </w:rPr>
              <w:t>Seconded Staff</w:t>
            </w:r>
          </w:p>
        </w:tc>
        <w:tc>
          <w:tcPr>
            <w:tcW w:w="1559" w:type="dxa"/>
            <w:shd w:val="clear" w:color="000000" w:fill="FFFFFF"/>
            <w:vAlign w:val="bottom"/>
            <w:hideMark/>
          </w:tcPr>
          <w:p w:rsidR="008111A3" w:rsidRPr="004169EF" w:rsidRDefault="008111A3" w:rsidP="009D2C26">
            <w:pPr>
              <w:autoSpaceDE/>
              <w:autoSpaceDN/>
              <w:adjustRightInd/>
              <w:spacing w:before="0" w:after="0"/>
              <w:jc w:val="right"/>
              <w:rPr>
                <w:rFonts w:eastAsia="Times New Roman" w:cs="Arial"/>
                <w:b/>
                <w:bCs/>
                <w:sz w:val="23"/>
                <w:szCs w:val="23"/>
                <w:lang w:eastAsia="en-GB"/>
              </w:rPr>
            </w:pPr>
            <w:r w:rsidRPr="004169EF">
              <w:rPr>
                <w:rFonts w:eastAsia="Times New Roman" w:cs="Arial"/>
                <w:b/>
                <w:bCs/>
                <w:sz w:val="23"/>
                <w:szCs w:val="23"/>
                <w:lang w:eastAsia="en-GB"/>
              </w:rPr>
              <w:t>Teaching Staff</w:t>
            </w:r>
          </w:p>
        </w:tc>
        <w:tc>
          <w:tcPr>
            <w:tcW w:w="1984" w:type="dxa"/>
            <w:shd w:val="clear" w:color="000000" w:fill="FFFFFF"/>
            <w:vAlign w:val="bottom"/>
            <w:hideMark/>
          </w:tcPr>
          <w:p w:rsidR="008111A3" w:rsidRPr="004169EF" w:rsidRDefault="008111A3" w:rsidP="004169EF">
            <w:pPr>
              <w:autoSpaceDE/>
              <w:autoSpaceDN/>
              <w:adjustRightInd/>
              <w:spacing w:before="0" w:after="0"/>
              <w:jc w:val="right"/>
              <w:rPr>
                <w:rFonts w:eastAsia="Times New Roman" w:cs="Arial"/>
                <w:b/>
                <w:bCs/>
                <w:sz w:val="23"/>
                <w:szCs w:val="23"/>
                <w:lang w:eastAsia="en-GB"/>
              </w:rPr>
            </w:pPr>
            <w:r w:rsidRPr="004169EF">
              <w:rPr>
                <w:rFonts w:eastAsia="Times New Roman" w:cs="Arial"/>
                <w:b/>
                <w:bCs/>
                <w:sz w:val="23"/>
                <w:szCs w:val="23"/>
                <w:lang w:eastAsia="en-GB"/>
              </w:rPr>
              <w:t>County Council Network Staff</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50,000 - 54,999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69</w:t>
            </w:r>
          </w:p>
        </w:tc>
        <w:tc>
          <w:tcPr>
            <w:tcW w:w="1418" w:type="dxa"/>
            <w:shd w:val="clear" w:color="000000" w:fill="FFFFFF"/>
            <w:noWrap/>
            <w:vAlign w:val="bottom"/>
            <w:hideMark/>
          </w:tcPr>
          <w:p w:rsidR="008111A3" w:rsidRPr="002F17B5" w:rsidRDefault="008111A3" w:rsidP="00DC4D6D">
            <w:pPr>
              <w:autoSpaceDE/>
              <w:autoSpaceDN/>
              <w:adjustRightInd/>
              <w:spacing w:before="0"/>
              <w:jc w:val="right"/>
              <w:rPr>
                <w:rFonts w:eastAsia="Times New Roman" w:cs="Arial"/>
                <w:lang w:eastAsia="en-GB"/>
              </w:rPr>
            </w:pPr>
            <w:r w:rsidRPr="002F17B5">
              <w:rPr>
                <w:rFonts w:eastAsia="Times New Roman" w:cs="Arial"/>
                <w:lang w:eastAsia="en-GB"/>
              </w:rPr>
              <w:t>1</w:t>
            </w:r>
            <w:r w:rsidR="00DC4D6D">
              <w:rPr>
                <w:rFonts w:eastAsia="Times New Roman" w:cs="Arial"/>
                <w:lang w:eastAsia="en-GB"/>
              </w:rPr>
              <w:t>6</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311</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55,000 - 59,999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33</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8</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211</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60,000 - 64,999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31</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5</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101</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65,000 - 69,999</w:t>
            </w:r>
          </w:p>
        </w:tc>
        <w:tc>
          <w:tcPr>
            <w:tcW w:w="2126" w:type="dxa"/>
            <w:shd w:val="clear" w:color="000000" w:fill="FFFFFF"/>
            <w:noWrap/>
            <w:vAlign w:val="bottom"/>
            <w:hideMark/>
          </w:tcPr>
          <w:p w:rsidR="008111A3" w:rsidRPr="002F17B5" w:rsidRDefault="00647646" w:rsidP="009376DC">
            <w:pPr>
              <w:autoSpaceDE/>
              <w:autoSpaceDN/>
              <w:adjustRightInd/>
              <w:spacing w:before="0"/>
              <w:jc w:val="right"/>
              <w:rPr>
                <w:rFonts w:eastAsia="Times New Roman" w:cs="Arial"/>
                <w:lang w:eastAsia="en-GB"/>
              </w:rPr>
            </w:pPr>
            <w:r>
              <w:rPr>
                <w:rFonts w:eastAsia="Times New Roman" w:cs="Arial"/>
                <w:lang w:eastAsia="en-GB"/>
              </w:rPr>
              <w:t>20</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1</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38</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70,000 - 74,999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2</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32</w:t>
            </w:r>
          </w:p>
        </w:tc>
        <w:tc>
          <w:tcPr>
            <w:tcW w:w="1984" w:type="dxa"/>
            <w:shd w:val="clear" w:color="000000" w:fill="FFFFFF"/>
            <w:noWrap/>
            <w:vAlign w:val="bottom"/>
            <w:hideMark/>
          </w:tcPr>
          <w:p w:rsidR="008111A3" w:rsidRPr="002F17B5" w:rsidRDefault="008111A3" w:rsidP="004169EF">
            <w:pPr>
              <w:autoSpaceDE/>
              <w:autoSpaceDN/>
              <w:adjustRightInd/>
              <w:spacing w:before="0"/>
              <w:jc w:val="right"/>
              <w:rPr>
                <w:rFonts w:eastAsia="Times New Roman" w:cs="Arial"/>
                <w:lang w:eastAsia="en-GB"/>
              </w:rPr>
            </w:pPr>
            <w:r w:rsidRPr="002F17B5">
              <w:rPr>
                <w:rFonts w:eastAsia="Times New Roman" w:cs="Arial"/>
                <w:lang w:eastAsia="en-GB"/>
              </w:rPr>
              <w:t>1</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75,000 - 79,999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1</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15</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80,000 - 84,999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5</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5</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85,000 - 89,999</w:t>
            </w:r>
          </w:p>
        </w:tc>
        <w:tc>
          <w:tcPr>
            <w:tcW w:w="2126" w:type="dxa"/>
            <w:shd w:val="clear" w:color="000000" w:fill="FFFFFF"/>
            <w:noWrap/>
            <w:vAlign w:val="bottom"/>
            <w:hideMark/>
          </w:tcPr>
          <w:p w:rsidR="008111A3" w:rsidRPr="002F17B5" w:rsidRDefault="00647646" w:rsidP="009376DC">
            <w:pPr>
              <w:autoSpaceDE/>
              <w:autoSpaceDN/>
              <w:adjustRightInd/>
              <w:spacing w:before="0"/>
              <w:jc w:val="right"/>
              <w:rPr>
                <w:rFonts w:eastAsia="Times New Roman" w:cs="Arial"/>
                <w:lang w:eastAsia="en-GB"/>
              </w:rPr>
            </w:pPr>
            <w:r>
              <w:rPr>
                <w:rFonts w:eastAsia="Times New Roman" w:cs="Arial"/>
                <w:lang w:eastAsia="en-GB"/>
              </w:rPr>
              <w:t>4</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1</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10</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90,000 - 94,999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5</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9</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95,000 - 99,999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5</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3</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100,000 - 104,999</w:t>
            </w:r>
          </w:p>
        </w:tc>
        <w:tc>
          <w:tcPr>
            <w:tcW w:w="2126" w:type="dxa"/>
            <w:shd w:val="clear" w:color="000000" w:fill="FFFFFF"/>
            <w:noWrap/>
            <w:vAlign w:val="bottom"/>
            <w:hideMark/>
          </w:tcPr>
          <w:p w:rsidR="008111A3" w:rsidRPr="002F17B5" w:rsidRDefault="00DC4D6D" w:rsidP="009376DC">
            <w:pPr>
              <w:autoSpaceDE/>
              <w:autoSpaceDN/>
              <w:adjustRightInd/>
              <w:spacing w:before="0"/>
              <w:jc w:val="right"/>
              <w:rPr>
                <w:rFonts w:eastAsia="Times New Roman" w:cs="Arial"/>
                <w:lang w:eastAsia="en-GB"/>
              </w:rPr>
            </w:pPr>
            <w:r>
              <w:rPr>
                <w:rFonts w:eastAsia="Times New Roman" w:cs="Arial"/>
                <w:lang w:eastAsia="en-GB"/>
              </w:rPr>
              <w:t>1</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1</w:t>
            </w:r>
          </w:p>
        </w:tc>
        <w:tc>
          <w:tcPr>
            <w:tcW w:w="1984" w:type="dxa"/>
            <w:shd w:val="clear" w:color="000000" w:fill="FFFFFF"/>
            <w:noWrap/>
            <w:vAlign w:val="bottom"/>
            <w:hideMark/>
          </w:tcPr>
          <w:p w:rsidR="008111A3" w:rsidRPr="002F17B5" w:rsidRDefault="008111A3" w:rsidP="004169EF">
            <w:pPr>
              <w:autoSpaceDE/>
              <w:autoSpaceDN/>
              <w:adjustRightInd/>
              <w:spacing w:before="0"/>
              <w:jc w:val="right"/>
              <w:rPr>
                <w:rFonts w:eastAsia="Times New Roman" w:cs="Arial"/>
                <w:lang w:eastAsia="en-GB"/>
              </w:rPr>
            </w:pPr>
            <w:r w:rsidRPr="002F17B5">
              <w:rPr>
                <w:rFonts w:eastAsia="Times New Roman" w:cs="Arial"/>
                <w:lang w:eastAsia="en-GB"/>
              </w:rPr>
              <w:t>1</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105,000 - 109,999</w:t>
            </w:r>
          </w:p>
        </w:tc>
        <w:tc>
          <w:tcPr>
            <w:tcW w:w="2126" w:type="dxa"/>
            <w:shd w:val="clear" w:color="000000" w:fill="FFFFFF"/>
            <w:noWrap/>
            <w:vAlign w:val="bottom"/>
            <w:hideMark/>
          </w:tcPr>
          <w:p w:rsidR="008111A3" w:rsidRPr="002F17B5" w:rsidRDefault="00DC4D6D" w:rsidP="009376DC">
            <w:pPr>
              <w:autoSpaceDE/>
              <w:autoSpaceDN/>
              <w:adjustRightInd/>
              <w:spacing w:before="0"/>
              <w:jc w:val="right"/>
              <w:rPr>
                <w:rFonts w:eastAsia="Times New Roman" w:cs="Arial"/>
                <w:lang w:eastAsia="en-GB"/>
              </w:rPr>
            </w:pPr>
            <w:r>
              <w:rPr>
                <w:rFonts w:eastAsia="Times New Roman" w:cs="Arial"/>
                <w:lang w:eastAsia="en-GB"/>
              </w:rPr>
              <w:t>-</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2</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3</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110,000 - 114,999</w:t>
            </w:r>
          </w:p>
        </w:tc>
        <w:tc>
          <w:tcPr>
            <w:tcW w:w="2126" w:type="dxa"/>
            <w:shd w:val="clear" w:color="000000" w:fill="FFFFFF"/>
            <w:noWrap/>
            <w:vAlign w:val="bottom"/>
            <w:hideMark/>
          </w:tcPr>
          <w:p w:rsidR="008111A3" w:rsidRPr="002F17B5" w:rsidRDefault="00DC4D6D" w:rsidP="009376DC">
            <w:pPr>
              <w:autoSpaceDE/>
              <w:autoSpaceDN/>
              <w:adjustRightInd/>
              <w:spacing w:before="0"/>
              <w:jc w:val="right"/>
              <w:rPr>
                <w:rFonts w:eastAsia="Times New Roman" w:cs="Arial"/>
                <w:lang w:eastAsia="en-GB"/>
              </w:rPr>
            </w:pPr>
            <w:r>
              <w:rPr>
                <w:rFonts w:eastAsia="Times New Roman" w:cs="Arial"/>
                <w:lang w:eastAsia="en-GB"/>
              </w:rPr>
              <w:t>-</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406E34" w:rsidP="009376DC">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lang w:eastAsia="en-GB"/>
              </w:rPr>
            </w:pPr>
            <w:r w:rsidRPr="002F17B5">
              <w:rPr>
                <w:rFonts w:eastAsia="Times New Roman" w:cs="Arial"/>
                <w:lang w:eastAsia="en-GB"/>
              </w:rPr>
              <w:t>120,000 - 124,999</w:t>
            </w:r>
          </w:p>
        </w:tc>
        <w:tc>
          <w:tcPr>
            <w:tcW w:w="2126"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1</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406E34" w:rsidP="009376DC">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auto" w:fill="auto"/>
            <w:noWrap/>
            <w:vAlign w:val="bottom"/>
            <w:hideMark/>
          </w:tcPr>
          <w:p w:rsidR="008111A3" w:rsidRPr="002F17B5" w:rsidRDefault="00DC4D6D" w:rsidP="00DC4D6D">
            <w:pPr>
              <w:autoSpaceDE/>
              <w:autoSpaceDN/>
              <w:adjustRightInd/>
              <w:spacing w:before="0"/>
              <w:jc w:val="left"/>
              <w:rPr>
                <w:rFonts w:eastAsia="Times New Roman" w:cs="Arial"/>
                <w:lang w:eastAsia="en-GB"/>
              </w:rPr>
            </w:pPr>
            <w:r>
              <w:rPr>
                <w:rFonts w:eastAsia="Times New Roman" w:cs="Arial"/>
                <w:lang w:eastAsia="en-GB"/>
              </w:rPr>
              <w:t>175,000</w:t>
            </w:r>
            <w:r w:rsidR="008111A3" w:rsidRPr="002F17B5">
              <w:rPr>
                <w:rFonts w:eastAsia="Times New Roman" w:cs="Arial"/>
                <w:lang w:eastAsia="en-GB"/>
              </w:rPr>
              <w:t xml:space="preserve"> - </w:t>
            </w:r>
            <w:r>
              <w:rPr>
                <w:rFonts w:eastAsia="Times New Roman" w:cs="Arial"/>
                <w:lang w:eastAsia="en-GB"/>
              </w:rPr>
              <w:t>179</w:t>
            </w:r>
            <w:r w:rsidR="008111A3" w:rsidRPr="002F17B5">
              <w:rPr>
                <w:rFonts w:eastAsia="Times New Roman" w:cs="Arial"/>
                <w:lang w:eastAsia="en-GB"/>
              </w:rPr>
              <w:t>,999</w:t>
            </w:r>
          </w:p>
        </w:tc>
        <w:tc>
          <w:tcPr>
            <w:tcW w:w="2126" w:type="dxa"/>
            <w:shd w:val="clear" w:color="000000" w:fill="FFFFFF"/>
            <w:noWrap/>
            <w:vAlign w:val="bottom"/>
            <w:hideMark/>
          </w:tcPr>
          <w:p w:rsidR="008111A3" w:rsidRPr="002F17B5" w:rsidRDefault="00DC4D6D" w:rsidP="009376DC">
            <w:pPr>
              <w:autoSpaceDE/>
              <w:autoSpaceDN/>
              <w:adjustRightInd/>
              <w:spacing w:before="0"/>
              <w:jc w:val="right"/>
              <w:rPr>
                <w:rFonts w:eastAsia="Times New Roman" w:cs="Arial"/>
                <w:lang w:eastAsia="en-GB"/>
              </w:rPr>
            </w:pPr>
            <w:r>
              <w:rPr>
                <w:rFonts w:eastAsia="Times New Roman" w:cs="Arial"/>
                <w:lang w:eastAsia="en-GB"/>
              </w:rPr>
              <w:t>1</w:t>
            </w:r>
          </w:p>
        </w:tc>
        <w:tc>
          <w:tcPr>
            <w:tcW w:w="1418"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lang w:eastAsia="en-GB"/>
              </w:rPr>
            </w:pPr>
            <w:r w:rsidRPr="002F17B5">
              <w:rPr>
                <w:rFonts w:eastAsia="Times New Roman" w:cs="Arial"/>
                <w:lang w:eastAsia="en-GB"/>
              </w:rPr>
              <w:t> </w:t>
            </w:r>
            <w:r w:rsidR="00406E34" w:rsidRPr="002F17B5">
              <w:rPr>
                <w:rFonts w:eastAsia="Times New Roman" w:cs="Arial"/>
                <w:lang w:eastAsia="en-GB"/>
              </w:rPr>
              <w:t>-</w:t>
            </w:r>
          </w:p>
        </w:tc>
        <w:tc>
          <w:tcPr>
            <w:tcW w:w="1559" w:type="dxa"/>
            <w:shd w:val="clear" w:color="000000" w:fill="FFFFFF"/>
            <w:noWrap/>
            <w:vAlign w:val="bottom"/>
            <w:hideMark/>
          </w:tcPr>
          <w:p w:rsidR="008111A3" w:rsidRPr="002F17B5" w:rsidRDefault="00406E34" w:rsidP="009376DC">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c>
          <w:tcPr>
            <w:tcW w:w="1984" w:type="dxa"/>
            <w:shd w:val="clear" w:color="000000" w:fill="FFFFFF"/>
            <w:noWrap/>
            <w:vAlign w:val="bottom"/>
            <w:hideMark/>
          </w:tcPr>
          <w:p w:rsidR="008111A3" w:rsidRPr="002F17B5" w:rsidRDefault="00406E34" w:rsidP="004169EF">
            <w:pPr>
              <w:autoSpaceDE/>
              <w:autoSpaceDN/>
              <w:adjustRightInd/>
              <w:spacing w:before="0"/>
              <w:jc w:val="right"/>
              <w:rPr>
                <w:rFonts w:eastAsia="Times New Roman" w:cs="Arial"/>
                <w:lang w:eastAsia="en-GB"/>
              </w:rPr>
            </w:pPr>
            <w:r w:rsidRPr="002F17B5">
              <w:rPr>
                <w:rFonts w:eastAsia="Times New Roman" w:cs="Arial"/>
                <w:lang w:eastAsia="en-GB"/>
              </w:rPr>
              <w:t>-</w:t>
            </w:r>
            <w:r w:rsidR="008111A3" w:rsidRPr="002F17B5">
              <w:rPr>
                <w:rFonts w:eastAsia="Times New Roman" w:cs="Arial"/>
                <w:lang w:eastAsia="en-GB"/>
              </w:rPr>
              <w:t> </w:t>
            </w:r>
          </w:p>
        </w:tc>
      </w:tr>
      <w:tr w:rsidR="008111A3" w:rsidRPr="002F17B5" w:rsidTr="004169EF">
        <w:trPr>
          <w:trHeight w:val="300"/>
        </w:trPr>
        <w:tc>
          <w:tcPr>
            <w:tcW w:w="3138" w:type="dxa"/>
            <w:shd w:val="clear" w:color="000000" w:fill="FFFFFF"/>
            <w:noWrap/>
            <w:vAlign w:val="bottom"/>
            <w:hideMark/>
          </w:tcPr>
          <w:p w:rsidR="008111A3" w:rsidRPr="002F17B5" w:rsidRDefault="008111A3" w:rsidP="009376DC">
            <w:pPr>
              <w:autoSpaceDE/>
              <w:autoSpaceDN/>
              <w:adjustRightInd/>
              <w:spacing w:before="0"/>
              <w:jc w:val="left"/>
              <w:rPr>
                <w:rFonts w:eastAsia="Times New Roman" w:cs="Arial"/>
                <w:b/>
                <w:bCs/>
                <w:lang w:eastAsia="en-GB"/>
              </w:rPr>
            </w:pPr>
            <w:r w:rsidRPr="002F17B5">
              <w:rPr>
                <w:rFonts w:eastAsia="Times New Roman" w:cs="Arial"/>
                <w:b/>
                <w:bCs/>
                <w:lang w:eastAsia="en-GB"/>
              </w:rPr>
              <w:t>TOTAL</w:t>
            </w:r>
          </w:p>
        </w:tc>
        <w:tc>
          <w:tcPr>
            <w:tcW w:w="2126" w:type="dxa"/>
            <w:shd w:val="clear" w:color="000000" w:fill="FFFFFF"/>
            <w:noWrap/>
            <w:vAlign w:val="bottom"/>
            <w:hideMark/>
          </w:tcPr>
          <w:p w:rsidR="008111A3" w:rsidRPr="002F17B5" w:rsidRDefault="008111A3" w:rsidP="00DC4D6D">
            <w:pPr>
              <w:autoSpaceDE/>
              <w:autoSpaceDN/>
              <w:adjustRightInd/>
              <w:spacing w:before="0"/>
              <w:jc w:val="right"/>
              <w:rPr>
                <w:rFonts w:eastAsia="Times New Roman" w:cs="Arial"/>
                <w:b/>
                <w:bCs/>
                <w:lang w:eastAsia="en-GB"/>
              </w:rPr>
            </w:pPr>
            <w:r w:rsidRPr="002F17B5">
              <w:rPr>
                <w:rFonts w:eastAsia="Times New Roman" w:cs="Arial"/>
                <w:b/>
                <w:bCs/>
                <w:lang w:eastAsia="en-GB"/>
              </w:rPr>
              <w:t>17</w:t>
            </w:r>
            <w:r w:rsidR="00DC4D6D">
              <w:rPr>
                <w:rFonts w:eastAsia="Times New Roman" w:cs="Arial"/>
                <w:b/>
                <w:bCs/>
                <w:lang w:eastAsia="en-GB"/>
              </w:rPr>
              <w:t>8</w:t>
            </w:r>
          </w:p>
        </w:tc>
        <w:tc>
          <w:tcPr>
            <w:tcW w:w="1418" w:type="dxa"/>
            <w:shd w:val="clear" w:color="000000" w:fill="FFFFFF"/>
            <w:noWrap/>
            <w:vAlign w:val="bottom"/>
            <w:hideMark/>
          </w:tcPr>
          <w:p w:rsidR="008111A3" w:rsidRPr="002F17B5" w:rsidRDefault="008111A3" w:rsidP="00DC4D6D">
            <w:pPr>
              <w:autoSpaceDE/>
              <w:autoSpaceDN/>
              <w:adjustRightInd/>
              <w:spacing w:before="0"/>
              <w:jc w:val="right"/>
              <w:rPr>
                <w:rFonts w:eastAsia="Times New Roman" w:cs="Arial"/>
                <w:b/>
                <w:bCs/>
                <w:lang w:eastAsia="en-GB"/>
              </w:rPr>
            </w:pPr>
            <w:r w:rsidRPr="002F17B5">
              <w:rPr>
                <w:rFonts w:eastAsia="Times New Roman" w:cs="Arial"/>
                <w:b/>
                <w:bCs/>
                <w:lang w:eastAsia="en-GB"/>
              </w:rPr>
              <w:t>3</w:t>
            </w:r>
            <w:r w:rsidR="00DC4D6D">
              <w:rPr>
                <w:rFonts w:eastAsia="Times New Roman" w:cs="Arial"/>
                <w:b/>
                <w:bCs/>
                <w:lang w:eastAsia="en-GB"/>
              </w:rPr>
              <w:t>3</w:t>
            </w:r>
          </w:p>
        </w:tc>
        <w:tc>
          <w:tcPr>
            <w:tcW w:w="1559" w:type="dxa"/>
            <w:shd w:val="clear" w:color="000000" w:fill="FFFFFF"/>
            <w:noWrap/>
            <w:vAlign w:val="bottom"/>
            <w:hideMark/>
          </w:tcPr>
          <w:p w:rsidR="008111A3" w:rsidRPr="002F17B5" w:rsidRDefault="008111A3" w:rsidP="009376DC">
            <w:pPr>
              <w:autoSpaceDE/>
              <w:autoSpaceDN/>
              <w:adjustRightInd/>
              <w:spacing w:before="0"/>
              <w:jc w:val="right"/>
              <w:rPr>
                <w:rFonts w:eastAsia="Times New Roman" w:cs="Arial"/>
                <w:b/>
                <w:bCs/>
                <w:lang w:eastAsia="en-GB"/>
              </w:rPr>
            </w:pPr>
            <w:r w:rsidRPr="002F17B5">
              <w:rPr>
                <w:rFonts w:eastAsia="Times New Roman" w:cs="Arial"/>
                <w:b/>
                <w:bCs/>
                <w:lang w:eastAsia="en-GB"/>
              </w:rPr>
              <w:t>739</w:t>
            </w:r>
          </w:p>
        </w:tc>
        <w:tc>
          <w:tcPr>
            <w:tcW w:w="1984" w:type="dxa"/>
            <w:shd w:val="clear" w:color="000000" w:fill="FFFFFF"/>
            <w:noWrap/>
            <w:vAlign w:val="bottom"/>
            <w:hideMark/>
          </w:tcPr>
          <w:p w:rsidR="008111A3" w:rsidRPr="002F17B5" w:rsidRDefault="008111A3" w:rsidP="004169EF">
            <w:pPr>
              <w:autoSpaceDE/>
              <w:autoSpaceDN/>
              <w:adjustRightInd/>
              <w:spacing w:before="0"/>
              <w:jc w:val="right"/>
              <w:rPr>
                <w:rFonts w:eastAsia="Times New Roman" w:cs="Arial"/>
                <w:b/>
                <w:bCs/>
                <w:lang w:eastAsia="en-GB"/>
              </w:rPr>
            </w:pPr>
            <w:r w:rsidRPr="002F17B5">
              <w:rPr>
                <w:rFonts w:eastAsia="Times New Roman" w:cs="Arial"/>
                <w:b/>
                <w:bCs/>
                <w:lang w:eastAsia="en-GB"/>
              </w:rPr>
              <w:t>2</w:t>
            </w:r>
          </w:p>
        </w:tc>
      </w:tr>
    </w:tbl>
    <w:p w:rsidR="008111A3" w:rsidRPr="002F17B5" w:rsidRDefault="008111A3" w:rsidP="00DD42BF">
      <w:pPr>
        <w:rPr>
          <w:sz w:val="2"/>
        </w:rPr>
      </w:pPr>
    </w:p>
    <w:p w:rsidR="00406E34" w:rsidRDefault="005D3E0E" w:rsidP="00F50750">
      <w:pPr>
        <w:rPr>
          <w:rFonts w:ascii="Calibri" w:eastAsiaTheme="minorHAnsi" w:hAnsi="Calibri" w:cs="Times New Roman"/>
          <w:color w:val="auto"/>
          <w:sz w:val="22"/>
          <w:szCs w:val="22"/>
          <w:lang w:eastAsia="en-GB"/>
        </w:rPr>
      </w:pPr>
      <w:r w:rsidRPr="002F17B5">
        <w:rPr>
          <w:rFonts w:eastAsia="Times New Roman" w:cs="Arial"/>
          <w:szCs w:val="22"/>
          <w:lang w:eastAsia="en-GB"/>
        </w:rPr>
        <w:t>*</w:t>
      </w:r>
      <w:r w:rsidR="00992FE7" w:rsidRPr="002F17B5">
        <w:rPr>
          <w:szCs w:val="22"/>
        </w:rPr>
        <w:t xml:space="preserve"> Restated in accordance with guidance</w:t>
      </w:r>
      <w:r w:rsidR="00422911">
        <w:rPr>
          <w:szCs w:val="22"/>
        </w:rPr>
        <w:t xml:space="preserve"> </w:t>
      </w:r>
      <w:r w:rsidR="00422911">
        <w:rPr>
          <w:rFonts w:cs="Arial"/>
        </w:rPr>
        <w:t xml:space="preserve">to include all payments and all employees; including those seconded to other organisations. </w:t>
      </w:r>
    </w:p>
    <w:p w:rsidR="00422911" w:rsidRPr="00422911" w:rsidRDefault="00422911" w:rsidP="00F50750">
      <w:pPr>
        <w:rPr>
          <w:rFonts w:ascii="Calibri" w:eastAsiaTheme="minorHAnsi" w:hAnsi="Calibri" w:cs="Times New Roman"/>
          <w:color w:val="auto"/>
          <w:sz w:val="22"/>
          <w:szCs w:val="22"/>
          <w:lang w:eastAsia="en-GB"/>
        </w:rPr>
      </w:pPr>
    </w:p>
    <w:p w:rsidR="004E2912" w:rsidRPr="006977BB" w:rsidRDefault="00E47956" w:rsidP="004E2912">
      <w:pPr>
        <w:spacing w:after="240"/>
        <w:rPr>
          <w:rFonts w:cs="Arial"/>
          <w:sz w:val="22"/>
          <w:szCs w:val="22"/>
        </w:rPr>
      </w:pPr>
      <w:r w:rsidRPr="006977BB">
        <w:rPr>
          <w:rFonts w:cs="Arial"/>
          <w:sz w:val="22"/>
          <w:szCs w:val="22"/>
          <w:vertAlign w:val="superscript"/>
        </w:rPr>
        <w:t>1</w:t>
      </w:r>
      <w:r w:rsidR="004E2912" w:rsidRPr="006977BB">
        <w:rPr>
          <w:rFonts w:cs="Arial"/>
          <w:sz w:val="22"/>
          <w:szCs w:val="22"/>
        </w:rPr>
        <w:t xml:space="preserve"> Remuneration bands have been removed in cases where the entry for every column was zero. </w:t>
      </w:r>
    </w:p>
    <w:p w:rsidR="00406E34" w:rsidRPr="002F17B5" w:rsidRDefault="00406E34" w:rsidP="00F50750">
      <w:pPr>
        <w:rPr>
          <w:rFonts w:eastAsia="Times New Roman" w:cs="Arial"/>
          <w:sz w:val="16"/>
          <w:szCs w:val="22"/>
          <w:lang w:eastAsia="en-GB"/>
        </w:rPr>
      </w:pPr>
    </w:p>
    <w:p w:rsidR="00344A55" w:rsidRPr="002F17B5" w:rsidRDefault="005D3E0E" w:rsidP="00DD42BF">
      <w:r w:rsidRPr="002F17B5">
        <w:t>This table does not include any of the Senior Management Team highlighted in the tables above.</w:t>
      </w:r>
    </w:p>
    <w:p w:rsidR="00344A55" w:rsidRPr="002F17B5" w:rsidRDefault="00344A55" w:rsidP="00344A55">
      <w:pPr>
        <w:rPr>
          <w:sz w:val="14"/>
        </w:rPr>
      </w:pPr>
    </w:p>
    <w:p w:rsidR="00344A55" w:rsidRPr="002F17B5" w:rsidRDefault="005D3E0E" w:rsidP="00344A55">
      <w:r w:rsidRPr="002F17B5">
        <w:t xml:space="preserve">Seconded Staff includes staff </w:t>
      </w:r>
      <w:r w:rsidR="002F2130">
        <w:t>who worked</w:t>
      </w:r>
      <w:r w:rsidRPr="002F17B5">
        <w:t xml:space="preserve"> for One Connect Limited (OCL) and Lancashire County Developments Ltd (LCDL).</w:t>
      </w:r>
    </w:p>
    <w:p w:rsidR="00344A55" w:rsidRPr="002F17B5" w:rsidRDefault="00344A55" w:rsidP="00344A55">
      <w:pPr>
        <w:rPr>
          <w:sz w:val="12"/>
        </w:rPr>
      </w:pPr>
    </w:p>
    <w:p w:rsidR="00344A55" w:rsidRPr="002F17B5" w:rsidRDefault="005D3E0E" w:rsidP="00344A55">
      <w:r w:rsidRPr="002F17B5">
        <w:t>County Council Network staff are staff working for and paid for by the county council's network who are "hosted" for pay and rations by Lancashire County Council</w:t>
      </w:r>
    </w:p>
    <w:p w:rsidR="00B009B3" w:rsidRPr="002F17B5" w:rsidRDefault="00B009B3" w:rsidP="004B0016">
      <w:pPr>
        <w:rPr>
          <w:sz w:val="26"/>
          <w:szCs w:val="22"/>
        </w:rPr>
      </w:pPr>
    </w:p>
    <w:p w:rsidR="009A3BF6" w:rsidRDefault="009A3BF6" w:rsidP="004B0016">
      <w:pPr>
        <w:rPr>
          <w:sz w:val="20"/>
          <w:szCs w:val="22"/>
        </w:rPr>
      </w:pPr>
    </w:p>
    <w:p w:rsidR="005A2725" w:rsidRDefault="005A2725" w:rsidP="004B0016">
      <w:pPr>
        <w:rPr>
          <w:sz w:val="20"/>
          <w:szCs w:val="22"/>
        </w:rPr>
      </w:pPr>
    </w:p>
    <w:p w:rsidR="005A2725" w:rsidRDefault="005A2725" w:rsidP="004B0016">
      <w:pPr>
        <w:rPr>
          <w:sz w:val="20"/>
          <w:szCs w:val="22"/>
        </w:rPr>
      </w:pPr>
    </w:p>
    <w:p w:rsidR="00992FE7" w:rsidRPr="002F17B5" w:rsidRDefault="00992FE7" w:rsidP="004B0016">
      <w:pPr>
        <w:rPr>
          <w:b/>
          <w:sz w:val="26"/>
          <w:szCs w:val="22"/>
        </w:rPr>
      </w:pPr>
      <w:r w:rsidRPr="002F17B5">
        <w:rPr>
          <w:b/>
          <w:sz w:val="26"/>
          <w:szCs w:val="22"/>
        </w:rPr>
        <w:lastRenderedPageBreak/>
        <w:t>Exit Packages</w:t>
      </w:r>
    </w:p>
    <w:p w:rsidR="004B0016" w:rsidRPr="002F17B5" w:rsidRDefault="005D3E0E" w:rsidP="004B0016">
      <w:r w:rsidRPr="002F17B5">
        <w:t>When an employee leaves Lancashire County Council through the ongoing voluntary severance scheme, two types of costs are incurred:</w:t>
      </w:r>
    </w:p>
    <w:p w:rsidR="00473E49" w:rsidRPr="002F17B5" w:rsidRDefault="00473E49" w:rsidP="004B0016">
      <w:pPr>
        <w:rPr>
          <w:sz w:val="2"/>
        </w:rPr>
      </w:pPr>
    </w:p>
    <w:p w:rsidR="004B0016" w:rsidRDefault="005D3E0E" w:rsidP="00AA0715">
      <w:pPr>
        <w:pStyle w:val="ListParagraph"/>
        <w:numPr>
          <w:ilvl w:val="0"/>
          <w:numId w:val="40"/>
        </w:numPr>
        <w:autoSpaceDE/>
        <w:autoSpaceDN/>
        <w:adjustRightInd/>
        <w:spacing w:before="0" w:after="0"/>
        <w:ind w:left="567"/>
        <w:contextualSpacing w:val="0"/>
      </w:pPr>
      <w:r w:rsidRPr="002F17B5">
        <w:t>A redundancy payment received by the employee calculated in line with the relevant policies agreed by the council;</w:t>
      </w:r>
    </w:p>
    <w:p w:rsidR="00072A21" w:rsidRPr="00072A21" w:rsidRDefault="00072A21" w:rsidP="00072A21">
      <w:pPr>
        <w:pStyle w:val="ListParagraph"/>
        <w:autoSpaceDE/>
        <w:autoSpaceDN/>
        <w:adjustRightInd/>
        <w:spacing w:before="0" w:after="0"/>
        <w:ind w:left="567"/>
        <w:contextualSpacing w:val="0"/>
        <w:rPr>
          <w:sz w:val="14"/>
        </w:rPr>
      </w:pPr>
    </w:p>
    <w:p w:rsidR="004B0016" w:rsidRPr="002F17B5" w:rsidRDefault="005D3E0E" w:rsidP="00AA0715">
      <w:pPr>
        <w:pStyle w:val="ListParagraph"/>
        <w:numPr>
          <w:ilvl w:val="0"/>
          <w:numId w:val="40"/>
        </w:numPr>
        <w:autoSpaceDE/>
        <w:autoSpaceDN/>
        <w:adjustRightInd/>
        <w:spacing w:before="0" w:after="0"/>
        <w:ind w:left="567"/>
        <w:contextualSpacing w:val="0"/>
      </w:pPr>
      <w:r w:rsidRPr="002F17B5">
        <w:t>Where the employee is able to immediately receive any benefits they have built up in the Pension Fun</w:t>
      </w:r>
      <w:r w:rsidR="00431EE6">
        <w:t>d, a payment calculated by the independent a</w:t>
      </w:r>
      <w:r w:rsidRPr="002F17B5">
        <w:t xml:space="preserve">ctuary is made to compensate the fund for both the employer and employee contributions that will be received due to the early payment of benefits. This payment is </w:t>
      </w:r>
      <w:r w:rsidRPr="002F17B5">
        <w:rPr>
          <w:b/>
        </w:rPr>
        <w:t>not</w:t>
      </w:r>
      <w:r w:rsidRPr="002F17B5">
        <w:t xml:space="preserve"> made to the individual.</w:t>
      </w:r>
    </w:p>
    <w:p w:rsidR="009376DC" w:rsidRPr="002F17B5" w:rsidRDefault="009376DC" w:rsidP="009376DC">
      <w:pPr>
        <w:pStyle w:val="ListParagraph"/>
      </w:pPr>
    </w:p>
    <w:p w:rsidR="009376DC" w:rsidRPr="002F17B5" w:rsidRDefault="009376DC" w:rsidP="009376DC">
      <w:pPr>
        <w:pStyle w:val="ListParagraph"/>
        <w:autoSpaceDE/>
        <w:autoSpaceDN/>
        <w:adjustRightInd/>
        <w:spacing w:before="0" w:after="0"/>
        <w:ind w:left="567"/>
        <w:contextualSpacing w:val="0"/>
        <w:rPr>
          <w:sz w:val="14"/>
        </w:rPr>
      </w:pPr>
    </w:p>
    <w:p w:rsidR="009376DC" w:rsidRPr="00072A21" w:rsidRDefault="005D3E0E" w:rsidP="004B0016">
      <w:pPr>
        <w:spacing w:before="120" w:after="0"/>
      </w:pPr>
      <w:r w:rsidRPr="002F17B5">
        <w:t>The table below shows the cost to the council of exit packages, not the amount received by an employee (which forms only part of the cost)</w:t>
      </w:r>
    </w:p>
    <w:tbl>
      <w:tblPr>
        <w:tblpPr w:leftFromText="180" w:rightFromText="180" w:vertAnchor="text" w:tblpXSpec="center" w:tblpY="490"/>
        <w:tblW w:w="10881" w:type="dxa"/>
        <w:tblLayout w:type="fixed"/>
        <w:tblLook w:val="04A0" w:firstRow="1" w:lastRow="0" w:firstColumn="1" w:lastColumn="0" w:noHBand="0" w:noVBand="1"/>
      </w:tblPr>
      <w:tblGrid>
        <w:gridCol w:w="1668"/>
        <w:gridCol w:w="141"/>
        <w:gridCol w:w="851"/>
        <w:gridCol w:w="1134"/>
        <w:gridCol w:w="1134"/>
        <w:gridCol w:w="1276"/>
        <w:gridCol w:w="1134"/>
        <w:gridCol w:w="1275"/>
        <w:gridCol w:w="993"/>
        <w:gridCol w:w="1275"/>
      </w:tblGrid>
      <w:tr w:rsidR="00D01330" w:rsidRPr="002F17B5" w:rsidTr="001602B7">
        <w:trPr>
          <w:trHeight w:val="656"/>
        </w:trPr>
        <w:tc>
          <w:tcPr>
            <w:tcW w:w="1809" w:type="dxa"/>
            <w:gridSpan w:val="2"/>
            <w:shd w:val="clear" w:color="auto" w:fill="FFFFFF" w:themeFill="background1"/>
            <w:hideMark/>
          </w:tcPr>
          <w:p w:rsidR="005E78AE" w:rsidRPr="004169EF" w:rsidRDefault="005D3E0E">
            <w:pPr>
              <w:jc w:val="center"/>
              <w:rPr>
                <w:rFonts w:cs="Arial"/>
                <w:b/>
                <w:bCs/>
                <w:sz w:val="23"/>
                <w:szCs w:val="23"/>
              </w:rPr>
            </w:pPr>
            <w:r w:rsidRPr="004169EF">
              <w:rPr>
                <w:rFonts w:cs="Arial"/>
                <w:b/>
                <w:bCs/>
                <w:sz w:val="23"/>
                <w:szCs w:val="23"/>
              </w:rPr>
              <w:t>Exit package cost band (including special payments)</w:t>
            </w:r>
          </w:p>
        </w:tc>
        <w:tc>
          <w:tcPr>
            <w:tcW w:w="1985" w:type="dxa"/>
            <w:gridSpan w:val="2"/>
            <w:shd w:val="clear" w:color="auto" w:fill="FFFFFF" w:themeFill="background1"/>
            <w:hideMark/>
          </w:tcPr>
          <w:p w:rsidR="004B0016" w:rsidRPr="004169EF" w:rsidRDefault="005D3E0E" w:rsidP="004B0016">
            <w:pPr>
              <w:jc w:val="center"/>
              <w:rPr>
                <w:rFonts w:cs="Arial"/>
                <w:b/>
                <w:bCs/>
                <w:sz w:val="23"/>
                <w:szCs w:val="23"/>
              </w:rPr>
            </w:pPr>
            <w:r w:rsidRPr="004169EF">
              <w:rPr>
                <w:rFonts w:cs="Arial"/>
                <w:b/>
                <w:bCs/>
                <w:sz w:val="23"/>
                <w:szCs w:val="23"/>
              </w:rPr>
              <w:t>Number of compulsory redundancies</w:t>
            </w:r>
          </w:p>
        </w:tc>
        <w:tc>
          <w:tcPr>
            <w:tcW w:w="2410" w:type="dxa"/>
            <w:gridSpan w:val="2"/>
            <w:shd w:val="clear" w:color="auto" w:fill="FFFFFF" w:themeFill="background1"/>
            <w:hideMark/>
          </w:tcPr>
          <w:p w:rsidR="004B0016" w:rsidRPr="004169EF" w:rsidRDefault="005D3E0E" w:rsidP="004B0016">
            <w:pPr>
              <w:jc w:val="center"/>
              <w:rPr>
                <w:rFonts w:cs="Arial"/>
                <w:b/>
                <w:bCs/>
                <w:sz w:val="23"/>
                <w:szCs w:val="23"/>
              </w:rPr>
            </w:pPr>
            <w:r w:rsidRPr="004169EF">
              <w:rPr>
                <w:rFonts w:cs="Arial"/>
                <w:b/>
                <w:bCs/>
                <w:sz w:val="23"/>
                <w:szCs w:val="23"/>
              </w:rPr>
              <w:t>Number of other departures agreed</w:t>
            </w:r>
          </w:p>
        </w:tc>
        <w:tc>
          <w:tcPr>
            <w:tcW w:w="2409" w:type="dxa"/>
            <w:gridSpan w:val="2"/>
            <w:shd w:val="clear" w:color="auto" w:fill="FFFFFF" w:themeFill="background1"/>
            <w:hideMark/>
          </w:tcPr>
          <w:p w:rsidR="004B0016" w:rsidRPr="004169EF" w:rsidRDefault="005D3E0E" w:rsidP="004B0016">
            <w:pPr>
              <w:jc w:val="center"/>
              <w:rPr>
                <w:rFonts w:cs="Arial"/>
                <w:b/>
                <w:bCs/>
                <w:sz w:val="23"/>
                <w:szCs w:val="23"/>
              </w:rPr>
            </w:pPr>
            <w:r w:rsidRPr="004169EF">
              <w:rPr>
                <w:rFonts w:cs="Arial"/>
                <w:b/>
                <w:bCs/>
                <w:sz w:val="23"/>
                <w:szCs w:val="23"/>
              </w:rPr>
              <w:t>Total number of exit packages by cost band</w:t>
            </w:r>
          </w:p>
        </w:tc>
        <w:tc>
          <w:tcPr>
            <w:tcW w:w="2268" w:type="dxa"/>
            <w:gridSpan w:val="2"/>
            <w:shd w:val="clear" w:color="auto" w:fill="FFFFFF" w:themeFill="background1"/>
            <w:hideMark/>
          </w:tcPr>
          <w:p w:rsidR="004B0016" w:rsidRPr="004169EF" w:rsidRDefault="005D3E0E" w:rsidP="004B0016">
            <w:pPr>
              <w:jc w:val="center"/>
              <w:rPr>
                <w:rFonts w:cs="Arial"/>
                <w:b/>
                <w:bCs/>
                <w:sz w:val="23"/>
                <w:szCs w:val="23"/>
              </w:rPr>
            </w:pPr>
            <w:r w:rsidRPr="004169EF">
              <w:rPr>
                <w:rFonts w:cs="Arial"/>
                <w:b/>
                <w:bCs/>
                <w:sz w:val="23"/>
                <w:szCs w:val="23"/>
              </w:rPr>
              <w:t>Total cost of exit packages in each band</w:t>
            </w:r>
          </w:p>
        </w:tc>
      </w:tr>
      <w:tr w:rsidR="00D01330" w:rsidRPr="002F17B5" w:rsidTr="00CC45BC">
        <w:trPr>
          <w:trHeight w:val="424"/>
        </w:trPr>
        <w:tc>
          <w:tcPr>
            <w:tcW w:w="1668" w:type="dxa"/>
            <w:shd w:val="clear" w:color="auto" w:fill="FFFFFF" w:themeFill="background1"/>
            <w:hideMark/>
          </w:tcPr>
          <w:p w:rsidR="004B0016" w:rsidRPr="002F17B5" w:rsidRDefault="004B0016" w:rsidP="004B0016">
            <w:pPr>
              <w:rPr>
                <w:rFonts w:cs="Arial"/>
                <w:sz w:val="22"/>
                <w:szCs w:val="22"/>
              </w:rPr>
            </w:pPr>
          </w:p>
        </w:tc>
        <w:tc>
          <w:tcPr>
            <w:tcW w:w="992" w:type="dxa"/>
            <w:gridSpan w:val="2"/>
            <w:shd w:val="clear" w:color="auto" w:fill="FFFFFF" w:themeFill="background1"/>
            <w:vAlign w:val="center"/>
            <w:hideMark/>
          </w:tcPr>
          <w:p w:rsidR="004B0016" w:rsidRPr="002F17B5" w:rsidRDefault="005D3E0E" w:rsidP="004B0016">
            <w:pPr>
              <w:jc w:val="center"/>
              <w:rPr>
                <w:rFonts w:cs="Arial"/>
                <w:b/>
                <w:bCs/>
                <w:sz w:val="21"/>
                <w:szCs w:val="21"/>
              </w:rPr>
            </w:pPr>
            <w:r w:rsidRPr="002F17B5">
              <w:rPr>
                <w:rFonts w:cs="Arial"/>
                <w:b/>
                <w:bCs/>
                <w:sz w:val="21"/>
                <w:szCs w:val="21"/>
              </w:rPr>
              <w:t>201</w:t>
            </w:r>
            <w:r w:rsidR="002B39DE" w:rsidRPr="002F17B5">
              <w:rPr>
                <w:rFonts w:cs="Arial"/>
                <w:b/>
                <w:bCs/>
                <w:sz w:val="21"/>
                <w:szCs w:val="21"/>
              </w:rPr>
              <w:t>3</w:t>
            </w:r>
            <w:r w:rsidRPr="002F17B5">
              <w:rPr>
                <w:rFonts w:cs="Arial"/>
                <w:b/>
                <w:bCs/>
                <w:sz w:val="21"/>
                <w:szCs w:val="21"/>
              </w:rPr>
              <w:t>/1</w:t>
            </w:r>
            <w:r w:rsidR="002B39DE" w:rsidRPr="002F17B5">
              <w:rPr>
                <w:rFonts w:cs="Arial"/>
                <w:b/>
                <w:bCs/>
                <w:sz w:val="21"/>
                <w:szCs w:val="21"/>
              </w:rPr>
              <w:t>4</w:t>
            </w:r>
          </w:p>
          <w:p w:rsidR="00186385" w:rsidRPr="002F17B5" w:rsidRDefault="00186385" w:rsidP="004B0016">
            <w:pPr>
              <w:jc w:val="center"/>
              <w:rPr>
                <w:rFonts w:cs="Arial"/>
                <w:b/>
                <w:bCs/>
                <w:sz w:val="21"/>
                <w:szCs w:val="21"/>
              </w:rPr>
            </w:pPr>
          </w:p>
        </w:tc>
        <w:tc>
          <w:tcPr>
            <w:tcW w:w="1134" w:type="dxa"/>
            <w:shd w:val="clear" w:color="auto" w:fill="FFFFFF" w:themeFill="background1"/>
            <w:vAlign w:val="center"/>
            <w:hideMark/>
          </w:tcPr>
          <w:p w:rsidR="004B0016" w:rsidRPr="002F17B5" w:rsidRDefault="005D3E0E" w:rsidP="004B0016">
            <w:pPr>
              <w:jc w:val="center"/>
              <w:rPr>
                <w:rFonts w:cs="Arial"/>
                <w:b/>
                <w:bCs/>
                <w:sz w:val="21"/>
                <w:szCs w:val="21"/>
              </w:rPr>
            </w:pPr>
            <w:r w:rsidRPr="002F17B5">
              <w:rPr>
                <w:rFonts w:cs="Arial"/>
                <w:b/>
                <w:bCs/>
                <w:sz w:val="21"/>
                <w:szCs w:val="21"/>
              </w:rPr>
              <w:t>201</w:t>
            </w:r>
            <w:r w:rsidR="002B39DE" w:rsidRPr="002F17B5">
              <w:rPr>
                <w:rFonts w:cs="Arial"/>
                <w:b/>
                <w:bCs/>
                <w:sz w:val="21"/>
                <w:szCs w:val="21"/>
              </w:rPr>
              <w:t>2</w:t>
            </w:r>
            <w:r w:rsidRPr="002F17B5">
              <w:rPr>
                <w:rFonts w:cs="Arial"/>
                <w:b/>
                <w:bCs/>
                <w:sz w:val="21"/>
                <w:szCs w:val="21"/>
              </w:rPr>
              <w:t>/1</w:t>
            </w:r>
            <w:r w:rsidR="002B39DE" w:rsidRPr="002F17B5">
              <w:rPr>
                <w:rFonts w:cs="Arial"/>
                <w:b/>
                <w:bCs/>
                <w:sz w:val="21"/>
                <w:szCs w:val="21"/>
              </w:rPr>
              <w:t>3</w:t>
            </w:r>
          </w:p>
          <w:p w:rsidR="00186385" w:rsidRPr="002F17B5" w:rsidRDefault="00DE3756" w:rsidP="004B0016">
            <w:pPr>
              <w:jc w:val="center"/>
              <w:rPr>
                <w:rFonts w:cs="Arial"/>
                <w:b/>
                <w:bCs/>
                <w:sz w:val="21"/>
                <w:szCs w:val="21"/>
              </w:rPr>
            </w:pPr>
            <w:r>
              <w:rPr>
                <w:rFonts w:cs="Arial"/>
                <w:b/>
                <w:bCs/>
                <w:sz w:val="21"/>
                <w:szCs w:val="21"/>
              </w:rPr>
              <w:t>Restated</w:t>
            </w:r>
          </w:p>
        </w:tc>
        <w:tc>
          <w:tcPr>
            <w:tcW w:w="1134" w:type="dxa"/>
            <w:shd w:val="clear" w:color="auto" w:fill="FFFFFF" w:themeFill="background1"/>
            <w:vAlign w:val="center"/>
            <w:hideMark/>
          </w:tcPr>
          <w:p w:rsidR="004B0016" w:rsidRPr="002F17B5" w:rsidRDefault="00DE3756" w:rsidP="004B0016">
            <w:pPr>
              <w:jc w:val="center"/>
              <w:rPr>
                <w:rFonts w:cs="Arial"/>
                <w:b/>
                <w:bCs/>
                <w:sz w:val="21"/>
                <w:szCs w:val="21"/>
              </w:rPr>
            </w:pPr>
            <w:r>
              <w:rPr>
                <w:rFonts w:cs="Arial"/>
                <w:b/>
                <w:bCs/>
                <w:sz w:val="21"/>
                <w:szCs w:val="21"/>
              </w:rPr>
              <w:t xml:space="preserve"> </w:t>
            </w:r>
            <w:r w:rsidR="005D3E0E" w:rsidRPr="002F17B5">
              <w:rPr>
                <w:rFonts w:cs="Arial"/>
                <w:b/>
                <w:bCs/>
                <w:sz w:val="21"/>
                <w:szCs w:val="21"/>
              </w:rPr>
              <w:t>201</w:t>
            </w:r>
            <w:r w:rsidR="002B39DE" w:rsidRPr="002F17B5">
              <w:rPr>
                <w:rFonts w:cs="Arial"/>
                <w:b/>
                <w:bCs/>
                <w:sz w:val="21"/>
                <w:szCs w:val="21"/>
              </w:rPr>
              <w:t>3</w:t>
            </w:r>
            <w:r w:rsidR="005D3E0E" w:rsidRPr="002F17B5">
              <w:rPr>
                <w:rFonts w:cs="Arial"/>
                <w:b/>
                <w:bCs/>
                <w:sz w:val="21"/>
                <w:szCs w:val="21"/>
              </w:rPr>
              <w:t>/1</w:t>
            </w:r>
            <w:r w:rsidR="002B39DE" w:rsidRPr="002F17B5">
              <w:rPr>
                <w:rFonts w:cs="Arial"/>
                <w:b/>
                <w:bCs/>
                <w:sz w:val="21"/>
                <w:szCs w:val="21"/>
              </w:rPr>
              <w:t>4</w:t>
            </w:r>
          </w:p>
          <w:p w:rsidR="00186385" w:rsidRPr="002F17B5" w:rsidRDefault="00186385" w:rsidP="004B0016">
            <w:pPr>
              <w:jc w:val="center"/>
              <w:rPr>
                <w:rFonts w:cs="Arial"/>
                <w:b/>
                <w:bCs/>
                <w:sz w:val="21"/>
                <w:szCs w:val="21"/>
              </w:rPr>
            </w:pPr>
          </w:p>
        </w:tc>
        <w:tc>
          <w:tcPr>
            <w:tcW w:w="1276" w:type="dxa"/>
            <w:shd w:val="clear" w:color="auto" w:fill="FFFFFF" w:themeFill="background1"/>
            <w:vAlign w:val="center"/>
            <w:hideMark/>
          </w:tcPr>
          <w:p w:rsidR="004B0016" w:rsidRPr="002F17B5" w:rsidRDefault="00DE3756" w:rsidP="004B0016">
            <w:pPr>
              <w:jc w:val="center"/>
              <w:rPr>
                <w:rFonts w:cs="Arial"/>
                <w:b/>
                <w:bCs/>
                <w:sz w:val="21"/>
                <w:szCs w:val="21"/>
              </w:rPr>
            </w:pPr>
            <w:r>
              <w:rPr>
                <w:rFonts w:cs="Arial"/>
                <w:b/>
                <w:bCs/>
                <w:sz w:val="21"/>
                <w:szCs w:val="21"/>
              </w:rPr>
              <w:t xml:space="preserve"> </w:t>
            </w:r>
            <w:r w:rsidR="005D3E0E" w:rsidRPr="002F17B5">
              <w:rPr>
                <w:rFonts w:cs="Arial"/>
                <w:b/>
                <w:bCs/>
                <w:sz w:val="21"/>
                <w:szCs w:val="21"/>
              </w:rPr>
              <w:t>201</w:t>
            </w:r>
            <w:r w:rsidR="002B39DE" w:rsidRPr="002F17B5">
              <w:rPr>
                <w:rFonts w:cs="Arial"/>
                <w:b/>
                <w:bCs/>
                <w:sz w:val="21"/>
                <w:szCs w:val="21"/>
              </w:rPr>
              <w:t>2</w:t>
            </w:r>
            <w:r w:rsidR="005D3E0E" w:rsidRPr="002F17B5">
              <w:rPr>
                <w:rFonts w:cs="Arial"/>
                <w:b/>
                <w:bCs/>
                <w:sz w:val="21"/>
                <w:szCs w:val="21"/>
              </w:rPr>
              <w:t>/1</w:t>
            </w:r>
            <w:r w:rsidR="002B39DE" w:rsidRPr="002F17B5">
              <w:rPr>
                <w:rFonts w:cs="Arial"/>
                <w:b/>
                <w:bCs/>
                <w:sz w:val="21"/>
                <w:szCs w:val="21"/>
              </w:rPr>
              <w:t>3</w:t>
            </w:r>
          </w:p>
          <w:p w:rsidR="001D73DF" w:rsidRPr="002F17B5" w:rsidRDefault="00DE3756">
            <w:pPr>
              <w:rPr>
                <w:rFonts w:cs="Arial"/>
                <w:b/>
                <w:bCs/>
                <w:sz w:val="21"/>
                <w:szCs w:val="21"/>
              </w:rPr>
            </w:pPr>
            <w:r>
              <w:rPr>
                <w:rFonts w:cs="Arial"/>
                <w:b/>
                <w:bCs/>
                <w:sz w:val="21"/>
                <w:szCs w:val="21"/>
              </w:rPr>
              <w:t xml:space="preserve"> </w:t>
            </w:r>
            <w:r w:rsidR="002B39DE" w:rsidRPr="002F17B5">
              <w:rPr>
                <w:rFonts w:cs="Arial"/>
                <w:b/>
                <w:bCs/>
                <w:sz w:val="21"/>
                <w:szCs w:val="21"/>
              </w:rPr>
              <w:t>Restated*</w:t>
            </w:r>
          </w:p>
        </w:tc>
        <w:tc>
          <w:tcPr>
            <w:tcW w:w="1134" w:type="dxa"/>
            <w:shd w:val="clear" w:color="auto" w:fill="FFFFFF" w:themeFill="background1"/>
            <w:hideMark/>
          </w:tcPr>
          <w:p w:rsidR="004B0016" w:rsidRPr="002F17B5" w:rsidRDefault="00DE3756" w:rsidP="002B39DE">
            <w:pPr>
              <w:jc w:val="center"/>
              <w:rPr>
                <w:rFonts w:cs="Arial"/>
                <w:b/>
                <w:bCs/>
                <w:sz w:val="21"/>
                <w:szCs w:val="21"/>
              </w:rPr>
            </w:pPr>
            <w:r>
              <w:rPr>
                <w:rFonts w:cs="Arial"/>
                <w:b/>
                <w:bCs/>
                <w:sz w:val="21"/>
                <w:szCs w:val="21"/>
              </w:rPr>
              <w:t xml:space="preserve"> </w:t>
            </w:r>
            <w:r w:rsidR="005D3E0E" w:rsidRPr="002F17B5">
              <w:rPr>
                <w:rFonts w:cs="Arial"/>
                <w:b/>
                <w:bCs/>
                <w:sz w:val="21"/>
                <w:szCs w:val="21"/>
              </w:rPr>
              <w:t>201</w:t>
            </w:r>
            <w:r w:rsidR="002B39DE" w:rsidRPr="002F17B5">
              <w:rPr>
                <w:rFonts w:cs="Arial"/>
                <w:b/>
                <w:bCs/>
                <w:sz w:val="21"/>
                <w:szCs w:val="21"/>
              </w:rPr>
              <w:t>3</w:t>
            </w:r>
            <w:r w:rsidR="005D3E0E" w:rsidRPr="002F17B5">
              <w:rPr>
                <w:rFonts w:cs="Arial"/>
                <w:b/>
                <w:bCs/>
                <w:sz w:val="21"/>
                <w:szCs w:val="21"/>
              </w:rPr>
              <w:t>/1</w:t>
            </w:r>
            <w:r w:rsidR="002B39DE" w:rsidRPr="002F17B5">
              <w:rPr>
                <w:rFonts w:cs="Arial"/>
                <w:b/>
                <w:bCs/>
                <w:sz w:val="21"/>
                <w:szCs w:val="21"/>
              </w:rPr>
              <w:t>4</w:t>
            </w:r>
            <w:r w:rsidR="00186385" w:rsidRPr="002F17B5">
              <w:rPr>
                <w:rFonts w:cs="Arial"/>
                <w:b/>
                <w:bCs/>
                <w:sz w:val="21"/>
                <w:szCs w:val="21"/>
              </w:rPr>
              <w:t xml:space="preserve"> </w:t>
            </w:r>
          </w:p>
        </w:tc>
        <w:tc>
          <w:tcPr>
            <w:tcW w:w="1275" w:type="dxa"/>
            <w:shd w:val="clear" w:color="auto" w:fill="FFFFFF" w:themeFill="background1"/>
            <w:vAlign w:val="center"/>
            <w:hideMark/>
          </w:tcPr>
          <w:p w:rsidR="004B0016" w:rsidRPr="002F17B5" w:rsidRDefault="00DE3756" w:rsidP="004B0016">
            <w:pPr>
              <w:jc w:val="center"/>
              <w:rPr>
                <w:rFonts w:cs="Arial"/>
                <w:b/>
                <w:bCs/>
                <w:sz w:val="21"/>
                <w:szCs w:val="21"/>
              </w:rPr>
            </w:pPr>
            <w:r>
              <w:rPr>
                <w:rFonts w:cs="Arial"/>
                <w:b/>
                <w:bCs/>
                <w:sz w:val="21"/>
                <w:szCs w:val="21"/>
              </w:rPr>
              <w:t xml:space="preserve"> </w:t>
            </w:r>
            <w:r w:rsidR="005D3E0E" w:rsidRPr="002F17B5">
              <w:rPr>
                <w:rFonts w:cs="Arial"/>
                <w:b/>
                <w:bCs/>
                <w:sz w:val="21"/>
                <w:szCs w:val="21"/>
              </w:rPr>
              <w:t>201</w:t>
            </w:r>
            <w:r w:rsidR="002B39DE" w:rsidRPr="002F17B5">
              <w:rPr>
                <w:rFonts w:cs="Arial"/>
                <w:b/>
                <w:bCs/>
                <w:sz w:val="21"/>
                <w:szCs w:val="21"/>
              </w:rPr>
              <w:t>2</w:t>
            </w:r>
            <w:r w:rsidR="005D3E0E" w:rsidRPr="002F17B5">
              <w:rPr>
                <w:rFonts w:cs="Arial"/>
                <w:b/>
                <w:bCs/>
                <w:sz w:val="21"/>
                <w:szCs w:val="21"/>
              </w:rPr>
              <w:t>/1</w:t>
            </w:r>
            <w:r w:rsidR="002B39DE" w:rsidRPr="002F17B5">
              <w:rPr>
                <w:rFonts w:cs="Arial"/>
                <w:b/>
                <w:bCs/>
                <w:sz w:val="21"/>
                <w:szCs w:val="21"/>
              </w:rPr>
              <w:t>3</w:t>
            </w:r>
          </w:p>
          <w:p w:rsidR="00186385" w:rsidRPr="002F17B5" w:rsidRDefault="00DE3756" w:rsidP="004B0016">
            <w:pPr>
              <w:jc w:val="center"/>
              <w:rPr>
                <w:rFonts w:cs="Arial"/>
                <w:b/>
                <w:bCs/>
                <w:sz w:val="21"/>
                <w:szCs w:val="21"/>
              </w:rPr>
            </w:pPr>
            <w:r>
              <w:rPr>
                <w:rFonts w:cs="Arial"/>
                <w:b/>
                <w:bCs/>
                <w:sz w:val="21"/>
                <w:szCs w:val="21"/>
              </w:rPr>
              <w:t xml:space="preserve"> </w:t>
            </w:r>
            <w:r w:rsidR="002B39DE" w:rsidRPr="002F17B5">
              <w:rPr>
                <w:rFonts w:cs="Arial"/>
                <w:b/>
                <w:bCs/>
                <w:sz w:val="21"/>
                <w:szCs w:val="21"/>
              </w:rPr>
              <w:t>Restated*</w:t>
            </w:r>
          </w:p>
        </w:tc>
        <w:tc>
          <w:tcPr>
            <w:tcW w:w="993" w:type="dxa"/>
            <w:shd w:val="clear" w:color="auto" w:fill="FFFFFF" w:themeFill="background1"/>
            <w:vAlign w:val="center"/>
            <w:hideMark/>
          </w:tcPr>
          <w:p w:rsidR="004B0016" w:rsidRPr="002F17B5" w:rsidRDefault="005D3E0E" w:rsidP="004B0016">
            <w:pPr>
              <w:jc w:val="center"/>
              <w:rPr>
                <w:rFonts w:cs="Arial"/>
                <w:b/>
                <w:bCs/>
                <w:sz w:val="21"/>
                <w:szCs w:val="21"/>
              </w:rPr>
            </w:pPr>
            <w:r w:rsidRPr="002F17B5">
              <w:rPr>
                <w:rFonts w:cs="Arial"/>
                <w:b/>
                <w:bCs/>
                <w:sz w:val="21"/>
                <w:szCs w:val="21"/>
              </w:rPr>
              <w:t>201</w:t>
            </w:r>
            <w:r w:rsidR="002B39DE" w:rsidRPr="002F17B5">
              <w:rPr>
                <w:rFonts w:cs="Arial"/>
                <w:b/>
                <w:bCs/>
                <w:sz w:val="21"/>
                <w:szCs w:val="21"/>
              </w:rPr>
              <w:t>3</w:t>
            </w:r>
            <w:r w:rsidRPr="002F17B5">
              <w:rPr>
                <w:rFonts w:cs="Arial"/>
                <w:b/>
                <w:bCs/>
                <w:sz w:val="21"/>
                <w:szCs w:val="21"/>
              </w:rPr>
              <w:t>/1</w:t>
            </w:r>
            <w:r w:rsidR="002B39DE" w:rsidRPr="002F17B5">
              <w:rPr>
                <w:rFonts w:cs="Arial"/>
                <w:b/>
                <w:bCs/>
                <w:sz w:val="21"/>
                <w:szCs w:val="21"/>
              </w:rPr>
              <w:t>4</w:t>
            </w:r>
          </w:p>
          <w:p w:rsidR="00186385" w:rsidRPr="002F17B5" w:rsidRDefault="00186385" w:rsidP="004B0016">
            <w:pPr>
              <w:jc w:val="center"/>
              <w:rPr>
                <w:rFonts w:cs="Arial"/>
                <w:b/>
                <w:bCs/>
                <w:sz w:val="21"/>
                <w:szCs w:val="21"/>
              </w:rPr>
            </w:pPr>
          </w:p>
        </w:tc>
        <w:tc>
          <w:tcPr>
            <w:tcW w:w="1275" w:type="dxa"/>
            <w:shd w:val="clear" w:color="auto" w:fill="FFFFFF" w:themeFill="background1"/>
            <w:vAlign w:val="center"/>
            <w:hideMark/>
          </w:tcPr>
          <w:p w:rsidR="002B39DE" w:rsidRPr="002F17B5" w:rsidRDefault="00DE3756" w:rsidP="002B39DE">
            <w:pPr>
              <w:jc w:val="center"/>
              <w:rPr>
                <w:rFonts w:cs="Arial"/>
                <w:b/>
                <w:bCs/>
                <w:sz w:val="21"/>
                <w:szCs w:val="21"/>
              </w:rPr>
            </w:pPr>
            <w:r>
              <w:rPr>
                <w:rFonts w:cs="Arial"/>
                <w:b/>
                <w:bCs/>
                <w:sz w:val="21"/>
                <w:szCs w:val="21"/>
              </w:rPr>
              <w:t xml:space="preserve"> </w:t>
            </w:r>
            <w:r w:rsidR="002B39DE" w:rsidRPr="002F17B5">
              <w:rPr>
                <w:rFonts w:cs="Arial"/>
                <w:b/>
                <w:bCs/>
                <w:sz w:val="21"/>
                <w:szCs w:val="21"/>
              </w:rPr>
              <w:t>2012/13</w:t>
            </w:r>
          </w:p>
          <w:p w:rsidR="00186385" w:rsidRPr="002F17B5" w:rsidRDefault="00DE3756" w:rsidP="002B39DE">
            <w:pPr>
              <w:jc w:val="center"/>
              <w:rPr>
                <w:rFonts w:cs="Arial"/>
                <w:b/>
                <w:bCs/>
                <w:sz w:val="21"/>
                <w:szCs w:val="21"/>
              </w:rPr>
            </w:pPr>
            <w:r>
              <w:rPr>
                <w:rFonts w:cs="Arial"/>
                <w:b/>
                <w:bCs/>
                <w:sz w:val="21"/>
                <w:szCs w:val="21"/>
              </w:rPr>
              <w:t xml:space="preserve"> </w:t>
            </w:r>
            <w:r w:rsidR="002B39DE" w:rsidRPr="002F17B5">
              <w:rPr>
                <w:rFonts w:cs="Arial"/>
                <w:b/>
                <w:bCs/>
                <w:sz w:val="21"/>
                <w:szCs w:val="21"/>
              </w:rPr>
              <w:t>Restated*</w:t>
            </w:r>
          </w:p>
        </w:tc>
      </w:tr>
      <w:tr w:rsidR="00D01330" w:rsidRPr="002F17B5" w:rsidTr="005A2725">
        <w:trPr>
          <w:trHeight w:val="298"/>
        </w:trPr>
        <w:tc>
          <w:tcPr>
            <w:tcW w:w="1668" w:type="dxa"/>
            <w:shd w:val="clear" w:color="auto" w:fill="FFFFFF" w:themeFill="background1"/>
            <w:hideMark/>
          </w:tcPr>
          <w:p w:rsidR="004B0016" w:rsidRPr="002F17B5" w:rsidRDefault="004B0016" w:rsidP="004B0016">
            <w:pPr>
              <w:rPr>
                <w:rFonts w:cs="Arial"/>
              </w:rPr>
            </w:pPr>
          </w:p>
        </w:tc>
        <w:tc>
          <w:tcPr>
            <w:tcW w:w="992" w:type="dxa"/>
            <w:gridSpan w:val="2"/>
            <w:shd w:val="clear" w:color="auto" w:fill="FFFFFF" w:themeFill="background1"/>
            <w:hideMark/>
          </w:tcPr>
          <w:p w:rsidR="004B0016" w:rsidRPr="002F17B5" w:rsidRDefault="005D3E0E" w:rsidP="004B0016">
            <w:pPr>
              <w:jc w:val="right"/>
              <w:rPr>
                <w:rFonts w:cs="Arial"/>
                <w:b/>
                <w:bCs/>
                <w:sz w:val="22"/>
                <w:szCs w:val="22"/>
              </w:rPr>
            </w:pPr>
            <w:r w:rsidRPr="002F17B5">
              <w:rPr>
                <w:rFonts w:cs="Arial"/>
                <w:b/>
                <w:bCs/>
                <w:sz w:val="22"/>
                <w:szCs w:val="22"/>
              </w:rPr>
              <w:t> </w:t>
            </w:r>
          </w:p>
        </w:tc>
        <w:tc>
          <w:tcPr>
            <w:tcW w:w="1134" w:type="dxa"/>
            <w:shd w:val="clear" w:color="auto" w:fill="FFFFFF" w:themeFill="background1"/>
            <w:hideMark/>
          </w:tcPr>
          <w:p w:rsidR="004B0016" w:rsidRPr="002F17B5" w:rsidRDefault="005D3E0E" w:rsidP="004B0016">
            <w:pPr>
              <w:jc w:val="right"/>
              <w:rPr>
                <w:rFonts w:cs="Arial"/>
                <w:b/>
                <w:bCs/>
                <w:sz w:val="22"/>
                <w:szCs w:val="22"/>
              </w:rPr>
            </w:pPr>
            <w:r w:rsidRPr="002F17B5">
              <w:rPr>
                <w:rFonts w:cs="Arial"/>
                <w:b/>
                <w:bCs/>
                <w:sz w:val="22"/>
                <w:szCs w:val="22"/>
              </w:rPr>
              <w:t> </w:t>
            </w:r>
          </w:p>
        </w:tc>
        <w:tc>
          <w:tcPr>
            <w:tcW w:w="1134" w:type="dxa"/>
            <w:shd w:val="clear" w:color="auto" w:fill="FFFFFF" w:themeFill="background1"/>
            <w:hideMark/>
          </w:tcPr>
          <w:p w:rsidR="004B0016" w:rsidRPr="002F17B5" w:rsidRDefault="005D3E0E" w:rsidP="004B0016">
            <w:pPr>
              <w:jc w:val="right"/>
              <w:rPr>
                <w:rFonts w:cs="Arial"/>
                <w:b/>
                <w:bCs/>
                <w:sz w:val="22"/>
                <w:szCs w:val="22"/>
              </w:rPr>
            </w:pPr>
            <w:r w:rsidRPr="002F17B5">
              <w:rPr>
                <w:rFonts w:cs="Arial"/>
                <w:b/>
                <w:bCs/>
                <w:sz w:val="22"/>
                <w:szCs w:val="22"/>
              </w:rPr>
              <w:t> </w:t>
            </w:r>
          </w:p>
        </w:tc>
        <w:tc>
          <w:tcPr>
            <w:tcW w:w="1276" w:type="dxa"/>
            <w:shd w:val="clear" w:color="auto" w:fill="FFFFFF" w:themeFill="background1"/>
            <w:hideMark/>
          </w:tcPr>
          <w:p w:rsidR="004B0016" w:rsidRPr="002F17B5" w:rsidRDefault="005D3E0E" w:rsidP="004B0016">
            <w:pPr>
              <w:jc w:val="right"/>
              <w:rPr>
                <w:rFonts w:cs="Arial"/>
                <w:b/>
                <w:bCs/>
                <w:sz w:val="22"/>
                <w:szCs w:val="22"/>
              </w:rPr>
            </w:pPr>
            <w:r w:rsidRPr="002F17B5">
              <w:rPr>
                <w:rFonts w:cs="Arial"/>
                <w:b/>
                <w:bCs/>
                <w:sz w:val="22"/>
                <w:szCs w:val="22"/>
              </w:rPr>
              <w:t> </w:t>
            </w:r>
          </w:p>
        </w:tc>
        <w:tc>
          <w:tcPr>
            <w:tcW w:w="1134" w:type="dxa"/>
            <w:shd w:val="clear" w:color="auto" w:fill="FFFFFF" w:themeFill="background1"/>
            <w:hideMark/>
          </w:tcPr>
          <w:p w:rsidR="004B0016" w:rsidRPr="002F17B5" w:rsidRDefault="005D3E0E" w:rsidP="004B0016">
            <w:pPr>
              <w:jc w:val="right"/>
              <w:rPr>
                <w:rFonts w:cs="Arial"/>
                <w:b/>
                <w:bCs/>
                <w:sz w:val="22"/>
                <w:szCs w:val="22"/>
              </w:rPr>
            </w:pPr>
            <w:r w:rsidRPr="002F17B5">
              <w:rPr>
                <w:rFonts w:cs="Arial"/>
                <w:b/>
                <w:bCs/>
                <w:sz w:val="22"/>
                <w:szCs w:val="22"/>
              </w:rPr>
              <w:t> </w:t>
            </w:r>
          </w:p>
        </w:tc>
        <w:tc>
          <w:tcPr>
            <w:tcW w:w="1275" w:type="dxa"/>
            <w:shd w:val="clear" w:color="auto" w:fill="FFFFFF" w:themeFill="background1"/>
            <w:hideMark/>
          </w:tcPr>
          <w:p w:rsidR="004B0016" w:rsidRPr="002F17B5" w:rsidRDefault="005D3E0E" w:rsidP="004B0016">
            <w:pPr>
              <w:jc w:val="right"/>
              <w:rPr>
                <w:rFonts w:cs="Arial"/>
                <w:b/>
                <w:bCs/>
                <w:sz w:val="22"/>
                <w:szCs w:val="22"/>
              </w:rPr>
            </w:pPr>
            <w:r w:rsidRPr="002F17B5">
              <w:rPr>
                <w:rFonts w:cs="Arial"/>
                <w:b/>
                <w:bCs/>
                <w:sz w:val="22"/>
                <w:szCs w:val="22"/>
              </w:rPr>
              <w:t> </w:t>
            </w:r>
          </w:p>
        </w:tc>
        <w:tc>
          <w:tcPr>
            <w:tcW w:w="993" w:type="dxa"/>
            <w:shd w:val="clear" w:color="auto" w:fill="FFFFFF" w:themeFill="background1"/>
            <w:vAlign w:val="center"/>
            <w:hideMark/>
          </w:tcPr>
          <w:p w:rsidR="004B0016" w:rsidRPr="002F17B5" w:rsidRDefault="005D3E0E" w:rsidP="004B0016">
            <w:pPr>
              <w:jc w:val="center"/>
              <w:rPr>
                <w:rFonts w:cs="Arial"/>
                <w:b/>
                <w:bCs/>
                <w:sz w:val="22"/>
                <w:szCs w:val="22"/>
              </w:rPr>
            </w:pPr>
            <w:r w:rsidRPr="002F17B5">
              <w:rPr>
                <w:rFonts w:cs="Arial"/>
                <w:b/>
                <w:bCs/>
                <w:sz w:val="22"/>
                <w:szCs w:val="22"/>
              </w:rPr>
              <w:t>£000</w:t>
            </w:r>
          </w:p>
        </w:tc>
        <w:tc>
          <w:tcPr>
            <w:tcW w:w="1275" w:type="dxa"/>
            <w:shd w:val="clear" w:color="auto" w:fill="FFFFFF" w:themeFill="background1"/>
            <w:vAlign w:val="center"/>
            <w:hideMark/>
          </w:tcPr>
          <w:p w:rsidR="004B0016" w:rsidRPr="002F17B5" w:rsidRDefault="005D3E0E" w:rsidP="004B0016">
            <w:pPr>
              <w:jc w:val="center"/>
              <w:rPr>
                <w:rFonts w:cs="Arial"/>
                <w:b/>
                <w:bCs/>
                <w:sz w:val="22"/>
                <w:szCs w:val="22"/>
              </w:rPr>
            </w:pPr>
            <w:r w:rsidRPr="002F17B5">
              <w:rPr>
                <w:rFonts w:cs="Arial"/>
                <w:b/>
                <w:bCs/>
                <w:sz w:val="22"/>
                <w:szCs w:val="22"/>
              </w:rPr>
              <w:t>£000</w:t>
            </w:r>
          </w:p>
        </w:tc>
      </w:tr>
      <w:tr w:rsidR="00D01330" w:rsidRPr="002F17B5" w:rsidTr="001602B7">
        <w:trPr>
          <w:trHeight w:val="300"/>
        </w:trPr>
        <w:tc>
          <w:tcPr>
            <w:tcW w:w="1668" w:type="dxa"/>
            <w:shd w:val="clear" w:color="auto" w:fill="FFFFFF" w:themeFill="background1"/>
            <w:hideMark/>
          </w:tcPr>
          <w:p w:rsidR="009376DC" w:rsidRPr="002F17B5" w:rsidRDefault="002B39DE" w:rsidP="005A2725">
            <w:pPr>
              <w:spacing w:after="100"/>
              <w:jc w:val="left"/>
              <w:rPr>
                <w:rFonts w:cs="Arial"/>
                <w:sz w:val="23"/>
                <w:szCs w:val="23"/>
              </w:rPr>
            </w:pPr>
            <w:r w:rsidRPr="002F17B5">
              <w:rPr>
                <w:rFonts w:cs="Arial"/>
                <w:sz w:val="23"/>
                <w:szCs w:val="23"/>
              </w:rPr>
              <w:t xml:space="preserve">£0 </w:t>
            </w:r>
            <w:r w:rsidR="009376DC" w:rsidRPr="002F17B5">
              <w:rPr>
                <w:rFonts w:cs="Arial"/>
                <w:sz w:val="23"/>
                <w:szCs w:val="23"/>
              </w:rPr>
              <w:t>–</w:t>
            </w:r>
            <w:r w:rsidRPr="002F17B5">
              <w:rPr>
                <w:rFonts w:cs="Arial"/>
                <w:sz w:val="23"/>
                <w:szCs w:val="23"/>
              </w:rPr>
              <w:t xml:space="preserve"> </w:t>
            </w:r>
          </w:p>
          <w:p w:rsidR="002B39DE" w:rsidRPr="002F17B5" w:rsidRDefault="002B39DE" w:rsidP="005A2725">
            <w:pPr>
              <w:spacing w:after="100"/>
              <w:jc w:val="left"/>
              <w:rPr>
                <w:rFonts w:cs="Arial"/>
                <w:sz w:val="23"/>
                <w:szCs w:val="23"/>
              </w:rPr>
            </w:pPr>
            <w:r w:rsidRPr="002F17B5">
              <w:rPr>
                <w:rFonts w:cs="Arial"/>
                <w:sz w:val="23"/>
                <w:szCs w:val="23"/>
              </w:rPr>
              <w:t>£20,000</w:t>
            </w:r>
          </w:p>
        </w:tc>
        <w:tc>
          <w:tcPr>
            <w:tcW w:w="992" w:type="dxa"/>
            <w:gridSpan w:val="2"/>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11</w:t>
            </w:r>
          </w:p>
        </w:tc>
        <w:tc>
          <w:tcPr>
            <w:tcW w:w="1134" w:type="dxa"/>
            <w:shd w:val="clear" w:color="auto" w:fill="FFFFFF" w:themeFill="background1"/>
            <w:noWrap/>
            <w:vAlign w:val="bottom"/>
            <w:hideMark/>
          </w:tcPr>
          <w:p w:rsidR="002B39DE" w:rsidRPr="002F17B5" w:rsidRDefault="002B39DE" w:rsidP="005A2725">
            <w:pPr>
              <w:spacing w:after="100"/>
              <w:jc w:val="right"/>
              <w:rPr>
                <w:rFonts w:cs="Arial"/>
                <w:sz w:val="23"/>
                <w:szCs w:val="23"/>
              </w:rPr>
            </w:pPr>
            <w:r w:rsidRPr="002F17B5">
              <w:rPr>
                <w:rFonts w:cs="Arial"/>
                <w:sz w:val="23"/>
                <w:szCs w:val="23"/>
              </w:rPr>
              <w:t>5</w:t>
            </w:r>
          </w:p>
        </w:tc>
        <w:tc>
          <w:tcPr>
            <w:tcW w:w="1134" w:type="dxa"/>
            <w:shd w:val="clear" w:color="auto" w:fill="auto"/>
            <w:vAlign w:val="bottom"/>
            <w:hideMark/>
          </w:tcPr>
          <w:p w:rsidR="002B39DE" w:rsidRPr="002F17B5" w:rsidRDefault="002B39DE" w:rsidP="005A2725">
            <w:pPr>
              <w:spacing w:after="100"/>
              <w:jc w:val="right"/>
              <w:rPr>
                <w:rFonts w:cs="Arial"/>
                <w:sz w:val="23"/>
                <w:szCs w:val="23"/>
              </w:rPr>
            </w:pPr>
            <w:r w:rsidRPr="002F17B5">
              <w:rPr>
                <w:rFonts w:cs="Arial"/>
                <w:sz w:val="23"/>
                <w:szCs w:val="23"/>
              </w:rPr>
              <w:t>243</w:t>
            </w:r>
          </w:p>
        </w:tc>
        <w:tc>
          <w:tcPr>
            <w:tcW w:w="1276" w:type="dxa"/>
            <w:shd w:val="clear" w:color="auto" w:fill="FFFFFF" w:themeFill="background1"/>
            <w:noWrap/>
            <w:vAlign w:val="bottom"/>
            <w:hideMark/>
          </w:tcPr>
          <w:p w:rsidR="002B39DE" w:rsidRPr="002F17B5" w:rsidRDefault="001D2936" w:rsidP="00DE3756">
            <w:pPr>
              <w:spacing w:after="100"/>
              <w:jc w:val="right"/>
              <w:rPr>
                <w:rFonts w:cs="Arial"/>
                <w:sz w:val="23"/>
                <w:szCs w:val="23"/>
              </w:rPr>
            </w:pPr>
            <w:r>
              <w:rPr>
                <w:rFonts w:cs="Arial"/>
                <w:sz w:val="23"/>
                <w:szCs w:val="23"/>
              </w:rPr>
              <w:t>17</w:t>
            </w:r>
            <w:r w:rsidR="00DE3756">
              <w:rPr>
                <w:rFonts w:cs="Arial"/>
                <w:sz w:val="23"/>
                <w:szCs w:val="23"/>
              </w:rPr>
              <w:t>2</w:t>
            </w:r>
          </w:p>
        </w:tc>
        <w:tc>
          <w:tcPr>
            <w:tcW w:w="1134"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254</w:t>
            </w:r>
          </w:p>
        </w:tc>
        <w:tc>
          <w:tcPr>
            <w:tcW w:w="1275" w:type="dxa"/>
            <w:shd w:val="clear" w:color="auto" w:fill="FFFFFF" w:themeFill="background1"/>
            <w:vAlign w:val="bottom"/>
            <w:hideMark/>
          </w:tcPr>
          <w:p w:rsidR="002B39DE" w:rsidRPr="002F17B5" w:rsidRDefault="001D2936" w:rsidP="005A2725">
            <w:pPr>
              <w:spacing w:after="100"/>
              <w:jc w:val="right"/>
              <w:rPr>
                <w:rFonts w:cs="Arial"/>
                <w:sz w:val="23"/>
                <w:szCs w:val="23"/>
              </w:rPr>
            </w:pPr>
            <w:r>
              <w:rPr>
                <w:rFonts w:cs="Arial"/>
                <w:sz w:val="23"/>
                <w:szCs w:val="23"/>
              </w:rPr>
              <w:t>176</w:t>
            </w:r>
          </w:p>
        </w:tc>
        <w:tc>
          <w:tcPr>
            <w:tcW w:w="993"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1,930</w:t>
            </w:r>
          </w:p>
        </w:tc>
        <w:tc>
          <w:tcPr>
            <w:tcW w:w="1275" w:type="dxa"/>
            <w:shd w:val="clear" w:color="auto" w:fill="FFFFFF" w:themeFill="background1"/>
            <w:vAlign w:val="bottom"/>
            <w:hideMark/>
          </w:tcPr>
          <w:p w:rsidR="002B39DE" w:rsidRPr="002F17B5" w:rsidRDefault="001D2936" w:rsidP="00DE3756">
            <w:pPr>
              <w:spacing w:after="100"/>
              <w:jc w:val="right"/>
              <w:rPr>
                <w:rFonts w:cs="Arial"/>
                <w:sz w:val="23"/>
                <w:szCs w:val="23"/>
              </w:rPr>
            </w:pPr>
            <w:r>
              <w:rPr>
                <w:rFonts w:cs="Arial"/>
                <w:sz w:val="23"/>
                <w:szCs w:val="23"/>
              </w:rPr>
              <w:t>1,1</w:t>
            </w:r>
            <w:r w:rsidR="00DE3756">
              <w:rPr>
                <w:rFonts w:cs="Arial"/>
                <w:sz w:val="23"/>
                <w:szCs w:val="23"/>
              </w:rPr>
              <w:t>40</w:t>
            </w:r>
          </w:p>
        </w:tc>
      </w:tr>
      <w:tr w:rsidR="00D01330" w:rsidRPr="002F17B5" w:rsidTr="001602B7">
        <w:trPr>
          <w:trHeight w:val="300"/>
        </w:trPr>
        <w:tc>
          <w:tcPr>
            <w:tcW w:w="1668" w:type="dxa"/>
            <w:shd w:val="clear" w:color="auto" w:fill="FFFFFF" w:themeFill="background1"/>
            <w:hideMark/>
          </w:tcPr>
          <w:p w:rsidR="002B39DE" w:rsidRPr="002F17B5" w:rsidRDefault="001602B7" w:rsidP="005A2725">
            <w:pPr>
              <w:spacing w:after="100"/>
              <w:jc w:val="left"/>
              <w:rPr>
                <w:rFonts w:cs="Arial"/>
                <w:sz w:val="23"/>
                <w:szCs w:val="23"/>
              </w:rPr>
            </w:pPr>
            <w:r w:rsidRPr="002F17B5">
              <w:rPr>
                <w:rFonts w:cs="Arial"/>
                <w:sz w:val="23"/>
                <w:szCs w:val="23"/>
              </w:rPr>
              <w:t>£20,001 -</w:t>
            </w:r>
            <w:r w:rsidR="002B39DE" w:rsidRPr="002F17B5">
              <w:rPr>
                <w:rFonts w:cs="Arial"/>
                <w:sz w:val="23"/>
                <w:szCs w:val="23"/>
              </w:rPr>
              <w:t xml:space="preserve"> £40,000</w:t>
            </w:r>
          </w:p>
        </w:tc>
        <w:tc>
          <w:tcPr>
            <w:tcW w:w="992" w:type="dxa"/>
            <w:gridSpan w:val="2"/>
            <w:shd w:val="clear" w:color="auto" w:fill="FFFFFF" w:themeFill="background1"/>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p>
        </w:tc>
        <w:tc>
          <w:tcPr>
            <w:tcW w:w="1134" w:type="dxa"/>
            <w:shd w:val="clear" w:color="auto" w:fill="FFFFFF" w:themeFill="background1"/>
            <w:noWrap/>
            <w:vAlign w:val="bottom"/>
            <w:hideMark/>
          </w:tcPr>
          <w:p w:rsidR="002B39DE" w:rsidRPr="002F17B5" w:rsidRDefault="00DE3756" w:rsidP="00162E26">
            <w:pPr>
              <w:spacing w:after="100"/>
              <w:jc w:val="right"/>
              <w:rPr>
                <w:rFonts w:cs="Arial"/>
                <w:sz w:val="23"/>
                <w:szCs w:val="23"/>
              </w:rPr>
            </w:pPr>
            <w:r>
              <w:rPr>
                <w:rFonts w:cs="Arial"/>
                <w:sz w:val="23"/>
                <w:szCs w:val="23"/>
              </w:rPr>
              <w:t>1</w:t>
            </w:r>
          </w:p>
        </w:tc>
        <w:tc>
          <w:tcPr>
            <w:tcW w:w="1134" w:type="dxa"/>
            <w:shd w:val="clear" w:color="auto" w:fill="auto"/>
            <w:vAlign w:val="bottom"/>
            <w:hideMark/>
          </w:tcPr>
          <w:p w:rsidR="002B39DE" w:rsidRPr="002F17B5" w:rsidRDefault="001D2936" w:rsidP="005A2725">
            <w:pPr>
              <w:spacing w:after="100"/>
              <w:jc w:val="right"/>
              <w:rPr>
                <w:rFonts w:cs="Arial"/>
                <w:sz w:val="23"/>
                <w:szCs w:val="23"/>
              </w:rPr>
            </w:pPr>
            <w:r>
              <w:rPr>
                <w:rFonts w:cs="Arial"/>
                <w:sz w:val="23"/>
                <w:szCs w:val="23"/>
              </w:rPr>
              <w:t>97</w:t>
            </w:r>
          </w:p>
        </w:tc>
        <w:tc>
          <w:tcPr>
            <w:tcW w:w="1276" w:type="dxa"/>
            <w:shd w:val="clear" w:color="auto" w:fill="FFFFFF" w:themeFill="background1"/>
            <w:noWrap/>
            <w:vAlign w:val="bottom"/>
            <w:hideMark/>
          </w:tcPr>
          <w:p w:rsidR="002B39DE" w:rsidRPr="002F17B5" w:rsidRDefault="002B39DE" w:rsidP="005A2725">
            <w:pPr>
              <w:spacing w:after="100"/>
              <w:jc w:val="right"/>
              <w:rPr>
                <w:rFonts w:cs="Arial"/>
                <w:sz w:val="23"/>
                <w:szCs w:val="23"/>
              </w:rPr>
            </w:pPr>
            <w:r w:rsidRPr="002F17B5">
              <w:rPr>
                <w:rFonts w:cs="Arial"/>
                <w:sz w:val="23"/>
                <w:szCs w:val="23"/>
              </w:rPr>
              <w:t>37</w:t>
            </w:r>
          </w:p>
        </w:tc>
        <w:tc>
          <w:tcPr>
            <w:tcW w:w="1134" w:type="dxa"/>
            <w:shd w:val="clear" w:color="auto" w:fill="FFFFFF" w:themeFill="background1"/>
            <w:vAlign w:val="bottom"/>
            <w:hideMark/>
          </w:tcPr>
          <w:p w:rsidR="002B39DE" w:rsidRPr="002F17B5" w:rsidRDefault="001D2936" w:rsidP="005A2725">
            <w:pPr>
              <w:spacing w:after="100"/>
              <w:jc w:val="right"/>
              <w:rPr>
                <w:rFonts w:cs="Arial"/>
                <w:sz w:val="23"/>
                <w:szCs w:val="23"/>
              </w:rPr>
            </w:pPr>
            <w:r>
              <w:rPr>
                <w:rFonts w:cs="Arial"/>
                <w:sz w:val="23"/>
                <w:szCs w:val="23"/>
              </w:rPr>
              <w:t>97</w:t>
            </w:r>
          </w:p>
        </w:tc>
        <w:tc>
          <w:tcPr>
            <w:tcW w:w="1275" w:type="dxa"/>
            <w:shd w:val="clear" w:color="auto" w:fill="FFFFFF" w:themeFill="background1"/>
            <w:vAlign w:val="bottom"/>
            <w:hideMark/>
          </w:tcPr>
          <w:p w:rsidR="002B39DE" w:rsidRPr="002F17B5" w:rsidRDefault="00DE3756" w:rsidP="005A2725">
            <w:pPr>
              <w:spacing w:after="100"/>
              <w:jc w:val="right"/>
              <w:rPr>
                <w:rFonts w:cs="Arial"/>
                <w:sz w:val="23"/>
                <w:szCs w:val="23"/>
              </w:rPr>
            </w:pPr>
            <w:r>
              <w:rPr>
                <w:rFonts w:cs="Arial"/>
                <w:sz w:val="23"/>
                <w:szCs w:val="23"/>
              </w:rPr>
              <w:t>38</w:t>
            </w:r>
          </w:p>
        </w:tc>
        <w:tc>
          <w:tcPr>
            <w:tcW w:w="993" w:type="dxa"/>
            <w:shd w:val="clear" w:color="auto" w:fill="FFFFFF" w:themeFill="background1"/>
            <w:vAlign w:val="bottom"/>
            <w:hideMark/>
          </w:tcPr>
          <w:p w:rsidR="002B39DE" w:rsidRPr="002F17B5" w:rsidRDefault="001D2936" w:rsidP="005A2725">
            <w:pPr>
              <w:spacing w:after="100"/>
              <w:jc w:val="right"/>
              <w:rPr>
                <w:rFonts w:cs="Arial"/>
                <w:sz w:val="23"/>
                <w:szCs w:val="23"/>
              </w:rPr>
            </w:pPr>
            <w:r>
              <w:rPr>
                <w:rFonts w:cs="Arial"/>
                <w:sz w:val="23"/>
                <w:szCs w:val="23"/>
              </w:rPr>
              <w:t>2,753</w:t>
            </w:r>
          </w:p>
        </w:tc>
        <w:tc>
          <w:tcPr>
            <w:tcW w:w="1275" w:type="dxa"/>
            <w:shd w:val="clear" w:color="auto" w:fill="FFFFFF" w:themeFill="background1"/>
            <w:vAlign w:val="bottom"/>
            <w:hideMark/>
          </w:tcPr>
          <w:p w:rsidR="002B39DE" w:rsidRPr="002F17B5" w:rsidRDefault="00DE3756" w:rsidP="005A2725">
            <w:pPr>
              <w:spacing w:after="100"/>
              <w:jc w:val="right"/>
              <w:rPr>
                <w:rFonts w:cs="Arial"/>
                <w:sz w:val="23"/>
                <w:szCs w:val="23"/>
              </w:rPr>
            </w:pPr>
            <w:r>
              <w:rPr>
                <w:rFonts w:cs="Arial"/>
                <w:sz w:val="23"/>
                <w:szCs w:val="23"/>
              </w:rPr>
              <w:t>1,048</w:t>
            </w:r>
          </w:p>
        </w:tc>
      </w:tr>
      <w:tr w:rsidR="00D01330" w:rsidRPr="002F17B5" w:rsidTr="001602B7">
        <w:trPr>
          <w:trHeight w:val="300"/>
        </w:trPr>
        <w:tc>
          <w:tcPr>
            <w:tcW w:w="1668" w:type="dxa"/>
            <w:shd w:val="clear" w:color="auto" w:fill="FFFFFF" w:themeFill="background1"/>
            <w:hideMark/>
          </w:tcPr>
          <w:p w:rsidR="002B39DE" w:rsidRPr="002F17B5" w:rsidRDefault="001602B7" w:rsidP="005A2725">
            <w:pPr>
              <w:spacing w:after="100"/>
              <w:jc w:val="left"/>
              <w:rPr>
                <w:rFonts w:cs="Arial"/>
                <w:sz w:val="23"/>
                <w:szCs w:val="23"/>
              </w:rPr>
            </w:pPr>
            <w:r w:rsidRPr="002F17B5">
              <w:rPr>
                <w:rFonts w:cs="Arial"/>
                <w:sz w:val="23"/>
                <w:szCs w:val="23"/>
              </w:rPr>
              <w:t>£40,001 -</w:t>
            </w:r>
            <w:r w:rsidR="002B39DE" w:rsidRPr="002F17B5">
              <w:rPr>
                <w:rFonts w:cs="Arial"/>
                <w:sz w:val="23"/>
                <w:szCs w:val="23"/>
              </w:rPr>
              <w:t xml:space="preserve"> £60,000</w:t>
            </w:r>
          </w:p>
        </w:tc>
        <w:tc>
          <w:tcPr>
            <w:tcW w:w="992" w:type="dxa"/>
            <w:gridSpan w:val="2"/>
            <w:shd w:val="clear" w:color="auto" w:fill="FFFFFF" w:themeFill="background1"/>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FFFFFF" w:themeFill="background1"/>
            <w:noWrap/>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auto"/>
            <w:vAlign w:val="bottom"/>
            <w:hideMark/>
          </w:tcPr>
          <w:p w:rsidR="002B39DE" w:rsidRPr="002F17B5" w:rsidRDefault="001D2936" w:rsidP="005A2725">
            <w:pPr>
              <w:spacing w:after="100"/>
              <w:jc w:val="right"/>
              <w:rPr>
                <w:rFonts w:cs="Arial"/>
                <w:sz w:val="23"/>
                <w:szCs w:val="23"/>
              </w:rPr>
            </w:pPr>
            <w:r>
              <w:rPr>
                <w:rFonts w:cs="Arial"/>
                <w:sz w:val="23"/>
                <w:szCs w:val="23"/>
              </w:rPr>
              <w:t>43</w:t>
            </w:r>
          </w:p>
        </w:tc>
        <w:tc>
          <w:tcPr>
            <w:tcW w:w="1276" w:type="dxa"/>
            <w:shd w:val="clear" w:color="auto" w:fill="FFFFFF" w:themeFill="background1"/>
            <w:noWrap/>
            <w:vAlign w:val="bottom"/>
            <w:hideMark/>
          </w:tcPr>
          <w:p w:rsidR="002B39DE" w:rsidRPr="002F17B5" w:rsidRDefault="002B39DE" w:rsidP="005A2725">
            <w:pPr>
              <w:spacing w:after="100"/>
              <w:jc w:val="right"/>
              <w:rPr>
                <w:rFonts w:cs="Arial"/>
                <w:sz w:val="23"/>
                <w:szCs w:val="23"/>
              </w:rPr>
            </w:pPr>
            <w:r w:rsidRPr="002F17B5">
              <w:rPr>
                <w:rFonts w:cs="Arial"/>
                <w:sz w:val="23"/>
                <w:szCs w:val="23"/>
              </w:rPr>
              <w:t>14</w:t>
            </w:r>
          </w:p>
        </w:tc>
        <w:tc>
          <w:tcPr>
            <w:tcW w:w="1134" w:type="dxa"/>
            <w:shd w:val="clear" w:color="auto" w:fill="FFFFFF" w:themeFill="background1"/>
            <w:vAlign w:val="bottom"/>
            <w:hideMark/>
          </w:tcPr>
          <w:p w:rsidR="002B39DE" w:rsidRPr="002F17B5" w:rsidRDefault="001D2936" w:rsidP="005A2725">
            <w:pPr>
              <w:spacing w:after="100"/>
              <w:jc w:val="right"/>
              <w:rPr>
                <w:rFonts w:cs="Arial"/>
                <w:sz w:val="23"/>
                <w:szCs w:val="23"/>
              </w:rPr>
            </w:pPr>
            <w:r>
              <w:rPr>
                <w:rFonts w:cs="Arial"/>
                <w:sz w:val="23"/>
                <w:szCs w:val="23"/>
              </w:rPr>
              <w:t>43</w:t>
            </w:r>
          </w:p>
        </w:tc>
        <w:tc>
          <w:tcPr>
            <w:tcW w:w="1275"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14</w:t>
            </w:r>
          </w:p>
        </w:tc>
        <w:tc>
          <w:tcPr>
            <w:tcW w:w="993" w:type="dxa"/>
            <w:shd w:val="clear" w:color="auto" w:fill="FFFFFF" w:themeFill="background1"/>
            <w:vAlign w:val="bottom"/>
            <w:hideMark/>
          </w:tcPr>
          <w:p w:rsidR="002B39DE" w:rsidRPr="002F17B5" w:rsidRDefault="001D2936" w:rsidP="005A2725">
            <w:pPr>
              <w:spacing w:after="100"/>
              <w:jc w:val="right"/>
              <w:rPr>
                <w:rFonts w:cs="Arial"/>
                <w:sz w:val="23"/>
                <w:szCs w:val="23"/>
              </w:rPr>
            </w:pPr>
            <w:r>
              <w:rPr>
                <w:rFonts w:cs="Arial"/>
                <w:sz w:val="23"/>
                <w:szCs w:val="23"/>
              </w:rPr>
              <w:t>2,060</w:t>
            </w:r>
          </w:p>
        </w:tc>
        <w:tc>
          <w:tcPr>
            <w:tcW w:w="1275"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660</w:t>
            </w:r>
          </w:p>
        </w:tc>
      </w:tr>
      <w:tr w:rsidR="00D01330" w:rsidRPr="002F17B5" w:rsidTr="001602B7">
        <w:trPr>
          <w:trHeight w:val="300"/>
        </w:trPr>
        <w:tc>
          <w:tcPr>
            <w:tcW w:w="1668" w:type="dxa"/>
            <w:shd w:val="clear" w:color="auto" w:fill="FFFFFF" w:themeFill="background1"/>
            <w:hideMark/>
          </w:tcPr>
          <w:p w:rsidR="002B39DE" w:rsidRPr="002F17B5" w:rsidRDefault="001602B7" w:rsidP="005A2725">
            <w:pPr>
              <w:spacing w:after="100"/>
              <w:jc w:val="left"/>
              <w:rPr>
                <w:rFonts w:cs="Arial"/>
                <w:sz w:val="23"/>
                <w:szCs w:val="23"/>
              </w:rPr>
            </w:pPr>
            <w:r w:rsidRPr="002F17B5">
              <w:rPr>
                <w:rFonts w:cs="Arial"/>
                <w:sz w:val="23"/>
                <w:szCs w:val="23"/>
              </w:rPr>
              <w:t>£60,001 -</w:t>
            </w:r>
            <w:r w:rsidR="002B39DE" w:rsidRPr="002F17B5">
              <w:rPr>
                <w:rFonts w:cs="Arial"/>
                <w:sz w:val="23"/>
                <w:szCs w:val="23"/>
              </w:rPr>
              <w:t xml:space="preserve"> £80,000</w:t>
            </w:r>
          </w:p>
        </w:tc>
        <w:tc>
          <w:tcPr>
            <w:tcW w:w="992" w:type="dxa"/>
            <w:gridSpan w:val="2"/>
            <w:shd w:val="clear" w:color="auto" w:fill="FFFFFF" w:themeFill="background1"/>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FFFFFF" w:themeFill="background1"/>
            <w:noWrap/>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auto"/>
            <w:vAlign w:val="bottom"/>
            <w:hideMark/>
          </w:tcPr>
          <w:p w:rsidR="002B39DE" w:rsidRPr="002F17B5" w:rsidRDefault="002B39DE" w:rsidP="005A2725">
            <w:pPr>
              <w:spacing w:after="100"/>
              <w:jc w:val="right"/>
              <w:rPr>
                <w:rFonts w:cs="Arial"/>
                <w:sz w:val="23"/>
                <w:szCs w:val="23"/>
              </w:rPr>
            </w:pPr>
            <w:r w:rsidRPr="002F17B5">
              <w:rPr>
                <w:rFonts w:cs="Arial"/>
                <w:sz w:val="23"/>
                <w:szCs w:val="23"/>
              </w:rPr>
              <w:t>9</w:t>
            </w:r>
          </w:p>
        </w:tc>
        <w:tc>
          <w:tcPr>
            <w:tcW w:w="1276" w:type="dxa"/>
            <w:shd w:val="clear" w:color="auto" w:fill="FFFFFF" w:themeFill="background1"/>
            <w:noWrap/>
            <w:vAlign w:val="bottom"/>
            <w:hideMark/>
          </w:tcPr>
          <w:p w:rsidR="002B39DE" w:rsidRPr="002F17B5" w:rsidRDefault="002B39DE" w:rsidP="005A2725">
            <w:pPr>
              <w:spacing w:after="100"/>
              <w:jc w:val="right"/>
              <w:rPr>
                <w:rFonts w:cs="Arial"/>
                <w:sz w:val="23"/>
                <w:szCs w:val="23"/>
              </w:rPr>
            </w:pPr>
            <w:r w:rsidRPr="002F17B5">
              <w:rPr>
                <w:rFonts w:cs="Arial"/>
                <w:sz w:val="23"/>
                <w:szCs w:val="23"/>
              </w:rPr>
              <w:t>3</w:t>
            </w:r>
          </w:p>
        </w:tc>
        <w:tc>
          <w:tcPr>
            <w:tcW w:w="1134"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9</w:t>
            </w:r>
          </w:p>
        </w:tc>
        <w:tc>
          <w:tcPr>
            <w:tcW w:w="1275"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3</w:t>
            </w:r>
          </w:p>
        </w:tc>
        <w:tc>
          <w:tcPr>
            <w:tcW w:w="993"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644</w:t>
            </w:r>
          </w:p>
        </w:tc>
        <w:tc>
          <w:tcPr>
            <w:tcW w:w="1275"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216</w:t>
            </w:r>
          </w:p>
        </w:tc>
      </w:tr>
      <w:tr w:rsidR="00D01330" w:rsidRPr="002F17B5" w:rsidTr="001602B7">
        <w:trPr>
          <w:trHeight w:val="300"/>
        </w:trPr>
        <w:tc>
          <w:tcPr>
            <w:tcW w:w="1668" w:type="dxa"/>
            <w:shd w:val="clear" w:color="auto" w:fill="FFFFFF" w:themeFill="background1"/>
            <w:hideMark/>
          </w:tcPr>
          <w:p w:rsidR="002B39DE" w:rsidRPr="002F17B5" w:rsidRDefault="001602B7" w:rsidP="005A2725">
            <w:pPr>
              <w:spacing w:after="100"/>
              <w:jc w:val="left"/>
              <w:rPr>
                <w:rFonts w:cs="Arial"/>
                <w:sz w:val="23"/>
                <w:szCs w:val="23"/>
              </w:rPr>
            </w:pPr>
            <w:r w:rsidRPr="002F17B5">
              <w:rPr>
                <w:rFonts w:cs="Arial"/>
                <w:sz w:val="23"/>
                <w:szCs w:val="23"/>
              </w:rPr>
              <w:t>£80,001 -</w:t>
            </w:r>
            <w:r w:rsidR="002B39DE" w:rsidRPr="002F17B5">
              <w:rPr>
                <w:rFonts w:cs="Arial"/>
                <w:sz w:val="23"/>
                <w:szCs w:val="23"/>
              </w:rPr>
              <w:t xml:space="preserve"> £100,000</w:t>
            </w:r>
          </w:p>
        </w:tc>
        <w:tc>
          <w:tcPr>
            <w:tcW w:w="992" w:type="dxa"/>
            <w:gridSpan w:val="2"/>
            <w:shd w:val="clear" w:color="auto" w:fill="FFFFFF" w:themeFill="background1"/>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FFFFFF" w:themeFill="background1"/>
            <w:noWrap/>
            <w:vAlign w:val="bottom"/>
            <w:hideMark/>
          </w:tcPr>
          <w:p w:rsidR="002B39DE" w:rsidRPr="002F17B5" w:rsidRDefault="002B39DE" w:rsidP="005A2725">
            <w:pPr>
              <w:spacing w:after="100"/>
              <w:jc w:val="right"/>
              <w:rPr>
                <w:rFonts w:cs="Arial"/>
                <w:sz w:val="23"/>
                <w:szCs w:val="23"/>
              </w:rPr>
            </w:pPr>
            <w:r w:rsidRPr="002F17B5">
              <w:rPr>
                <w:rFonts w:cs="Arial"/>
                <w:sz w:val="23"/>
                <w:szCs w:val="23"/>
              </w:rPr>
              <w:t> </w:t>
            </w:r>
            <w:r w:rsidR="001602B7" w:rsidRPr="002F17B5">
              <w:rPr>
                <w:rFonts w:cs="Arial"/>
                <w:sz w:val="23"/>
                <w:szCs w:val="23"/>
              </w:rPr>
              <w:t>-</w:t>
            </w:r>
          </w:p>
        </w:tc>
        <w:tc>
          <w:tcPr>
            <w:tcW w:w="1134" w:type="dxa"/>
            <w:shd w:val="clear" w:color="auto" w:fill="auto"/>
            <w:vAlign w:val="bottom"/>
            <w:hideMark/>
          </w:tcPr>
          <w:p w:rsidR="002B39DE" w:rsidRPr="002F17B5" w:rsidRDefault="002B39DE" w:rsidP="005A2725">
            <w:pPr>
              <w:spacing w:after="100"/>
              <w:jc w:val="right"/>
              <w:rPr>
                <w:rFonts w:cs="Arial"/>
                <w:sz w:val="23"/>
                <w:szCs w:val="23"/>
              </w:rPr>
            </w:pPr>
            <w:r w:rsidRPr="002F17B5">
              <w:rPr>
                <w:rFonts w:cs="Arial"/>
                <w:sz w:val="23"/>
                <w:szCs w:val="23"/>
              </w:rPr>
              <w:t>14</w:t>
            </w:r>
          </w:p>
        </w:tc>
        <w:tc>
          <w:tcPr>
            <w:tcW w:w="1276" w:type="dxa"/>
            <w:shd w:val="clear" w:color="auto" w:fill="FFFFFF" w:themeFill="background1"/>
            <w:noWrap/>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14</w:t>
            </w:r>
          </w:p>
        </w:tc>
        <w:tc>
          <w:tcPr>
            <w:tcW w:w="1275" w:type="dxa"/>
            <w:shd w:val="clear" w:color="auto" w:fill="FFFFFF" w:themeFill="background1"/>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993"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1,230</w:t>
            </w:r>
          </w:p>
        </w:tc>
        <w:tc>
          <w:tcPr>
            <w:tcW w:w="1275" w:type="dxa"/>
            <w:shd w:val="clear" w:color="auto" w:fill="FFFFFF" w:themeFill="background1"/>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r>
      <w:tr w:rsidR="00D01330" w:rsidRPr="002F17B5" w:rsidTr="001602B7">
        <w:trPr>
          <w:trHeight w:val="300"/>
        </w:trPr>
        <w:tc>
          <w:tcPr>
            <w:tcW w:w="1668" w:type="dxa"/>
            <w:shd w:val="clear" w:color="auto" w:fill="FFFFFF" w:themeFill="background1"/>
            <w:hideMark/>
          </w:tcPr>
          <w:p w:rsidR="002B39DE" w:rsidRPr="002F17B5" w:rsidRDefault="001602B7" w:rsidP="005A2725">
            <w:pPr>
              <w:spacing w:after="100"/>
              <w:jc w:val="left"/>
              <w:rPr>
                <w:rFonts w:cs="Arial"/>
                <w:sz w:val="23"/>
                <w:szCs w:val="23"/>
              </w:rPr>
            </w:pPr>
            <w:r w:rsidRPr="002F17B5">
              <w:rPr>
                <w:rFonts w:cs="Arial"/>
                <w:sz w:val="23"/>
                <w:szCs w:val="23"/>
              </w:rPr>
              <w:t>£100,001 -</w:t>
            </w:r>
            <w:r w:rsidR="002B39DE" w:rsidRPr="002F17B5">
              <w:rPr>
                <w:rFonts w:cs="Arial"/>
                <w:sz w:val="23"/>
                <w:szCs w:val="23"/>
              </w:rPr>
              <w:t xml:space="preserve"> £150,000</w:t>
            </w:r>
          </w:p>
        </w:tc>
        <w:tc>
          <w:tcPr>
            <w:tcW w:w="992" w:type="dxa"/>
            <w:gridSpan w:val="2"/>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 </w:t>
            </w:r>
            <w:r w:rsidR="001602B7" w:rsidRPr="002F17B5">
              <w:rPr>
                <w:rFonts w:cs="Arial"/>
                <w:sz w:val="23"/>
                <w:szCs w:val="23"/>
              </w:rPr>
              <w:t>-</w:t>
            </w:r>
          </w:p>
        </w:tc>
        <w:tc>
          <w:tcPr>
            <w:tcW w:w="1134" w:type="dxa"/>
            <w:shd w:val="clear" w:color="auto" w:fill="FFFFFF" w:themeFill="background1"/>
            <w:noWrap/>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auto"/>
            <w:vAlign w:val="bottom"/>
            <w:hideMark/>
          </w:tcPr>
          <w:p w:rsidR="002B39DE" w:rsidRPr="002F17B5" w:rsidRDefault="002B39DE" w:rsidP="005A2725">
            <w:pPr>
              <w:spacing w:after="100"/>
              <w:jc w:val="right"/>
              <w:rPr>
                <w:rFonts w:cs="Arial"/>
                <w:sz w:val="23"/>
                <w:szCs w:val="23"/>
              </w:rPr>
            </w:pPr>
            <w:r w:rsidRPr="002F17B5">
              <w:rPr>
                <w:rFonts w:cs="Arial"/>
                <w:sz w:val="23"/>
                <w:szCs w:val="23"/>
              </w:rPr>
              <w:t>4</w:t>
            </w:r>
          </w:p>
        </w:tc>
        <w:tc>
          <w:tcPr>
            <w:tcW w:w="1276" w:type="dxa"/>
            <w:shd w:val="clear" w:color="auto" w:fill="FFFFFF" w:themeFill="background1"/>
            <w:noWrap/>
            <w:vAlign w:val="bottom"/>
            <w:hideMark/>
          </w:tcPr>
          <w:p w:rsidR="002B39DE" w:rsidRPr="002F17B5" w:rsidRDefault="002B39DE" w:rsidP="005A2725">
            <w:pPr>
              <w:spacing w:after="100"/>
              <w:jc w:val="right"/>
              <w:rPr>
                <w:rFonts w:cs="Arial"/>
                <w:sz w:val="23"/>
                <w:szCs w:val="23"/>
              </w:rPr>
            </w:pPr>
            <w:r w:rsidRPr="002F17B5">
              <w:rPr>
                <w:rFonts w:cs="Arial"/>
                <w:sz w:val="23"/>
                <w:szCs w:val="23"/>
              </w:rPr>
              <w:t>3</w:t>
            </w:r>
          </w:p>
        </w:tc>
        <w:tc>
          <w:tcPr>
            <w:tcW w:w="1134"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4</w:t>
            </w:r>
          </w:p>
        </w:tc>
        <w:tc>
          <w:tcPr>
            <w:tcW w:w="1275"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3</w:t>
            </w:r>
          </w:p>
        </w:tc>
        <w:tc>
          <w:tcPr>
            <w:tcW w:w="993"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448</w:t>
            </w:r>
          </w:p>
        </w:tc>
        <w:tc>
          <w:tcPr>
            <w:tcW w:w="1275"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363</w:t>
            </w:r>
          </w:p>
        </w:tc>
      </w:tr>
      <w:tr w:rsidR="00D01330" w:rsidRPr="002F17B5" w:rsidTr="001602B7">
        <w:trPr>
          <w:trHeight w:val="300"/>
        </w:trPr>
        <w:tc>
          <w:tcPr>
            <w:tcW w:w="1668" w:type="dxa"/>
            <w:shd w:val="clear" w:color="auto" w:fill="FFFFFF" w:themeFill="background1"/>
            <w:hideMark/>
          </w:tcPr>
          <w:p w:rsidR="002B39DE" w:rsidRPr="002F17B5" w:rsidRDefault="002B39DE" w:rsidP="005A2725">
            <w:pPr>
              <w:spacing w:after="100"/>
              <w:jc w:val="left"/>
              <w:rPr>
                <w:rFonts w:cs="Arial"/>
                <w:sz w:val="23"/>
                <w:szCs w:val="23"/>
              </w:rPr>
            </w:pPr>
            <w:r w:rsidRPr="002F17B5">
              <w:rPr>
                <w:rFonts w:cs="Arial"/>
                <w:sz w:val="23"/>
                <w:szCs w:val="23"/>
              </w:rPr>
              <w:t xml:space="preserve">£150,001 </w:t>
            </w:r>
            <w:r w:rsidR="001602B7" w:rsidRPr="002F17B5">
              <w:rPr>
                <w:rFonts w:cs="Arial"/>
                <w:sz w:val="23"/>
                <w:szCs w:val="23"/>
              </w:rPr>
              <w:t>-</w:t>
            </w:r>
            <w:r w:rsidRPr="002F17B5">
              <w:rPr>
                <w:rFonts w:cs="Arial"/>
                <w:sz w:val="23"/>
                <w:szCs w:val="23"/>
              </w:rPr>
              <w:t xml:space="preserve"> £200,000</w:t>
            </w:r>
          </w:p>
        </w:tc>
        <w:tc>
          <w:tcPr>
            <w:tcW w:w="992" w:type="dxa"/>
            <w:gridSpan w:val="2"/>
            <w:shd w:val="clear" w:color="auto" w:fill="FFFFFF" w:themeFill="background1"/>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FFFFFF" w:themeFill="background1"/>
            <w:noWrap/>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134" w:type="dxa"/>
            <w:shd w:val="clear" w:color="auto" w:fill="auto"/>
            <w:vAlign w:val="bottom"/>
            <w:hideMark/>
          </w:tcPr>
          <w:p w:rsidR="002B39DE" w:rsidRPr="002F17B5" w:rsidRDefault="001602B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276" w:type="dxa"/>
            <w:shd w:val="clear" w:color="auto" w:fill="FFFFFF" w:themeFill="background1"/>
            <w:noWrap/>
            <w:vAlign w:val="bottom"/>
            <w:hideMark/>
          </w:tcPr>
          <w:p w:rsidR="002B39DE" w:rsidRPr="002F17B5" w:rsidRDefault="002B39DE" w:rsidP="005A2725">
            <w:pPr>
              <w:spacing w:after="100"/>
              <w:jc w:val="right"/>
              <w:rPr>
                <w:rFonts w:cs="Arial"/>
                <w:sz w:val="23"/>
                <w:szCs w:val="23"/>
              </w:rPr>
            </w:pPr>
            <w:r w:rsidRPr="002F17B5">
              <w:rPr>
                <w:rFonts w:cs="Arial"/>
                <w:sz w:val="23"/>
                <w:szCs w:val="23"/>
              </w:rPr>
              <w:t>1</w:t>
            </w:r>
          </w:p>
        </w:tc>
        <w:tc>
          <w:tcPr>
            <w:tcW w:w="1134" w:type="dxa"/>
            <w:shd w:val="clear" w:color="auto" w:fill="FFFFFF" w:themeFill="background1"/>
            <w:vAlign w:val="bottom"/>
            <w:hideMark/>
          </w:tcPr>
          <w:p w:rsidR="002B39DE" w:rsidRPr="002F17B5" w:rsidRDefault="00992FE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275"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1</w:t>
            </w:r>
          </w:p>
        </w:tc>
        <w:tc>
          <w:tcPr>
            <w:tcW w:w="993" w:type="dxa"/>
            <w:shd w:val="clear" w:color="auto" w:fill="FFFFFF" w:themeFill="background1"/>
            <w:vAlign w:val="bottom"/>
            <w:hideMark/>
          </w:tcPr>
          <w:p w:rsidR="002B39DE" w:rsidRPr="002F17B5" w:rsidRDefault="00992FE7" w:rsidP="005A2725">
            <w:pPr>
              <w:spacing w:after="100"/>
              <w:jc w:val="right"/>
              <w:rPr>
                <w:rFonts w:cs="Arial"/>
                <w:sz w:val="23"/>
                <w:szCs w:val="23"/>
              </w:rPr>
            </w:pPr>
            <w:r w:rsidRPr="002F17B5">
              <w:rPr>
                <w:rFonts w:cs="Arial"/>
                <w:sz w:val="23"/>
                <w:szCs w:val="23"/>
              </w:rPr>
              <w:t>-</w:t>
            </w:r>
            <w:r w:rsidR="002B39DE" w:rsidRPr="002F17B5">
              <w:rPr>
                <w:rFonts w:cs="Arial"/>
                <w:sz w:val="23"/>
                <w:szCs w:val="23"/>
              </w:rPr>
              <w:t> </w:t>
            </w:r>
          </w:p>
        </w:tc>
        <w:tc>
          <w:tcPr>
            <w:tcW w:w="1275" w:type="dxa"/>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sz w:val="23"/>
                <w:szCs w:val="23"/>
              </w:rPr>
              <w:t>158</w:t>
            </w:r>
          </w:p>
        </w:tc>
      </w:tr>
      <w:tr w:rsidR="00D01330" w:rsidRPr="002F17B5" w:rsidTr="001602B7">
        <w:trPr>
          <w:trHeight w:val="300"/>
        </w:trPr>
        <w:tc>
          <w:tcPr>
            <w:tcW w:w="1668" w:type="dxa"/>
            <w:shd w:val="clear" w:color="auto" w:fill="FFFFFF" w:themeFill="background1"/>
            <w:hideMark/>
          </w:tcPr>
          <w:p w:rsidR="002B39DE" w:rsidRPr="002F17B5" w:rsidRDefault="002B39DE" w:rsidP="005A2725">
            <w:pPr>
              <w:spacing w:after="100"/>
              <w:rPr>
                <w:rFonts w:cs="Arial"/>
                <w:b/>
                <w:sz w:val="23"/>
                <w:szCs w:val="23"/>
              </w:rPr>
            </w:pPr>
            <w:r w:rsidRPr="002F17B5">
              <w:rPr>
                <w:rFonts w:cs="Arial"/>
                <w:b/>
                <w:sz w:val="23"/>
                <w:szCs w:val="23"/>
              </w:rPr>
              <w:t>Total</w:t>
            </w:r>
          </w:p>
        </w:tc>
        <w:tc>
          <w:tcPr>
            <w:tcW w:w="992" w:type="dxa"/>
            <w:gridSpan w:val="2"/>
            <w:shd w:val="clear" w:color="auto" w:fill="FFFFFF" w:themeFill="background1"/>
            <w:vAlign w:val="bottom"/>
            <w:hideMark/>
          </w:tcPr>
          <w:p w:rsidR="002B39DE" w:rsidRPr="002F17B5" w:rsidRDefault="002B39DE" w:rsidP="005A2725">
            <w:pPr>
              <w:spacing w:after="100"/>
              <w:jc w:val="right"/>
              <w:rPr>
                <w:rFonts w:cs="Arial"/>
                <w:sz w:val="23"/>
                <w:szCs w:val="23"/>
              </w:rPr>
            </w:pPr>
            <w:r w:rsidRPr="002F17B5">
              <w:rPr>
                <w:rFonts w:cs="Arial"/>
                <w:b/>
                <w:bCs/>
                <w:sz w:val="23"/>
                <w:szCs w:val="23"/>
              </w:rPr>
              <w:t>11</w:t>
            </w:r>
          </w:p>
        </w:tc>
        <w:tc>
          <w:tcPr>
            <w:tcW w:w="1134" w:type="dxa"/>
            <w:shd w:val="clear" w:color="auto" w:fill="FFFFFF" w:themeFill="background1"/>
            <w:noWrap/>
            <w:vAlign w:val="bottom"/>
            <w:hideMark/>
          </w:tcPr>
          <w:p w:rsidR="002B39DE" w:rsidRPr="002F17B5" w:rsidRDefault="00DE3756" w:rsidP="005A2725">
            <w:pPr>
              <w:spacing w:after="100"/>
              <w:jc w:val="right"/>
              <w:rPr>
                <w:rFonts w:cs="Arial"/>
                <w:sz w:val="23"/>
                <w:szCs w:val="23"/>
              </w:rPr>
            </w:pPr>
            <w:r>
              <w:rPr>
                <w:rFonts w:cs="Arial"/>
                <w:b/>
                <w:bCs/>
                <w:sz w:val="23"/>
                <w:szCs w:val="23"/>
              </w:rPr>
              <w:t>6</w:t>
            </w:r>
          </w:p>
        </w:tc>
        <w:tc>
          <w:tcPr>
            <w:tcW w:w="1134" w:type="dxa"/>
            <w:shd w:val="clear" w:color="auto" w:fill="auto"/>
            <w:vAlign w:val="bottom"/>
            <w:hideMark/>
          </w:tcPr>
          <w:p w:rsidR="002B39DE" w:rsidRPr="002F17B5" w:rsidRDefault="001D2936" w:rsidP="005A2725">
            <w:pPr>
              <w:spacing w:after="100"/>
              <w:jc w:val="right"/>
              <w:rPr>
                <w:rFonts w:cs="Arial"/>
                <w:sz w:val="23"/>
                <w:szCs w:val="23"/>
              </w:rPr>
            </w:pPr>
            <w:r>
              <w:rPr>
                <w:rFonts w:cs="Arial"/>
                <w:b/>
                <w:bCs/>
                <w:sz w:val="23"/>
                <w:szCs w:val="23"/>
              </w:rPr>
              <w:t>410</w:t>
            </w:r>
          </w:p>
        </w:tc>
        <w:tc>
          <w:tcPr>
            <w:tcW w:w="1276" w:type="dxa"/>
            <w:shd w:val="clear" w:color="auto" w:fill="FFFFFF" w:themeFill="background1"/>
            <w:noWrap/>
            <w:vAlign w:val="bottom"/>
            <w:hideMark/>
          </w:tcPr>
          <w:p w:rsidR="002B39DE" w:rsidRPr="002F17B5" w:rsidRDefault="00DE3756" w:rsidP="005A2725">
            <w:pPr>
              <w:spacing w:after="100"/>
              <w:jc w:val="right"/>
              <w:rPr>
                <w:rFonts w:cs="Arial"/>
                <w:sz w:val="23"/>
                <w:szCs w:val="23"/>
              </w:rPr>
            </w:pPr>
            <w:r>
              <w:rPr>
                <w:rFonts w:cs="Arial"/>
                <w:b/>
                <w:bCs/>
                <w:sz w:val="23"/>
                <w:szCs w:val="23"/>
              </w:rPr>
              <w:t>230</w:t>
            </w:r>
          </w:p>
        </w:tc>
        <w:tc>
          <w:tcPr>
            <w:tcW w:w="1134" w:type="dxa"/>
            <w:shd w:val="clear" w:color="auto" w:fill="FFFFFF" w:themeFill="background1"/>
            <w:vAlign w:val="bottom"/>
            <w:hideMark/>
          </w:tcPr>
          <w:p w:rsidR="002B39DE" w:rsidRPr="002F17B5" w:rsidRDefault="001D2936" w:rsidP="005A2725">
            <w:pPr>
              <w:spacing w:after="100"/>
              <w:jc w:val="right"/>
              <w:rPr>
                <w:rFonts w:cs="Arial"/>
                <w:sz w:val="23"/>
                <w:szCs w:val="23"/>
              </w:rPr>
            </w:pPr>
            <w:r>
              <w:rPr>
                <w:rFonts w:cs="Arial"/>
                <w:b/>
                <w:bCs/>
                <w:sz w:val="23"/>
                <w:szCs w:val="23"/>
              </w:rPr>
              <w:t>421</w:t>
            </w:r>
          </w:p>
        </w:tc>
        <w:tc>
          <w:tcPr>
            <w:tcW w:w="1275" w:type="dxa"/>
            <w:shd w:val="clear" w:color="auto" w:fill="FFFFFF" w:themeFill="background1"/>
            <w:vAlign w:val="bottom"/>
            <w:hideMark/>
          </w:tcPr>
          <w:p w:rsidR="002B39DE" w:rsidRPr="002F17B5" w:rsidRDefault="00DE3756" w:rsidP="005A2725">
            <w:pPr>
              <w:spacing w:after="100"/>
              <w:jc w:val="right"/>
              <w:rPr>
                <w:rFonts w:cs="Arial"/>
                <w:sz w:val="23"/>
                <w:szCs w:val="23"/>
              </w:rPr>
            </w:pPr>
            <w:r>
              <w:rPr>
                <w:rFonts w:cs="Arial"/>
                <w:b/>
                <w:bCs/>
                <w:sz w:val="23"/>
                <w:szCs w:val="23"/>
              </w:rPr>
              <w:t>236</w:t>
            </w:r>
          </w:p>
        </w:tc>
        <w:tc>
          <w:tcPr>
            <w:tcW w:w="993" w:type="dxa"/>
            <w:shd w:val="clear" w:color="auto" w:fill="FFFFFF" w:themeFill="background1"/>
            <w:vAlign w:val="bottom"/>
            <w:hideMark/>
          </w:tcPr>
          <w:p w:rsidR="002B39DE" w:rsidRPr="002F17B5" w:rsidRDefault="00EF2D89" w:rsidP="005A2725">
            <w:pPr>
              <w:spacing w:after="100"/>
              <w:jc w:val="right"/>
              <w:rPr>
                <w:rFonts w:cs="Arial"/>
                <w:sz w:val="23"/>
                <w:szCs w:val="23"/>
              </w:rPr>
            </w:pPr>
            <w:r>
              <w:rPr>
                <w:rFonts w:cs="Arial"/>
                <w:b/>
                <w:bCs/>
                <w:sz w:val="23"/>
                <w:szCs w:val="23"/>
              </w:rPr>
              <w:t>9,065</w:t>
            </w:r>
          </w:p>
        </w:tc>
        <w:tc>
          <w:tcPr>
            <w:tcW w:w="1275" w:type="dxa"/>
            <w:shd w:val="clear" w:color="auto" w:fill="FFFFFF" w:themeFill="background1"/>
            <w:vAlign w:val="bottom"/>
            <w:hideMark/>
          </w:tcPr>
          <w:p w:rsidR="002B39DE" w:rsidRPr="002F17B5" w:rsidRDefault="00DE3756" w:rsidP="005A2725">
            <w:pPr>
              <w:spacing w:after="100"/>
              <w:jc w:val="right"/>
              <w:rPr>
                <w:rFonts w:cs="Arial"/>
                <w:sz w:val="23"/>
                <w:szCs w:val="23"/>
              </w:rPr>
            </w:pPr>
            <w:r>
              <w:rPr>
                <w:rFonts w:cs="Arial"/>
                <w:b/>
                <w:bCs/>
                <w:sz w:val="23"/>
                <w:szCs w:val="23"/>
              </w:rPr>
              <w:t>3,585</w:t>
            </w:r>
          </w:p>
        </w:tc>
      </w:tr>
      <w:tr w:rsidR="00D01330" w:rsidRPr="002F17B5" w:rsidTr="001602B7">
        <w:trPr>
          <w:trHeight w:val="300"/>
        </w:trPr>
        <w:tc>
          <w:tcPr>
            <w:tcW w:w="1668" w:type="dxa"/>
            <w:shd w:val="clear" w:color="auto" w:fill="FFFFFF" w:themeFill="background1"/>
            <w:noWrap/>
            <w:vAlign w:val="bottom"/>
          </w:tcPr>
          <w:p w:rsidR="00186385" w:rsidRPr="002F17B5" w:rsidRDefault="00186385" w:rsidP="005C0198">
            <w:pPr>
              <w:rPr>
                <w:sz w:val="22"/>
                <w:szCs w:val="22"/>
              </w:rPr>
            </w:pPr>
          </w:p>
        </w:tc>
        <w:tc>
          <w:tcPr>
            <w:tcW w:w="992" w:type="dxa"/>
            <w:gridSpan w:val="2"/>
            <w:shd w:val="clear" w:color="auto" w:fill="FFFFFF" w:themeFill="background1"/>
            <w:vAlign w:val="bottom"/>
          </w:tcPr>
          <w:p w:rsidR="00186385" w:rsidRPr="002F17B5" w:rsidRDefault="00186385" w:rsidP="005C0198">
            <w:pPr>
              <w:jc w:val="right"/>
              <w:rPr>
                <w:sz w:val="22"/>
                <w:szCs w:val="22"/>
              </w:rPr>
            </w:pPr>
          </w:p>
        </w:tc>
        <w:tc>
          <w:tcPr>
            <w:tcW w:w="1134" w:type="dxa"/>
            <w:shd w:val="clear" w:color="auto" w:fill="FFFFFF" w:themeFill="background1"/>
            <w:noWrap/>
            <w:vAlign w:val="bottom"/>
          </w:tcPr>
          <w:p w:rsidR="00186385" w:rsidRPr="002F17B5" w:rsidRDefault="00186385" w:rsidP="005C0198">
            <w:pPr>
              <w:jc w:val="right"/>
              <w:rPr>
                <w:sz w:val="22"/>
                <w:szCs w:val="22"/>
              </w:rPr>
            </w:pPr>
          </w:p>
        </w:tc>
        <w:tc>
          <w:tcPr>
            <w:tcW w:w="1134" w:type="dxa"/>
            <w:shd w:val="clear" w:color="auto" w:fill="auto"/>
            <w:vAlign w:val="bottom"/>
          </w:tcPr>
          <w:p w:rsidR="00186385" w:rsidRPr="002F17B5" w:rsidRDefault="00186385" w:rsidP="005C0198">
            <w:pPr>
              <w:jc w:val="right"/>
              <w:rPr>
                <w:sz w:val="22"/>
                <w:szCs w:val="22"/>
              </w:rPr>
            </w:pPr>
          </w:p>
        </w:tc>
        <w:tc>
          <w:tcPr>
            <w:tcW w:w="1276" w:type="dxa"/>
            <w:shd w:val="clear" w:color="auto" w:fill="FFFFFF" w:themeFill="background1"/>
            <w:noWrap/>
            <w:vAlign w:val="bottom"/>
          </w:tcPr>
          <w:p w:rsidR="00186385" w:rsidRPr="002F17B5" w:rsidRDefault="00186385" w:rsidP="005C0198">
            <w:pPr>
              <w:jc w:val="right"/>
              <w:rPr>
                <w:sz w:val="22"/>
                <w:szCs w:val="22"/>
              </w:rPr>
            </w:pPr>
          </w:p>
        </w:tc>
        <w:tc>
          <w:tcPr>
            <w:tcW w:w="1134" w:type="dxa"/>
            <w:shd w:val="clear" w:color="auto" w:fill="FFFFFF" w:themeFill="background1"/>
            <w:vAlign w:val="bottom"/>
          </w:tcPr>
          <w:p w:rsidR="00186385" w:rsidRPr="002F17B5" w:rsidRDefault="00186385" w:rsidP="005C0198">
            <w:pPr>
              <w:jc w:val="right"/>
              <w:rPr>
                <w:sz w:val="22"/>
                <w:szCs w:val="22"/>
              </w:rPr>
            </w:pPr>
          </w:p>
        </w:tc>
        <w:tc>
          <w:tcPr>
            <w:tcW w:w="1275" w:type="dxa"/>
            <w:shd w:val="clear" w:color="auto" w:fill="FFFFFF" w:themeFill="background1"/>
            <w:vAlign w:val="bottom"/>
          </w:tcPr>
          <w:p w:rsidR="00186385" w:rsidRPr="002F17B5" w:rsidRDefault="00186385" w:rsidP="005C0198">
            <w:pPr>
              <w:jc w:val="right"/>
              <w:rPr>
                <w:sz w:val="22"/>
                <w:szCs w:val="22"/>
              </w:rPr>
            </w:pPr>
          </w:p>
        </w:tc>
        <w:tc>
          <w:tcPr>
            <w:tcW w:w="993" w:type="dxa"/>
            <w:shd w:val="clear" w:color="auto" w:fill="FFFFFF" w:themeFill="background1"/>
            <w:vAlign w:val="bottom"/>
          </w:tcPr>
          <w:p w:rsidR="00186385" w:rsidRPr="002F17B5" w:rsidRDefault="00186385" w:rsidP="005C0198">
            <w:pPr>
              <w:jc w:val="right"/>
              <w:rPr>
                <w:sz w:val="22"/>
                <w:szCs w:val="22"/>
              </w:rPr>
            </w:pPr>
          </w:p>
        </w:tc>
        <w:tc>
          <w:tcPr>
            <w:tcW w:w="1275" w:type="dxa"/>
            <w:shd w:val="clear" w:color="auto" w:fill="FFFFFF" w:themeFill="background1"/>
            <w:vAlign w:val="bottom"/>
          </w:tcPr>
          <w:p w:rsidR="00186385" w:rsidRPr="002F17B5" w:rsidRDefault="00186385" w:rsidP="005C0198">
            <w:pPr>
              <w:jc w:val="right"/>
              <w:rPr>
                <w:sz w:val="22"/>
                <w:szCs w:val="22"/>
              </w:rPr>
            </w:pPr>
          </w:p>
        </w:tc>
      </w:tr>
    </w:tbl>
    <w:p w:rsidR="00422911" w:rsidRDefault="00422911" w:rsidP="00422911"/>
    <w:p w:rsidR="00422911" w:rsidRDefault="00EF2D89" w:rsidP="00422911">
      <w:pPr>
        <w:rPr>
          <w:rFonts w:ascii="Calibri" w:eastAsiaTheme="minorHAnsi" w:hAnsi="Calibri" w:cs="Times New Roman"/>
          <w:color w:val="auto"/>
          <w:sz w:val="22"/>
          <w:szCs w:val="22"/>
          <w:lang w:eastAsia="en-GB"/>
        </w:rPr>
      </w:pPr>
      <w:r>
        <w:t>*Resta</w:t>
      </w:r>
      <w:r w:rsidR="00422911">
        <w:t xml:space="preserve">ted in accordance with guidance </w:t>
      </w:r>
      <w:r w:rsidR="00422911">
        <w:rPr>
          <w:rFonts w:cs="Arial"/>
        </w:rPr>
        <w:t xml:space="preserve">to include all payments and all employees; including those seconded to other organisations. </w:t>
      </w:r>
    </w:p>
    <w:p w:rsidR="00E750A0" w:rsidRPr="002F17B5" w:rsidRDefault="00D41223" w:rsidP="005855CE">
      <w:pPr>
        <w:pStyle w:val="Heading3-numbered"/>
        <w:rPr>
          <w:i w:val="0"/>
          <w:sz w:val="26"/>
        </w:rPr>
      </w:pPr>
      <w:r w:rsidRPr="002F17B5">
        <w:rPr>
          <w:sz w:val="26"/>
        </w:rPr>
        <w:lastRenderedPageBreak/>
        <w:t xml:space="preserve">  </w:t>
      </w:r>
      <w:r w:rsidR="00286D86" w:rsidRPr="002F17B5">
        <w:rPr>
          <w:i w:val="0"/>
          <w:sz w:val="26"/>
        </w:rPr>
        <w:t>Private Finance Initiative (PFI) Schemes</w:t>
      </w:r>
    </w:p>
    <w:p w:rsidR="00E750A0" w:rsidRPr="002F17B5" w:rsidRDefault="00E750A0" w:rsidP="00E750A0">
      <w:pPr>
        <w:tabs>
          <w:tab w:val="num" w:pos="0"/>
        </w:tabs>
        <w:rPr>
          <w:sz w:val="16"/>
        </w:rPr>
      </w:pPr>
    </w:p>
    <w:p w:rsidR="00E750A0" w:rsidRPr="002F17B5" w:rsidRDefault="007F0427" w:rsidP="009376DC">
      <w:pPr>
        <w:tabs>
          <w:tab w:val="num" w:pos="0"/>
        </w:tabs>
        <w:rPr>
          <w:b/>
        </w:rPr>
      </w:pPr>
      <w:r w:rsidRPr="002F17B5">
        <w:rPr>
          <w:b/>
        </w:rPr>
        <w:t xml:space="preserve">Fleetwood Sports College </w:t>
      </w:r>
      <w:r w:rsidR="00E750A0" w:rsidRPr="002F17B5">
        <w:rPr>
          <w:b/>
        </w:rPr>
        <w:t xml:space="preserve"> </w:t>
      </w:r>
    </w:p>
    <w:p w:rsidR="00B70B4B" w:rsidRPr="002F17B5" w:rsidRDefault="00E750A0" w:rsidP="009376DC">
      <w:pPr>
        <w:tabs>
          <w:tab w:val="num" w:pos="0"/>
        </w:tabs>
        <w:spacing w:after="240"/>
      </w:pPr>
      <w:r w:rsidRPr="002F17B5">
        <w:t>In 2001 we signed a PFI contract with Fleetwood PPP Limited to build and service a new single</w:t>
      </w:r>
      <w:r w:rsidRPr="002F17B5">
        <w:noBreakHyphen/>
        <w:t>site school. Payments made under the contract are performance-related, so deductions are made if parts of the building are not available or if service performance (including caretaking and maintenance) falls below an agreed standard. The estimated capital value of the scheme is £13.4 million.</w:t>
      </w:r>
    </w:p>
    <w:p w:rsidR="00B70B4B" w:rsidRPr="002F17B5" w:rsidRDefault="00E750A0" w:rsidP="009376DC">
      <w:pPr>
        <w:tabs>
          <w:tab w:val="num" w:pos="0"/>
        </w:tabs>
        <w:spacing w:after="240"/>
      </w:pPr>
      <w:r w:rsidRPr="002F17B5">
        <w:t xml:space="preserve">The arrangement runs from September 2002 (when the college opened) to August 2027. </w:t>
      </w:r>
    </w:p>
    <w:p w:rsidR="00B70B4B" w:rsidRPr="002F17B5" w:rsidRDefault="00E750A0">
      <w:pPr>
        <w:tabs>
          <w:tab w:val="num" w:pos="0"/>
        </w:tabs>
        <w:spacing w:after="340"/>
      </w:pPr>
      <w:r w:rsidRPr="002F17B5">
        <w:t>The council makes an agreed payment each year which is increased by inflation and can be reduced if the contractor fails to meet the agreed availability and performance standards in any year, but is otherwise fixed.</w:t>
      </w:r>
      <w:r w:rsidR="0052033C" w:rsidRPr="002F17B5">
        <w:t xml:space="preserve"> An estimate of 2.5% is made for future inflation within the model</w:t>
      </w:r>
    </w:p>
    <w:p w:rsidR="00B70B4B" w:rsidRPr="002F17B5" w:rsidRDefault="00E750A0">
      <w:pPr>
        <w:tabs>
          <w:tab w:val="num" w:pos="0"/>
        </w:tabs>
        <w:spacing w:after="340"/>
      </w:pPr>
      <w:r w:rsidRPr="002F17B5">
        <w:t xml:space="preserve">Payments remaining to be made under the PFI contract at </w:t>
      </w:r>
      <w:r w:rsidR="006D01F9" w:rsidRPr="002F17B5">
        <w:t>31 March 2014</w:t>
      </w:r>
      <w:r w:rsidRPr="002F17B5">
        <w:t>(excluding any estimation of inflation and availability/performance deductions) are as follows:</w:t>
      </w:r>
    </w:p>
    <w:tbl>
      <w:tblPr>
        <w:tblW w:w="0" w:type="auto"/>
        <w:jc w:val="center"/>
        <w:tblLayout w:type="fixed"/>
        <w:tblLook w:val="04A0" w:firstRow="1" w:lastRow="0" w:firstColumn="1" w:lastColumn="0" w:noHBand="0" w:noVBand="1"/>
      </w:tblPr>
      <w:tblGrid>
        <w:gridCol w:w="4111"/>
        <w:gridCol w:w="1418"/>
        <w:gridCol w:w="1559"/>
        <w:gridCol w:w="1417"/>
        <w:gridCol w:w="1560"/>
      </w:tblGrid>
      <w:tr w:rsidR="00E750A0" w:rsidRPr="002F17B5" w:rsidTr="00006736">
        <w:trPr>
          <w:jc w:val="center"/>
        </w:trPr>
        <w:tc>
          <w:tcPr>
            <w:tcW w:w="4111" w:type="dxa"/>
            <w:shd w:val="clear" w:color="auto" w:fill="FFFFFF" w:themeFill="background1"/>
          </w:tcPr>
          <w:p w:rsidR="00E750A0" w:rsidRPr="002F17B5" w:rsidRDefault="00E750A0" w:rsidP="00EF40CF">
            <w:pPr>
              <w:tabs>
                <w:tab w:val="num" w:pos="0"/>
              </w:tabs>
              <w:spacing w:before="100" w:beforeAutospacing="1" w:after="240"/>
            </w:pPr>
          </w:p>
        </w:tc>
        <w:tc>
          <w:tcPr>
            <w:tcW w:w="1418" w:type="dxa"/>
            <w:shd w:val="clear" w:color="auto" w:fill="FFFFFF" w:themeFill="background1"/>
          </w:tcPr>
          <w:p w:rsidR="00E750A0" w:rsidRPr="002F17B5" w:rsidRDefault="00E750A0" w:rsidP="00EF40CF">
            <w:pPr>
              <w:tabs>
                <w:tab w:val="num" w:pos="0"/>
              </w:tabs>
              <w:spacing w:before="100" w:beforeAutospacing="1" w:after="240"/>
              <w:jc w:val="center"/>
            </w:pPr>
            <w:r w:rsidRPr="002F17B5">
              <w:t>Payments for Services</w:t>
            </w:r>
          </w:p>
        </w:tc>
        <w:tc>
          <w:tcPr>
            <w:tcW w:w="1559" w:type="dxa"/>
            <w:shd w:val="clear" w:color="auto" w:fill="FFFFFF" w:themeFill="background1"/>
          </w:tcPr>
          <w:p w:rsidR="00E750A0" w:rsidRPr="002F17B5" w:rsidRDefault="00E750A0" w:rsidP="00EF40CF">
            <w:pPr>
              <w:tabs>
                <w:tab w:val="num" w:pos="0"/>
              </w:tabs>
              <w:spacing w:before="100" w:beforeAutospacing="1" w:after="240"/>
              <w:jc w:val="center"/>
            </w:pPr>
            <w:r w:rsidRPr="002F17B5">
              <w:t>Repayment of Liability</w:t>
            </w:r>
          </w:p>
        </w:tc>
        <w:tc>
          <w:tcPr>
            <w:tcW w:w="1417" w:type="dxa"/>
            <w:shd w:val="clear" w:color="auto" w:fill="FFFFFF" w:themeFill="background1"/>
          </w:tcPr>
          <w:p w:rsidR="00E750A0" w:rsidRPr="002F17B5" w:rsidRDefault="00E750A0" w:rsidP="00EF40CF">
            <w:pPr>
              <w:tabs>
                <w:tab w:val="num" w:pos="0"/>
              </w:tabs>
              <w:spacing w:before="100" w:beforeAutospacing="1" w:after="240"/>
              <w:jc w:val="center"/>
            </w:pPr>
            <w:r w:rsidRPr="002F17B5">
              <w:t>Interest Charges</w:t>
            </w:r>
          </w:p>
        </w:tc>
        <w:tc>
          <w:tcPr>
            <w:tcW w:w="1560" w:type="dxa"/>
            <w:shd w:val="clear" w:color="auto" w:fill="FFFFFF" w:themeFill="background1"/>
          </w:tcPr>
          <w:p w:rsidR="00E750A0" w:rsidRPr="002F17B5" w:rsidRDefault="00E750A0" w:rsidP="00EF40CF">
            <w:pPr>
              <w:tabs>
                <w:tab w:val="num" w:pos="0"/>
              </w:tabs>
              <w:spacing w:before="100" w:beforeAutospacing="1" w:after="240"/>
              <w:jc w:val="center"/>
            </w:pPr>
            <w:r w:rsidRPr="002F17B5">
              <w:t>Total Payments Due</w:t>
            </w:r>
          </w:p>
        </w:tc>
      </w:tr>
      <w:tr w:rsidR="00E750A0" w:rsidRPr="002F17B5" w:rsidTr="00006736">
        <w:trPr>
          <w:trHeight w:val="315"/>
          <w:jc w:val="center"/>
        </w:trPr>
        <w:tc>
          <w:tcPr>
            <w:tcW w:w="4111" w:type="dxa"/>
            <w:shd w:val="clear" w:color="auto" w:fill="FFFFFF" w:themeFill="background1"/>
          </w:tcPr>
          <w:p w:rsidR="00E750A0" w:rsidRPr="002F17B5" w:rsidRDefault="00E750A0" w:rsidP="009376DC">
            <w:pPr>
              <w:tabs>
                <w:tab w:val="num" w:pos="0"/>
              </w:tabs>
              <w:spacing w:before="100" w:beforeAutospacing="1" w:after="80"/>
            </w:pPr>
          </w:p>
        </w:tc>
        <w:tc>
          <w:tcPr>
            <w:tcW w:w="1418" w:type="dxa"/>
            <w:shd w:val="clear" w:color="auto" w:fill="FFFFFF" w:themeFill="background1"/>
          </w:tcPr>
          <w:p w:rsidR="00E750A0" w:rsidRPr="002F17B5" w:rsidRDefault="00E750A0" w:rsidP="009376DC">
            <w:pPr>
              <w:tabs>
                <w:tab w:val="num" w:pos="0"/>
              </w:tabs>
              <w:spacing w:before="100" w:beforeAutospacing="1" w:after="80"/>
              <w:jc w:val="center"/>
            </w:pPr>
            <w:r w:rsidRPr="002F17B5">
              <w:t>£m</w:t>
            </w:r>
          </w:p>
        </w:tc>
        <w:tc>
          <w:tcPr>
            <w:tcW w:w="1559" w:type="dxa"/>
            <w:shd w:val="clear" w:color="auto" w:fill="FFFFFF" w:themeFill="background1"/>
          </w:tcPr>
          <w:p w:rsidR="00E750A0" w:rsidRPr="002F17B5" w:rsidRDefault="00E750A0" w:rsidP="009376DC">
            <w:pPr>
              <w:tabs>
                <w:tab w:val="num" w:pos="0"/>
              </w:tabs>
              <w:spacing w:before="100" w:beforeAutospacing="1" w:after="80"/>
              <w:jc w:val="center"/>
            </w:pPr>
            <w:r w:rsidRPr="002F17B5">
              <w:t>£m</w:t>
            </w:r>
          </w:p>
        </w:tc>
        <w:tc>
          <w:tcPr>
            <w:tcW w:w="1417" w:type="dxa"/>
            <w:shd w:val="clear" w:color="auto" w:fill="FFFFFF" w:themeFill="background1"/>
          </w:tcPr>
          <w:p w:rsidR="00E750A0" w:rsidRPr="002F17B5" w:rsidRDefault="00E750A0" w:rsidP="009376DC">
            <w:pPr>
              <w:tabs>
                <w:tab w:val="num" w:pos="0"/>
              </w:tabs>
              <w:spacing w:before="100" w:beforeAutospacing="1" w:after="80"/>
              <w:jc w:val="center"/>
            </w:pPr>
            <w:r w:rsidRPr="002F17B5">
              <w:t>£m</w:t>
            </w:r>
          </w:p>
        </w:tc>
        <w:tc>
          <w:tcPr>
            <w:tcW w:w="1560" w:type="dxa"/>
            <w:shd w:val="clear" w:color="auto" w:fill="FFFFFF" w:themeFill="background1"/>
          </w:tcPr>
          <w:p w:rsidR="00E750A0" w:rsidRPr="002F17B5" w:rsidRDefault="00E750A0" w:rsidP="009376DC">
            <w:pPr>
              <w:tabs>
                <w:tab w:val="num" w:pos="0"/>
              </w:tabs>
              <w:spacing w:before="100" w:beforeAutospacing="1" w:after="80"/>
              <w:jc w:val="center"/>
            </w:pPr>
            <w:r w:rsidRPr="002F17B5">
              <w:t>£m</w:t>
            </w:r>
          </w:p>
        </w:tc>
      </w:tr>
      <w:tr w:rsidR="00E750A0" w:rsidRPr="002F17B5" w:rsidTr="00006736">
        <w:trPr>
          <w:jc w:val="center"/>
        </w:trPr>
        <w:tc>
          <w:tcPr>
            <w:tcW w:w="4111" w:type="dxa"/>
            <w:shd w:val="clear" w:color="auto" w:fill="FFFFFF" w:themeFill="background1"/>
            <w:vAlign w:val="bottom"/>
          </w:tcPr>
          <w:p w:rsidR="00E750A0" w:rsidRPr="002F17B5" w:rsidRDefault="005C0198" w:rsidP="00AD5D5C">
            <w:pPr>
              <w:tabs>
                <w:tab w:val="num" w:pos="0"/>
              </w:tabs>
              <w:spacing w:before="100" w:beforeAutospacing="1" w:after="80"/>
              <w:jc w:val="left"/>
            </w:pPr>
            <w:r w:rsidRPr="002F17B5">
              <w:t>Payable in  2014/15</w:t>
            </w:r>
          </w:p>
        </w:tc>
        <w:tc>
          <w:tcPr>
            <w:tcW w:w="1418" w:type="dxa"/>
            <w:shd w:val="clear" w:color="auto" w:fill="FFFFFF" w:themeFill="background1"/>
            <w:vAlign w:val="center"/>
          </w:tcPr>
          <w:p w:rsidR="00E750A0" w:rsidRPr="002F17B5" w:rsidRDefault="0052033C" w:rsidP="009376DC">
            <w:pPr>
              <w:tabs>
                <w:tab w:val="num" w:pos="0"/>
              </w:tabs>
              <w:spacing w:before="100" w:beforeAutospacing="1" w:after="80"/>
              <w:ind w:right="376"/>
              <w:jc w:val="right"/>
              <w:rPr>
                <w:szCs w:val="18"/>
              </w:rPr>
            </w:pPr>
            <w:r w:rsidRPr="002F17B5">
              <w:rPr>
                <w:szCs w:val="18"/>
              </w:rPr>
              <w:t>0.</w:t>
            </w:r>
            <w:r w:rsidR="00594FBE">
              <w:rPr>
                <w:szCs w:val="18"/>
              </w:rPr>
              <w:t>3</w:t>
            </w:r>
          </w:p>
        </w:tc>
        <w:tc>
          <w:tcPr>
            <w:tcW w:w="1559" w:type="dxa"/>
            <w:shd w:val="clear" w:color="auto" w:fill="FFFFFF" w:themeFill="background1"/>
            <w:vAlign w:val="center"/>
          </w:tcPr>
          <w:p w:rsidR="00E750A0" w:rsidRPr="002F17B5" w:rsidRDefault="0052033C" w:rsidP="009376DC">
            <w:pPr>
              <w:tabs>
                <w:tab w:val="num" w:pos="0"/>
              </w:tabs>
              <w:spacing w:before="100" w:beforeAutospacing="1" w:after="80"/>
              <w:ind w:right="376"/>
              <w:jc w:val="right"/>
              <w:rPr>
                <w:szCs w:val="18"/>
              </w:rPr>
            </w:pPr>
            <w:r w:rsidRPr="002F17B5">
              <w:rPr>
                <w:szCs w:val="18"/>
              </w:rPr>
              <w:t>0.4</w:t>
            </w:r>
          </w:p>
        </w:tc>
        <w:tc>
          <w:tcPr>
            <w:tcW w:w="1417" w:type="dxa"/>
            <w:shd w:val="clear" w:color="auto" w:fill="FFFFFF" w:themeFill="background1"/>
            <w:vAlign w:val="center"/>
          </w:tcPr>
          <w:p w:rsidR="00E750A0" w:rsidRPr="002F17B5" w:rsidRDefault="00594FBE" w:rsidP="009376DC">
            <w:pPr>
              <w:tabs>
                <w:tab w:val="num" w:pos="0"/>
              </w:tabs>
              <w:spacing w:before="100" w:beforeAutospacing="1" w:after="80"/>
              <w:ind w:right="375"/>
              <w:jc w:val="right"/>
              <w:rPr>
                <w:szCs w:val="18"/>
              </w:rPr>
            </w:pPr>
            <w:r>
              <w:rPr>
                <w:szCs w:val="18"/>
              </w:rPr>
              <w:t>1.1</w:t>
            </w:r>
          </w:p>
        </w:tc>
        <w:tc>
          <w:tcPr>
            <w:tcW w:w="1560" w:type="dxa"/>
            <w:shd w:val="clear" w:color="auto" w:fill="FFFFFF" w:themeFill="background1"/>
            <w:vAlign w:val="center"/>
          </w:tcPr>
          <w:p w:rsidR="00E750A0" w:rsidRPr="002F17B5" w:rsidRDefault="0052033C" w:rsidP="009376DC">
            <w:pPr>
              <w:tabs>
                <w:tab w:val="num" w:pos="0"/>
                <w:tab w:val="left" w:pos="826"/>
              </w:tabs>
              <w:spacing w:before="100" w:beforeAutospacing="1" w:after="80"/>
              <w:ind w:right="518"/>
              <w:jc w:val="right"/>
              <w:rPr>
                <w:szCs w:val="18"/>
              </w:rPr>
            </w:pPr>
            <w:r w:rsidRPr="002F17B5">
              <w:rPr>
                <w:szCs w:val="18"/>
              </w:rPr>
              <w:t>1.8</w:t>
            </w:r>
          </w:p>
        </w:tc>
      </w:tr>
      <w:tr w:rsidR="00E750A0" w:rsidRPr="002F17B5" w:rsidTr="00006736">
        <w:trPr>
          <w:jc w:val="center"/>
        </w:trPr>
        <w:tc>
          <w:tcPr>
            <w:tcW w:w="4111" w:type="dxa"/>
            <w:shd w:val="clear" w:color="auto" w:fill="FFFFFF" w:themeFill="background1"/>
            <w:vAlign w:val="bottom"/>
          </w:tcPr>
          <w:p w:rsidR="00E750A0" w:rsidRPr="002F17B5" w:rsidRDefault="00E750A0" w:rsidP="00AD5D5C">
            <w:pPr>
              <w:tabs>
                <w:tab w:val="num" w:pos="0"/>
              </w:tabs>
              <w:spacing w:before="100" w:beforeAutospacing="1" w:after="80"/>
              <w:jc w:val="left"/>
            </w:pPr>
            <w:r w:rsidRPr="002F17B5">
              <w:t>Payable within two to five years</w:t>
            </w:r>
          </w:p>
        </w:tc>
        <w:tc>
          <w:tcPr>
            <w:tcW w:w="1418" w:type="dxa"/>
            <w:shd w:val="clear" w:color="auto" w:fill="FFFFFF" w:themeFill="background1"/>
            <w:vAlign w:val="center"/>
          </w:tcPr>
          <w:p w:rsidR="00E750A0" w:rsidRPr="002F17B5" w:rsidRDefault="00594FBE" w:rsidP="009376DC">
            <w:pPr>
              <w:tabs>
                <w:tab w:val="num" w:pos="0"/>
              </w:tabs>
              <w:spacing w:before="100" w:beforeAutospacing="1" w:after="80"/>
              <w:ind w:right="376"/>
              <w:jc w:val="right"/>
              <w:rPr>
                <w:szCs w:val="18"/>
              </w:rPr>
            </w:pPr>
            <w:r>
              <w:rPr>
                <w:szCs w:val="18"/>
              </w:rPr>
              <w:t>1.4</w:t>
            </w:r>
          </w:p>
        </w:tc>
        <w:tc>
          <w:tcPr>
            <w:tcW w:w="1559" w:type="dxa"/>
            <w:shd w:val="clear" w:color="auto" w:fill="FFFFFF" w:themeFill="background1"/>
            <w:vAlign w:val="center"/>
          </w:tcPr>
          <w:p w:rsidR="00E750A0" w:rsidRPr="002F17B5" w:rsidRDefault="0052033C" w:rsidP="009376DC">
            <w:pPr>
              <w:tabs>
                <w:tab w:val="num" w:pos="0"/>
              </w:tabs>
              <w:spacing w:before="100" w:beforeAutospacing="1" w:after="80"/>
              <w:ind w:right="376"/>
              <w:jc w:val="right"/>
              <w:rPr>
                <w:szCs w:val="18"/>
              </w:rPr>
            </w:pPr>
            <w:r w:rsidRPr="002F17B5">
              <w:rPr>
                <w:szCs w:val="18"/>
              </w:rPr>
              <w:t>1.6</w:t>
            </w:r>
          </w:p>
        </w:tc>
        <w:tc>
          <w:tcPr>
            <w:tcW w:w="1417" w:type="dxa"/>
            <w:shd w:val="clear" w:color="auto" w:fill="FFFFFF" w:themeFill="background1"/>
            <w:vAlign w:val="center"/>
          </w:tcPr>
          <w:p w:rsidR="00E750A0" w:rsidRPr="002F17B5" w:rsidRDefault="00594FBE" w:rsidP="009376DC">
            <w:pPr>
              <w:tabs>
                <w:tab w:val="num" w:pos="0"/>
              </w:tabs>
              <w:spacing w:before="100" w:beforeAutospacing="1" w:after="80"/>
              <w:ind w:right="375"/>
              <w:jc w:val="right"/>
              <w:rPr>
                <w:szCs w:val="18"/>
              </w:rPr>
            </w:pPr>
            <w:r>
              <w:rPr>
                <w:szCs w:val="18"/>
              </w:rPr>
              <w:t>4.1</w:t>
            </w:r>
          </w:p>
        </w:tc>
        <w:tc>
          <w:tcPr>
            <w:tcW w:w="1560" w:type="dxa"/>
            <w:shd w:val="clear" w:color="auto" w:fill="FFFFFF" w:themeFill="background1"/>
            <w:vAlign w:val="center"/>
          </w:tcPr>
          <w:p w:rsidR="00E750A0" w:rsidRPr="002F17B5" w:rsidRDefault="0052033C" w:rsidP="009376DC">
            <w:pPr>
              <w:tabs>
                <w:tab w:val="num" w:pos="0"/>
                <w:tab w:val="left" w:pos="826"/>
              </w:tabs>
              <w:spacing w:before="100" w:beforeAutospacing="1" w:after="80"/>
              <w:ind w:right="518"/>
              <w:jc w:val="right"/>
              <w:rPr>
                <w:szCs w:val="18"/>
              </w:rPr>
            </w:pPr>
            <w:r w:rsidRPr="002F17B5">
              <w:rPr>
                <w:szCs w:val="18"/>
              </w:rPr>
              <w:t>7.1</w:t>
            </w:r>
          </w:p>
        </w:tc>
      </w:tr>
      <w:tr w:rsidR="00E750A0" w:rsidRPr="002F17B5" w:rsidTr="000068C0">
        <w:trPr>
          <w:trHeight w:val="250"/>
          <w:jc w:val="center"/>
        </w:trPr>
        <w:tc>
          <w:tcPr>
            <w:tcW w:w="4111" w:type="dxa"/>
            <w:shd w:val="clear" w:color="auto" w:fill="FFFFFF" w:themeFill="background1"/>
            <w:vAlign w:val="bottom"/>
          </w:tcPr>
          <w:p w:rsidR="00E750A0" w:rsidRPr="002F17B5" w:rsidRDefault="00E750A0" w:rsidP="00AD5D5C">
            <w:pPr>
              <w:tabs>
                <w:tab w:val="num" w:pos="0"/>
              </w:tabs>
              <w:spacing w:before="100" w:beforeAutospacing="1" w:after="80"/>
              <w:jc w:val="left"/>
            </w:pPr>
            <w:r w:rsidRPr="002F17B5">
              <w:t>Payable within six to ten years</w:t>
            </w:r>
          </w:p>
        </w:tc>
        <w:tc>
          <w:tcPr>
            <w:tcW w:w="1418" w:type="dxa"/>
            <w:shd w:val="clear" w:color="auto" w:fill="FFFFFF" w:themeFill="background1"/>
            <w:vAlign w:val="center"/>
          </w:tcPr>
          <w:p w:rsidR="00E750A0" w:rsidRPr="002F17B5" w:rsidRDefault="00594FBE" w:rsidP="009376DC">
            <w:pPr>
              <w:tabs>
                <w:tab w:val="num" w:pos="0"/>
              </w:tabs>
              <w:spacing w:before="100" w:beforeAutospacing="1" w:after="80"/>
              <w:ind w:right="376"/>
              <w:jc w:val="right"/>
              <w:rPr>
                <w:szCs w:val="18"/>
              </w:rPr>
            </w:pPr>
            <w:r>
              <w:rPr>
                <w:szCs w:val="18"/>
              </w:rPr>
              <w:t>1.7</w:t>
            </w:r>
          </w:p>
        </w:tc>
        <w:tc>
          <w:tcPr>
            <w:tcW w:w="1559" w:type="dxa"/>
            <w:shd w:val="clear" w:color="auto" w:fill="FFFFFF" w:themeFill="background1"/>
            <w:vAlign w:val="center"/>
          </w:tcPr>
          <w:p w:rsidR="00E750A0" w:rsidRPr="002F17B5" w:rsidRDefault="0052033C" w:rsidP="009376DC">
            <w:pPr>
              <w:tabs>
                <w:tab w:val="num" w:pos="0"/>
              </w:tabs>
              <w:spacing w:before="100" w:beforeAutospacing="1" w:after="80"/>
              <w:ind w:right="376"/>
              <w:jc w:val="right"/>
              <w:rPr>
                <w:szCs w:val="18"/>
              </w:rPr>
            </w:pPr>
            <w:r w:rsidRPr="002F17B5">
              <w:rPr>
                <w:szCs w:val="18"/>
              </w:rPr>
              <w:t>3.3</w:t>
            </w:r>
          </w:p>
        </w:tc>
        <w:tc>
          <w:tcPr>
            <w:tcW w:w="1417" w:type="dxa"/>
            <w:shd w:val="clear" w:color="auto" w:fill="FFFFFF" w:themeFill="background1"/>
            <w:vAlign w:val="center"/>
          </w:tcPr>
          <w:p w:rsidR="00E750A0" w:rsidRPr="002F17B5" w:rsidRDefault="00594FBE" w:rsidP="009376DC">
            <w:pPr>
              <w:tabs>
                <w:tab w:val="num" w:pos="0"/>
              </w:tabs>
              <w:spacing w:before="100" w:beforeAutospacing="1" w:after="80"/>
              <w:ind w:right="375"/>
              <w:jc w:val="right"/>
              <w:rPr>
                <w:szCs w:val="18"/>
              </w:rPr>
            </w:pPr>
            <w:r>
              <w:rPr>
                <w:szCs w:val="18"/>
              </w:rPr>
              <w:t>3.9</w:t>
            </w:r>
          </w:p>
        </w:tc>
        <w:tc>
          <w:tcPr>
            <w:tcW w:w="1560" w:type="dxa"/>
            <w:shd w:val="clear" w:color="auto" w:fill="FFFFFF" w:themeFill="background1"/>
            <w:vAlign w:val="center"/>
          </w:tcPr>
          <w:p w:rsidR="00E750A0" w:rsidRPr="002F17B5" w:rsidRDefault="0052033C" w:rsidP="009376DC">
            <w:pPr>
              <w:tabs>
                <w:tab w:val="num" w:pos="0"/>
                <w:tab w:val="left" w:pos="826"/>
              </w:tabs>
              <w:spacing w:before="100" w:beforeAutospacing="1" w:after="80"/>
              <w:ind w:right="518"/>
              <w:jc w:val="right"/>
              <w:rPr>
                <w:szCs w:val="18"/>
              </w:rPr>
            </w:pPr>
            <w:r w:rsidRPr="002F17B5">
              <w:rPr>
                <w:szCs w:val="18"/>
              </w:rPr>
              <w:t>8.9</w:t>
            </w:r>
          </w:p>
        </w:tc>
      </w:tr>
      <w:tr w:rsidR="00E750A0" w:rsidRPr="002F17B5" w:rsidTr="00006736">
        <w:trPr>
          <w:jc w:val="center"/>
        </w:trPr>
        <w:tc>
          <w:tcPr>
            <w:tcW w:w="4111" w:type="dxa"/>
            <w:shd w:val="clear" w:color="auto" w:fill="FFFFFF" w:themeFill="background1"/>
            <w:vAlign w:val="bottom"/>
          </w:tcPr>
          <w:p w:rsidR="00E750A0" w:rsidRPr="002F17B5" w:rsidRDefault="00E750A0" w:rsidP="00AD5D5C">
            <w:pPr>
              <w:tabs>
                <w:tab w:val="num" w:pos="0"/>
              </w:tabs>
              <w:spacing w:before="100" w:beforeAutospacing="1" w:after="80"/>
              <w:jc w:val="left"/>
            </w:pPr>
            <w:r w:rsidRPr="002F17B5">
              <w:t>Payable within eleven to fifteen years</w:t>
            </w:r>
          </w:p>
        </w:tc>
        <w:tc>
          <w:tcPr>
            <w:tcW w:w="1418" w:type="dxa"/>
            <w:shd w:val="clear" w:color="auto" w:fill="FFFFFF" w:themeFill="background1"/>
            <w:vAlign w:val="center"/>
          </w:tcPr>
          <w:p w:rsidR="00E750A0" w:rsidRPr="002F17B5" w:rsidRDefault="00594FBE" w:rsidP="009376DC">
            <w:pPr>
              <w:tabs>
                <w:tab w:val="num" w:pos="0"/>
              </w:tabs>
              <w:spacing w:before="100" w:beforeAutospacing="1" w:after="80"/>
              <w:ind w:right="376"/>
              <w:jc w:val="right"/>
              <w:rPr>
                <w:szCs w:val="18"/>
              </w:rPr>
            </w:pPr>
            <w:r>
              <w:rPr>
                <w:szCs w:val="18"/>
              </w:rPr>
              <w:t>1.4</w:t>
            </w:r>
          </w:p>
        </w:tc>
        <w:tc>
          <w:tcPr>
            <w:tcW w:w="1559" w:type="dxa"/>
            <w:shd w:val="clear" w:color="auto" w:fill="FFFFFF" w:themeFill="background1"/>
            <w:vAlign w:val="center"/>
          </w:tcPr>
          <w:p w:rsidR="00E750A0" w:rsidRPr="002F17B5" w:rsidRDefault="0052033C" w:rsidP="009376DC">
            <w:pPr>
              <w:tabs>
                <w:tab w:val="num" w:pos="0"/>
              </w:tabs>
              <w:spacing w:before="100" w:beforeAutospacing="1" w:after="80"/>
              <w:ind w:right="376"/>
              <w:jc w:val="right"/>
              <w:rPr>
                <w:szCs w:val="18"/>
              </w:rPr>
            </w:pPr>
            <w:r w:rsidRPr="002F17B5">
              <w:rPr>
                <w:szCs w:val="18"/>
              </w:rPr>
              <w:t>3.2</w:t>
            </w:r>
          </w:p>
        </w:tc>
        <w:tc>
          <w:tcPr>
            <w:tcW w:w="1417" w:type="dxa"/>
            <w:shd w:val="clear" w:color="auto" w:fill="FFFFFF" w:themeFill="background1"/>
            <w:vAlign w:val="center"/>
          </w:tcPr>
          <w:p w:rsidR="00E750A0" w:rsidRPr="002F17B5" w:rsidRDefault="00594FBE" w:rsidP="009376DC">
            <w:pPr>
              <w:tabs>
                <w:tab w:val="num" w:pos="0"/>
              </w:tabs>
              <w:spacing w:before="100" w:beforeAutospacing="1" w:after="80"/>
              <w:ind w:right="375"/>
              <w:jc w:val="right"/>
              <w:rPr>
                <w:szCs w:val="18"/>
              </w:rPr>
            </w:pPr>
            <w:r>
              <w:rPr>
                <w:szCs w:val="18"/>
              </w:rPr>
              <w:t>1.5</w:t>
            </w:r>
          </w:p>
        </w:tc>
        <w:tc>
          <w:tcPr>
            <w:tcW w:w="1560" w:type="dxa"/>
            <w:shd w:val="clear" w:color="auto" w:fill="FFFFFF" w:themeFill="background1"/>
            <w:vAlign w:val="center"/>
          </w:tcPr>
          <w:p w:rsidR="00E750A0" w:rsidRPr="002F17B5" w:rsidRDefault="0052033C" w:rsidP="009376DC">
            <w:pPr>
              <w:tabs>
                <w:tab w:val="num" w:pos="0"/>
                <w:tab w:val="left" w:pos="826"/>
              </w:tabs>
              <w:spacing w:before="100" w:beforeAutospacing="1" w:after="80"/>
              <w:ind w:right="518"/>
              <w:jc w:val="right"/>
              <w:rPr>
                <w:szCs w:val="18"/>
              </w:rPr>
            </w:pPr>
            <w:r w:rsidRPr="002F17B5">
              <w:rPr>
                <w:szCs w:val="18"/>
              </w:rPr>
              <w:t>6.1</w:t>
            </w:r>
          </w:p>
        </w:tc>
      </w:tr>
      <w:tr w:rsidR="00E750A0" w:rsidRPr="002F17B5" w:rsidTr="00006736">
        <w:trPr>
          <w:jc w:val="center"/>
        </w:trPr>
        <w:tc>
          <w:tcPr>
            <w:tcW w:w="4111" w:type="dxa"/>
            <w:shd w:val="clear" w:color="auto" w:fill="FFFFFF" w:themeFill="background1"/>
            <w:vAlign w:val="bottom"/>
          </w:tcPr>
          <w:p w:rsidR="00E750A0" w:rsidRPr="002F17B5" w:rsidRDefault="00E750A0" w:rsidP="009376DC">
            <w:pPr>
              <w:tabs>
                <w:tab w:val="num" w:pos="0"/>
              </w:tabs>
              <w:spacing w:before="100" w:beforeAutospacing="1" w:after="80"/>
              <w:rPr>
                <w:b/>
                <w:bCs/>
              </w:rPr>
            </w:pPr>
            <w:r w:rsidRPr="002F17B5">
              <w:rPr>
                <w:b/>
                <w:bCs/>
              </w:rPr>
              <w:t>Total</w:t>
            </w:r>
          </w:p>
        </w:tc>
        <w:tc>
          <w:tcPr>
            <w:tcW w:w="1418" w:type="dxa"/>
            <w:shd w:val="clear" w:color="auto" w:fill="FFFFFF" w:themeFill="background1"/>
            <w:vAlign w:val="center"/>
          </w:tcPr>
          <w:p w:rsidR="00E750A0" w:rsidRPr="002F17B5" w:rsidRDefault="00594FBE" w:rsidP="009376DC">
            <w:pPr>
              <w:tabs>
                <w:tab w:val="num" w:pos="0"/>
              </w:tabs>
              <w:spacing w:before="100" w:beforeAutospacing="1" w:after="80"/>
              <w:ind w:right="376"/>
              <w:jc w:val="right"/>
              <w:rPr>
                <w:b/>
                <w:bCs/>
              </w:rPr>
            </w:pPr>
            <w:r>
              <w:rPr>
                <w:b/>
                <w:bCs/>
              </w:rPr>
              <w:t>4.8</w:t>
            </w:r>
          </w:p>
        </w:tc>
        <w:tc>
          <w:tcPr>
            <w:tcW w:w="1559" w:type="dxa"/>
            <w:shd w:val="clear" w:color="auto" w:fill="FFFFFF" w:themeFill="background1"/>
            <w:vAlign w:val="center"/>
          </w:tcPr>
          <w:p w:rsidR="00E750A0" w:rsidRPr="002F17B5" w:rsidRDefault="0052033C" w:rsidP="009376DC">
            <w:pPr>
              <w:tabs>
                <w:tab w:val="num" w:pos="0"/>
              </w:tabs>
              <w:spacing w:before="100" w:beforeAutospacing="1" w:after="80"/>
              <w:ind w:right="376"/>
              <w:jc w:val="right"/>
              <w:rPr>
                <w:b/>
                <w:bCs/>
              </w:rPr>
            </w:pPr>
            <w:r w:rsidRPr="002F17B5">
              <w:rPr>
                <w:b/>
                <w:bCs/>
              </w:rPr>
              <w:t>8.5</w:t>
            </w:r>
          </w:p>
        </w:tc>
        <w:tc>
          <w:tcPr>
            <w:tcW w:w="1417" w:type="dxa"/>
            <w:shd w:val="clear" w:color="auto" w:fill="FFFFFF" w:themeFill="background1"/>
            <w:vAlign w:val="center"/>
          </w:tcPr>
          <w:p w:rsidR="00E750A0" w:rsidRPr="002F17B5" w:rsidRDefault="00594FBE" w:rsidP="009376DC">
            <w:pPr>
              <w:tabs>
                <w:tab w:val="num" w:pos="0"/>
              </w:tabs>
              <w:spacing w:before="100" w:beforeAutospacing="1" w:after="80"/>
              <w:ind w:right="375"/>
              <w:jc w:val="right"/>
              <w:rPr>
                <w:b/>
                <w:bCs/>
              </w:rPr>
            </w:pPr>
            <w:r>
              <w:rPr>
                <w:b/>
                <w:bCs/>
              </w:rPr>
              <w:t>10.6</w:t>
            </w:r>
          </w:p>
        </w:tc>
        <w:tc>
          <w:tcPr>
            <w:tcW w:w="1560" w:type="dxa"/>
            <w:shd w:val="clear" w:color="auto" w:fill="FFFFFF" w:themeFill="background1"/>
            <w:vAlign w:val="center"/>
          </w:tcPr>
          <w:p w:rsidR="00E750A0" w:rsidRPr="002F17B5" w:rsidRDefault="0052033C" w:rsidP="009376DC">
            <w:pPr>
              <w:tabs>
                <w:tab w:val="num" w:pos="0"/>
                <w:tab w:val="left" w:pos="826"/>
              </w:tabs>
              <w:spacing w:before="100" w:beforeAutospacing="1" w:after="80"/>
              <w:ind w:right="518"/>
              <w:jc w:val="right"/>
              <w:rPr>
                <w:b/>
                <w:bCs/>
              </w:rPr>
            </w:pPr>
            <w:r w:rsidRPr="002F17B5">
              <w:rPr>
                <w:b/>
                <w:bCs/>
              </w:rPr>
              <w:t>23.9</w:t>
            </w:r>
          </w:p>
        </w:tc>
      </w:tr>
    </w:tbl>
    <w:p w:rsidR="009376DC" w:rsidRPr="002F17B5" w:rsidRDefault="009376DC" w:rsidP="00E750A0">
      <w:pPr>
        <w:tabs>
          <w:tab w:val="num" w:pos="0"/>
        </w:tabs>
        <w:spacing w:after="240"/>
        <w:rPr>
          <w:sz w:val="20"/>
        </w:rPr>
      </w:pPr>
    </w:p>
    <w:p w:rsidR="00E750A0" w:rsidRPr="002F17B5" w:rsidRDefault="00E750A0" w:rsidP="00072A21">
      <w:pPr>
        <w:tabs>
          <w:tab w:val="num" w:pos="0"/>
        </w:tabs>
        <w:spacing w:after="40"/>
        <w:ind w:left="340"/>
      </w:pPr>
      <w:r w:rsidRPr="002F17B5">
        <w:t>To help finance the scheme we received the following income:</w:t>
      </w:r>
    </w:p>
    <w:p w:rsidR="00EF40CF" w:rsidRPr="002F17B5" w:rsidRDefault="00EF40CF" w:rsidP="00EF40CF">
      <w:pPr>
        <w:tabs>
          <w:tab w:val="num" w:pos="0"/>
        </w:tabs>
        <w:spacing w:after="40"/>
        <w:rPr>
          <w:sz w:val="16"/>
        </w:rPr>
      </w:pPr>
    </w:p>
    <w:tbl>
      <w:tblPr>
        <w:tblW w:w="9214" w:type="dxa"/>
        <w:tblInd w:w="392" w:type="dxa"/>
        <w:tblLook w:val="04A0" w:firstRow="1" w:lastRow="0" w:firstColumn="1" w:lastColumn="0" w:noHBand="0" w:noVBand="1"/>
      </w:tblPr>
      <w:tblGrid>
        <w:gridCol w:w="5528"/>
        <w:gridCol w:w="1843"/>
        <w:gridCol w:w="142"/>
        <w:gridCol w:w="1701"/>
      </w:tblGrid>
      <w:tr w:rsidR="00E750A0" w:rsidRPr="002F17B5" w:rsidTr="000068C0">
        <w:tc>
          <w:tcPr>
            <w:tcW w:w="5528" w:type="dxa"/>
            <w:shd w:val="clear" w:color="auto" w:fill="FFFFFF" w:themeFill="background1"/>
          </w:tcPr>
          <w:p w:rsidR="00E750A0" w:rsidRPr="002F17B5" w:rsidRDefault="00E750A0" w:rsidP="00EF40CF">
            <w:pPr>
              <w:tabs>
                <w:tab w:val="num" w:pos="0"/>
              </w:tabs>
              <w:spacing w:after="40"/>
            </w:pPr>
          </w:p>
        </w:tc>
        <w:tc>
          <w:tcPr>
            <w:tcW w:w="1843" w:type="dxa"/>
            <w:shd w:val="clear" w:color="auto" w:fill="FFFFFF" w:themeFill="background1"/>
          </w:tcPr>
          <w:p w:rsidR="00E750A0" w:rsidRPr="002F17B5" w:rsidRDefault="00CD4CF3" w:rsidP="00EF40CF">
            <w:pPr>
              <w:tabs>
                <w:tab w:val="num" w:pos="-250"/>
              </w:tabs>
              <w:spacing w:after="40"/>
              <w:jc w:val="right"/>
              <w:rPr>
                <w:b/>
              </w:rPr>
            </w:pPr>
            <w:r w:rsidRPr="002F17B5">
              <w:rPr>
                <w:b/>
              </w:rPr>
              <w:t>2013/14</w:t>
            </w:r>
          </w:p>
        </w:tc>
        <w:tc>
          <w:tcPr>
            <w:tcW w:w="1843" w:type="dxa"/>
            <w:gridSpan w:val="2"/>
            <w:shd w:val="clear" w:color="auto" w:fill="FFFFFF" w:themeFill="background1"/>
          </w:tcPr>
          <w:p w:rsidR="00E750A0" w:rsidRPr="002F17B5" w:rsidRDefault="00CD4CF3" w:rsidP="00EF40CF">
            <w:pPr>
              <w:tabs>
                <w:tab w:val="num" w:pos="0"/>
              </w:tabs>
              <w:spacing w:after="40"/>
              <w:ind w:right="175"/>
              <w:jc w:val="right"/>
              <w:rPr>
                <w:b/>
              </w:rPr>
            </w:pPr>
            <w:r w:rsidRPr="002F17B5">
              <w:rPr>
                <w:b/>
              </w:rPr>
              <w:t>2012/13</w:t>
            </w:r>
          </w:p>
        </w:tc>
      </w:tr>
      <w:tr w:rsidR="00E750A0" w:rsidRPr="002F17B5" w:rsidTr="00AD5D5C">
        <w:trPr>
          <w:trHeight w:val="536"/>
        </w:trPr>
        <w:tc>
          <w:tcPr>
            <w:tcW w:w="5528" w:type="dxa"/>
            <w:shd w:val="clear" w:color="auto" w:fill="FFFFFF" w:themeFill="background1"/>
          </w:tcPr>
          <w:p w:rsidR="00E750A0" w:rsidRPr="002F17B5" w:rsidRDefault="00E750A0" w:rsidP="00EF40CF">
            <w:pPr>
              <w:tabs>
                <w:tab w:val="num" w:pos="0"/>
              </w:tabs>
              <w:spacing w:after="40"/>
            </w:pPr>
          </w:p>
        </w:tc>
        <w:tc>
          <w:tcPr>
            <w:tcW w:w="1985" w:type="dxa"/>
            <w:gridSpan w:val="2"/>
            <w:shd w:val="clear" w:color="auto" w:fill="FFFFFF" w:themeFill="background1"/>
          </w:tcPr>
          <w:p w:rsidR="00E750A0" w:rsidRPr="002F17B5" w:rsidRDefault="00E750A0" w:rsidP="00EF40CF">
            <w:pPr>
              <w:tabs>
                <w:tab w:val="num" w:pos="0"/>
              </w:tabs>
              <w:spacing w:after="40"/>
              <w:ind w:right="317"/>
              <w:jc w:val="right"/>
            </w:pPr>
            <w:r w:rsidRPr="002F17B5">
              <w:t>£m</w:t>
            </w:r>
          </w:p>
        </w:tc>
        <w:tc>
          <w:tcPr>
            <w:tcW w:w="1701" w:type="dxa"/>
            <w:shd w:val="clear" w:color="auto" w:fill="FFFFFF" w:themeFill="background1"/>
          </w:tcPr>
          <w:p w:rsidR="00E750A0" w:rsidRPr="002F17B5" w:rsidRDefault="00E750A0" w:rsidP="00AD5D5C">
            <w:pPr>
              <w:tabs>
                <w:tab w:val="num" w:pos="0"/>
              </w:tabs>
              <w:spacing w:after="40"/>
              <w:ind w:left="227" w:right="340"/>
              <w:jc w:val="right"/>
            </w:pPr>
            <w:r w:rsidRPr="002F17B5">
              <w:t>£m</w:t>
            </w:r>
          </w:p>
        </w:tc>
      </w:tr>
      <w:tr w:rsidR="005C0198" w:rsidRPr="002F17B5" w:rsidTr="00AD5D5C">
        <w:trPr>
          <w:trHeight w:val="288"/>
        </w:trPr>
        <w:tc>
          <w:tcPr>
            <w:tcW w:w="5528" w:type="dxa"/>
            <w:shd w:val="clear" w:color="auto" w:fill="FFFFFF" w:themeFill="background1"/>
            <w:vAlign w:val="center"/>
          </w:tcPr>
          <w:p w:rsidR="005C0198" w:rsidRPr="002F17B5" w:rsidRDefault="005C0198" w:rsidP="00EF40CF">
            <w:pPr>
              <w:tabs>
                <w:tab w:val="num" w:pos="0"/>
              </w:tabs>
              <w:spacing w:after="40"/>
              <w:jc w:val="left"/>
            </w:pPr>
            <w:r w:rsidRPr="002F17B5">
              <w:t>PFI grant from the government</w:t>
            </w:r>
          </w:p>
        </w:tc>
        <w:tc>
          <w:tcPr>
            <w:tcW w:w="1985" w:type="dxa"/>
            <w:gridSpan w:val="2"/>
            <w:shd w:val="clear" w:color="auto" w:fill="FFFFFF" w:themeFill="background1"/>
            <w:vAlign w:val="center"/>
          </w:tcPr>
          <w:p w:rsidR="005C0198" w:rsidRPr="002F17B5" w:rsidRDefault="0052033C" w:rsidP="00EF40CF">
            <w:pPr>
              <w:tabs>
                <w:tab w:val="num" w:pos="-249"/>
              </w:tabs>
              <w:spacing w:after="40"/>
              <w:ind w:right="317"/>
              <w:jc w:val="right"/>
            </w:pPr>
            <w:r w:rsidRPr="002F17B5">
              <w:t>1.3</w:t>
            </w:r>
          </w:p>
        </w:tc>
        <w:tc>
          <w:tcPr>
            <w:tcW w:w="1701" w:type="dxa"/>
            <w:shd w:val="clear" w:color="auto" w:fill="FFFFFF" w:themeFill="background1"/>
            <w:vAlign w:val="center"/>
          </w:tcPr>
          <w:p w:rsidR="001D73DF" w:rsidRPr="002F17B5" w:rsidRDefault="005C0198" w:rsidP="00EF40CF">
            <w:pPr>
              <w:tabs>
                <w:tab w:val="num" w:pos="0"/>
                <w:tab w:val="left" w:pos="1027"/>
              </w:tabs>
              <w:spacing w:after="40"/>
              <w:ind w:right="317"/>
              <w:jc w:val="right"/>
            </w:pPr>
            <w:r w:rsidRPr="002F17B5">
              <w:t>1.3</w:t>
            </w:r>
          </w:p>
        </w:tc>
      </w:tr>
      <w:tr w:rsidR="005C0198" w:rsidRPr="002F17B5" w:rsidTr="00AD5D5C">
        <w:tc>
          <w:tcPr>
            <w:tcW w:w="5528" w:type="dxa"/>
            <w:shd w:val="clear" w:color="auto" w:fill="FFFFFF" w:themeFill="background1"/>
            <w:vAlign w:val="center"/>
          </w:tcPr>
          <w:p w:rsidR="005C0198" w:rsidRPr="002F17B5" w:rsidRDefault="005C0198" w:rsidP="00EF40CF">
            <w:pPr>
              <w:tabs>
                <w:tab w:val="num" w:pos="0"/>
              </w:tabs>
              <w:spacing w:after="40"/>
              <w:jc w:val="left"/>
            </w:pPr>
            <w:r w:rsidRPr="002F17B5">
              <w:t>Contributions from the school</w:t>
            </w:r>
          </w:p>
        </w:tc>
        <w:tc>
          <w:tcPr>
            <w:tcW w:w="1985" w:type="dxa"/>
            <w:gridSpan w:val="2"/>
            <w:shd w:val="clear" w:color="auto" w:fill="FFFFFF" w:themeFill="background1"/>
            <w:vAlign w:val="center"/>
          </w:tcPr>
          <w:p w:rsidR="005C0198" w:rsidRPr="002F17B5" w:rsidRDefault="0052033C" w:rsidP="00EF40CF">
            <w:pPr>
              <w:tabs>
                <w:tab w:val="num" w:pos="0"/>
              </w:tabs>
              <w:spacing w:after="40"/>
              <w:ind w:right="317"/>
              <w:jc w:val="right"/>
            </w:pPr>
            <w:r w:rsidRPr="002F17B5">
              <w:t>0.4</w:t>
            </w:r>
          </w:p>
        </w:tc>
        <w:tc>
          <w:tcPr>
            <w:tcW w:w="1701" w:type="dxa"/>
            <w:shd w:val="clear" w:color="auto" w:fill="FFFFFF" w:themeFill="background1"/>
            <w:vAlign w:val="center"/>
          </w:tcPr>
          <w:p w:rsidR="001D73DF" w:rsidRPr="002F17B5" w:rsidRDefault="005C0198" w:rsidP="00EF40CF">
            <w:pPr>
              <w:tabs>
                <w:tab w:val="num" w:pos="0"/>
                <w:tab w:val="left" w:pos="1027"/>
              </w:tabs>
              <w:spacing w:after="40"/>
              <w:ind w:right="317"/>
              <w:jc w:val="right"/>
            </w:pPr>
            <w:r w:rsidRPr="002F17B5">
              <w:t>0.4</w:t>
            </w:r>
          </w:p>
        </w:tc>
      </w:tr>
      <w:tr w:rsidR="005C0198" w:rsidRPr="002F17B5" w:rsidTr="00AD5D5C">
        <w:tc>
          <w:tcPr>
            <w:tcW w:w="5528" w:type="dxa"/>
            <w:shd w:val="clear" w:color="auto" w:fill="FFFFFF" w:themeFill="background1"/>
            <w:vAlign w:val="center"/>
          </w:tcPr>
          <w:p w:rsidR="005C0198" w:rsidRPr="002F17B5" w:rsidRDefault="005C0198" w:rsidP="00EF40CF">
            <w:pPr>
              <w:tabs>
                <w:tab w:val="num" w:pos="0"/>
              </w:tabs>
              <w:spacing w:after="40"/>
              <w:jc w:val="left"/>
              <w:rPr>
                <w:b/>
              </w:rPr>
            </w:pPr>
            <w:r w:rsidRPr="002F17B5">
              <w:rPr>
                <w:b/>
              </w:rPr>
              <w:t>Total</w:t>
            </w:r>
          </w:p>
        </w:tc>
        <w:tc>
          <w:tcPr>
            <w:tcW w:w="1985" w:type="dxa"/>
            <w:gridSpan w:val="2"/>
            <w:shd w:val="clear" w:color="auto" w:fill="FFFFFF" w:themeFill="background1"/>
            <w:vAlign w:val="center"/>
          </w:tcPr>
          <w:p w:rsidR="005C0198" w:rsidRPr="002F17B5" w:rsidRDefault="0052033C" w:rsidP="00EF40CF">
            <w:pPr>
              <w:tabs>
                <w:tab w:val="num" w:pos="0"/>
              </w:tabs>
              <w:spacing w:after="40"/>
              <w:ind w:right="317"/>
              <w:jc w:val="right"/>
              <w:rPr>
                <w:b/>
              </w:rPr>
            </w:pPr>
            <w:r w:rsidRPr="002F17B5">
              <w:rPr>
                <w:b/>
              </w:rPr>
              <w:t>1.7</w:t>
            </w:r>
          </w:p>
        </w:tc>
        <w:tc>
          <w:tcPr>
            <w:tcW w:w="1701" w:type="dxa"/>
            <w:shd w:val="clear" w:color="auto" w:fill="FFFFFF" w:themeFill="background1"/>
            <w:vAlign w:val="center"/>
          </w:tcPr>
          <w:p w:rsidR="001D73DF" w:rsidRPr="002F17B5" w:rsidRDefault="005C0198" w:rsidP="00EF40CF">
            <w:pPr>
              <w:tabs>
                <w:tab w:val="num" w:pos="0"/>
                <w:tab w:val="left" w:pos="1027"/>
              </w:tabs>
              <w:spacing w:after="40"/>
              <w:ind w:right="317"/>
              <w:jc w:val="right"/>
              <w:rPr>
                <w:b/>
              </w:rPr>
            </w:pPr>
            <w:r w:rsidRPr="002F17B5">
              <w:rPr>
                <w:b/>
              </w:rPr>
              <w:t>1.7</w:t>
            </w:r>
          </w:p>
        </w:tc>
      </w:tr>
    </w:tbl>
    <w:p w:rsidR="0052033C" w:rsidRPr="002F17B5" w:rsidRDefault="0052033C" w:rsidP="00EC68C6">
      <w:pPr>
        <w:rPr>
          <w:b/>
          <w:sz w:val="26"/>
        </w:rPr>
      </w:pPr>
    </w:p>
    <w:p w:rsidR="00A92FC8" w:rsidRDefault="00A92FC8" w:rsidP="00EC68C6">
      <w:pPr>
        <w:rPr>
          <w:b/>
          <w:sz w:val="26"/>
        </w:rPr>
      </w:pPr>
    </w:p>
    <w:p w:rsidR="006728BA" w:rsidRDefault="006728BA" w:rsidP="00EC68C6">
      <w:pPr>
        <w:rPr>
          <w:b/>
          <w:sz w:val="26"/>
        </w:rPr>
      </w:pPr>
    </w:p>
    <w:p w:rsidR="006728BA" w:rsidRPr="002F17B5" w:rsidRDefault="006728BA" w:rsidP="00EC68C6">
      <w:pPr>
        <w:rPr>
          <w:b/>
          <w:sz w:val="26"/>
        </w:rPr>
      </w:pPr>
    </w:p>
    <w:p w:rsidR="00E750A0" w:rsidRPr="002F17B5" w:rsidRDefault="00E750A0" w:rsidP="00EC68C6">
      <w:pPr>
        <w:rPr>
          <w:b/>
          <w:sz w:val="26"/>
        </w:rPr>
      </w:pPr>
      <w:r w:rsidRPr="002F17B5">
        <w:rPr>
          <w:b/>
          <w:sz w:val="26"/>
        </w:rPr>
        <w:lastRenderedPageBreak/>
        <w:t xml:space="preserve">Building Schools for the Future </w:t>
      </w:r>
    </w:p>
    <w:p w:rsidR="00E750A0" w:rsidRPr="002F17B5" w:rsidRDefault="00E750A0" w:rsidP="00E750A0">
      <w:r w:rsidRPr="002F17B5">
        <w:t>We are taking part in the government’s Building Schools for the Future Scheme, which aims to rebuild or modernise every secondary school in the country. As part of wave 1 of the scheme, we have rebuilt the secondary schools in Burnley and part of Pendle in four separate phases under contract with Catalyst Education (</w:t>
      </w:r>
      <w:smartTag w:uri="urn:schemas-microsoft-com:office:smarttags" w:element="place">
        <w:r w:rsidRPr="002F17B5">
          <w:t>Lancashire</w:t>
        </w:r>
      </w:smartTag>
      <w:r w:rsidRPr="002F17B5">
        <w:t>).</w:t>
      </w:r>
    </w:p>
    <w:p w:rsidR="00E750A0" w:rsidRPr="006728BA" w:rsidRDefault="00E750A0" w:rsidP="00E750A0">
      <w:pPr>
        <w:rPr>
          <w:sz w:val="14"/>
        </w:rPr>
      </w:pPr>
    </w:p>
    <w:p w:rsidR="00E750A0" w:rsidRPr="002F17B5" w:rsidRDefault="00E750A0" w:rsidP="00E750A0">
      <w:r w:rsidRPr="002F17B5">
        <w:t>Each delivers a school building (or a number of school buildings) and the provision of on-going services including grounds maintenance, caretaking and building maintenance.</w:t>
      </w:r>
    </w:p>
    <w:p w:rsidR="00E750A0" w:rsidRPr="006728BA" w:rsidRDefault="00E750A0" w:rsidP="00E750A0">
      <w:pPr>
        <w:rPr>
          <w:sz w:val="18"/>
        </w:rPr>
      </w:pPr>
    </w:p>
    <w:p w:rsidR="00E750A0" w:rsidRPr="002F17B5" w:rsidRDefault="00E750A0" w:rsidP="00E750A0">
      <w:r w:rsidRPr="002F17B5">
        <w:t xml:space="preserve">For each contract the council makes an agreed payment each year which is increased by inflation and can be reduced if the contractor fails to meet the agreed availability and performance standards in any year, but is otherwise fixed. </w:t>
      </w:r>
      <w:r w:rsidR="005D6D08" w:rsidRPr="002F17B5">
        <w:t>An estimate of 2.5% is made for future inflation within the model</w:t>
      </w:r>
    </w:p>
    <w:p w:rsidR="00E750A0" w:rsidRPr="006728BA" w:rsidRDefault="00E750A0" w:rsidP="00E750A0">
      <w:pPr>
        <w:ind w:left="720"/>
        <w:rPr>
          <w:sz w:val="14"/>
        </w:rPr>
      </w:pPr>
    </w:p>
    <w:p w:rsidR="00E750A0" w:rsidRPr="002F17B5" w:rsidRDefault="00E750A0" w:rsidP="00AA0715">
      <w:pPr>
        <w:pStyle w:val="ListParagraph"/>
        <w:numPr>
          <w:ilvl w:val="0"/>
          <w:numId w:val="53"/>
        </w:numPr>
        <w:autoSpaceDE/>
        <w:autoSpaceDN/>
        <w:adjustRightInd/>
        <w:spacing w:before="0" w:after="0"/>
        <w:ind w:left="426" w:hanging="426"/>
        <w:contextualSpacing w:val="0"/>
        <w:jc w:val="left"/>
      </w:pPr>
      <w:r w:rsidRPr="002F17B5">
        <w:t xml:space="preserve">Phase 1 -The contract will provide two 1,050-place secondary schools, one with a co-located 90-place secondary special school, a sixth form centre, a primary school, a children’s centre and a library. The arrangement runs from September 2008 to August 2033. </w:t>
      </w:r>
    </w:p>
    <w:p w:rsidR="00E750A0" w:rsidRPr="006728BA" w:rsidRDefault="00E750A0" w:rsidP="00E750A0">
      <w:pPr>
        <w:ind w:left="426" w:hanging="426"/>
        <w:rPr>
          <w:sz w:val="22"/>
        </w:rPr>
      </w:pPr>
    </w:p>
    <w:p w:rsidR="00E750A0" w:rsidRPr="002F17B5" w:rsidRDefault="000A3901" w:rsidP="00AA0715">
      <w:pPr>
        <w:pStyle w:val="ListParagraph"/>
        <w:numPr>
          <w:ilvl w:val="0"/>
          <w:numId w:val="53"/>
        </w:numPr>
        <w:autoSpaceDE/>
        <w:autoSpaceDN/>
        <w:adjustRightInd/>
        <w:spacing w:before="0" w:after="0"/>
        <w:ind w:left="426" w:hanging="426"/>
        <w:contextualSpacing w:val="0"/>
      </w:pPr>
      <w:r w:rsidRPr="002F17B5">
        <w:t xml:space="preserve">Phase 2 </w:t>
      </w:r>
      <w:r w:rsidR="00286D86" w:rsidRPr="002F17B5">
        <w:t>–</w:t>
      </w:r>
      <w:r w:rsidRPr="002F17B5">
        <w:t xml:space="preserve"> The</w:t>
      </w:r>
      <w:r w:rsidR="00286D86" w:rsidRPr="002F17B5">
        <w:t xml:space="preserve"> contract will provide one 1,050 place secondary school with a co-located 90 place secondary special school. The contract also involves providing ongoing services to the buildings. The</w:t>
      </w:r>
      <w:r w:rsidRPr="002F17B5">
        <w:t xml:space="preserve"> arrangement runs from September 2009 to August 2034.</w:t>
      </w:r>
    </w:p>
    <w:p w:rsidR="00E750A0" w:rsidRPr="006728BA" w:rsidRDefault="00E750A0" w:rsidP="00E750A0">
      <w:pPr>
        <w:pStyle w:val="ListParagraph"/>
        <w:ind w:left="426" w:hanging="426"/>
        <w:rPr>
          <w:sz w:val="28"/>
        </w:rPr>
      </w:pPr>
    </w:p>
    <w:p w:rsidR="00E750A0" w:rsidRPr="002F17B5" w:rsidRDefault="00E750A0" w:rsidP="00AA0715">
      <w:pPr>
        <w:pStyle w:val="ListParagraph"/>
        <w:numPr>
          <w:ilvl w:val="0"/>
          <w:numId w:val="53"/>
        </w:numPr>
        <w:autoSpaceDE/>
        <w:autoSpaceDN/>
        <w:adjustRightInd/>
        <w:spacing w:before="0" w:after="0"/>
        <w:ind w:left="426" w:hanging="426"/>
        <w:contextualSpacing w:val="0"/>
      </w:pPr>
      <w:r w:rsidRPr="002F17B5">
        <w:t>Phase 2a -The contract is for approximately 27 years comprising two years construction and 25 years operation once the scho</w:t>
      </w:r>
      <w:r w:rsidR="006728BA">
        <w:t>ols have opened.  One of the</w:t>
      </w:r>
      <w:r w:rsidRPr="002F17B5">
        <w:t xml:space="preserve"> schools opened in April 2010 and the other in September 2010.</w:t>
      </w:r>
    </w:p>
    <w:p w:rsidR="00E750A0" w:rsidRPr="006728BA" w:rsidRDefault="00E750A0" w:rsidP="00E750A0">
      <w:pPr>
        <w:pStyle w:val="ListParagraph"/>
        <w:ind w:left="426" w:hanging="426"/>
        <w:rPr>
          <w:sz w:val="32"/>
        </w:rPr>
      </w:pPr>
    </w:p>
    <w:p w:rsidR="00E750A0" w:rsidRPr="002F17B5" w:rsidRDefault="00E750A0" w:rsidP="00AA0715">
      <w:pPr>
        <w:pStyle w:val="ListParagraph"/>
        <w:numPr>
          <w:ilvl w:val="0"/>
          <w:numId w:val="53"/>
        </w:numPr>
        <w:autoSpaceDE/>
        <w:autoSpaceDN/>
        <w:adjustRightInd/>
        <w:spacing w:before="0" w:after="0"/>
        <w:ind w:left="426" w:hanging="426"/>
        <w:contextualSpacing w:val="0"/>
      </w:pPr>
      <w:r w:rsidRPr="002F17B5">
        <w:t>Phase 3 - The contract is for approximately 27 years comprising two years construction and 25 years operation once t</w:t>
      </w:r>
      <w:r w:rsidR="00EC68C6" w:rsidRPr="002F17B5">
        <w:t>he schools have opened.  The</w:t>
      </w:r>
      <w:r w:rsidRPr="002F17B5">
        <w:t xml:space="preserve"> schools opened in September 2010. </w:t>
      </w:r>
    </w:p>
    <w:p w:rsidR="00B5048A" w:rsidRPr="002F17B5" w:rsidRDefault="00B5048A">
      <w:pPr>
        <w:autoSpaceDE/>
        <w:autoSpaceDN/>
        <w:adjustRightInd/>
        <w:spacing w:after="20"/>
        <w:jc w:val="right"/>
        <w:rPr>
          <w:sz w:val="20"/>
        </w:rPr>
      </w:pPr>
    </w:p>
    <w:p w:rsidR="00A92FC8" w:rsidRPr="002F17B5" w:rsidRDefault="00A92FC8">
      <w:pPr>
        <w:autoSpaceDE/>
        <w:autoSpaceDN/>
        <w:adjustRightInd/>
        <w:spacing w:after="20"/>
        <w:jc w:val="right"/>
        <w:rPr>
          <w:sz w:val="20"/>
        </w:rPr>
      </w:pPr>
    </w:p>
    <w:p w:rsidR="006728BA" w:rsidRDefault="00047CA9" w:rsidP="00E750A0">
      <w:r w:rsidRPr="002F17B5">
        <w:t>C</w:t>
      </w:r>
      <w:r w:rsidR="006D2775" w:rsidRPr="002F17B5">
        <w:t>onsolidated p</w:t>
      </w:r>
      <w:r w:rsidR="00E750A0" w:rsidRPr="002F17B5">
        <w:t xml:space="preserve">ayments remaining to be made under the PFI contract at </w:t>
      </w:r>
      <w:r w:rsidR="006D01F9" w:rsidRPr="002F17B5">
        <w:t>31 March 2014</w:t>
      </w:r>
      <w:r w:rsidR="00E750A0" w:rsidRPr="002F17B5">
        <w:t xml:space="preserve"> </w:t>
      </w:r>
      <w:r w:rsidR="006D2775" w:rsidRPr="002F17B5">
        <w:t xml:space="preserve">for the four phases above </w:t>
      </w:r>
      <w:r w:rsidR="00E750A0" w:rsidRPr="002F17B5">
        <w:t>(excluding any estimation of inflation and availability/performance deducti</w:t>
      </w:r>
      <w:r w:rsidR="006728BA">
        <w:t>ons) are as shown in the following table</w:t>
      </w:r>
    </w:p>
    <w:p w:rsidR="006728BA" w:rsidRDefault="006728BA" w:rsidP="00E750A0"/>
    <w:p w:rsidR="006728BA" w:rsidRDefault="006728BA" w:rsidP="00E750A0"/>
    <w:p w:rsidR="006728BA" w:rsidRDefault="006728BA" w:rsidP="00E750A0"/>
    <w:p w:rsidR="006728BA" w:rsidRDefault="006728BA" w:rsidP="00E750A0"/>
    <w:p w:rsidR="006728BA" w:rsidRDefault="006728BA" w:rsidP="00E750A0"/>
    <w:p w:rsidR="006728BA" w:rsidRDefault="006728BA" w:rsidP="00E750A0"/>
    <w:p w:rsidR="006728BA" w:rsidRDefault="006728BA" w:rsidP="00E750A0"/>
    <w:p w:rsidR="00E750A0" w:rsidRPr="002F17B5" w:rsidRDefault="00E750A0" w:rsidP="00E750A0">
      <w:r w:rsidRPr="002F17B5">
        <w:t xml:space="preserve">: </w:t>
      </w:r>
    </w:p>
    <w:tbl>
      <w:tblPr>
        <w:tblW w:w="10931" w:type="dxa"/>
        <w:jc w:val="center"/>
        <w:tblLayout w:type="fixed"/>
        <w:tblLook w:val="04A0" w:firstRow="1" w:lastRow="0" w:firstColumn="1" w:lastColumn="0" w:noHBand="0" w:noVBand="1"/>
      </w:tblPr>
      <w:tblGrid>
        <w:gridCol w:w="5053"/>
        <w:gridCol w:w="1417"/>
        <w:gridCol w:w="1626"/>
        <w:gridCol w:w="1418"/>
        <w:gridCol w:w="1417"/>
      </w:tblGrid>
      <w:tr w:rsidR="00E750A0" w:rsidRPr="002F17B5" w:rsidTr="00A92FC8">
        <w:trPr>
          <w:trHeight w:val="954"/>
          <w:jc w:val="center"/>
        </w:trPr>
        <w:tc>
          <w:tcPr>
            <w:tcW w:w="5053" w:type="dxa"/>
            <w:shd w:val="clear" w:color="auto" w:fill="FFFFFF" w:themeFill="background1"/>
            <w:hideMark/>
          </w:tcPr>
          <w:p w:rsidR="00E750A0" w:rsidRPr="002F17B5" w:rsidRDefault="00E750A0" w:rsidP="00A92FC8">
            <w:pPr>
              <w:spacing w:after="40"/>
              <w:jc w:val="center"/>
              <w:rPr>
                <w:b/>
                <w:bCs/>
              </w:rPr>
            </w:pPr>
            <w:r w:rsidRPr="002F17B5">
              <w:rPr>
                <w:b/>
                <w:bCs/>
              </w:rPr>
              <w:lastRenderedPageBreak/>
              <w:t> </w:t>
            </w:r>
          </w:p>
        </w:tc>
        <w:tc>
          <w:tcPr>
            <w:tcW w:w="1417" w:type="dxa"/>
            <w:shd w:val="clear" w:color="auto" w:fill="FFFFFF" w:themeFill="background1"/>
            <w:hideMark/>
          </w:tcPr>
          <w:p w:rsidR="00E750A0" w:rsidRPr="002F17B5" w:rsidRDefault="00E750A0" w:rsidP="00A92FC8">
            <w:pPr>
              <w:spacing w:after="40"/>
              <w:jc w:val="center"/>
              <w:rPr>
                <w:b/>
                <w:bCs/>
              </w:rPr>
            </w:pPr>
            <w:r w:rsidRPr="002F17B5">
              <w:rPr>
                <w:b/>
                <w:bCs/>
              </w:rPr>
              <w:t>Payments for Services</w:t>
            </w:r>
          </w:p>
        </w:tc>
        <w:tc>
          <w:tcPr>
            <w:tcW w:w="1626" w:type="dxa"/>
            <w:shd w:val="clear" w:color="auto" w:fill="FFFFFF" w:themeFill="background1"/>
            <w:hideMark/>
          </w:tcPr>
          <w:p w:rsidR="00E750A0" w:rsidRPr="002F17B5" w:rsidRDefault="00E750A0" w:rsidP="00A92FC8">
            <w:pPr>
              <w:spacing w:after="40"/>
              <w:jc w:val="center"/>
              <w:rPr>
                <w:b/>
                <w:bCs/>
              </w:rPr>
            </w:pPr>
            <w:r w:rsidRPr="002F17B5">
              <w:rPr>
                <w:b/>
                <w:bCs/>
              </w:rPr>
              <w:t>Repayment of Liability</w:t>
            </w:r>
          </w:p>
        </w:tc>
        <w:tc>
          <w:tcPr>
            <w:tcW w:w="1418" w:type="dxa"/>
            <w:shd w:val="clear" w:color="auto" w:fill="FFFFFF" w:themeFill="background1"/>
            <w:hideMark/>
          </w:tcPr>
          <w:p w:rsidR="00E750A0" w:rsidRPr="002F17B5" w:rsidRDefault="00E750A0" w:rsidP="00A92FC8">
            <w:pPr>
              <w:spacing w:after="40"/>
              <w:jc w:val="center"/>
              <w:rPr>
                <w:b/>
                <w:bCs/>
              </w:rPr>
            </w:pPr>
            <w:r w:rsidRPr="002F17B5">
              <w:rPr>
                <w:b/>
                <w:bCs/>
              </w:rPr>
              <w:t>Interest Charges</w:t>
            </w:r>
          </w:p>
        </w:tc>
        <w:tc>
          <w:tcPr>
            <w:tcW w:w="1417" w:type="dxa"/>
            <w:shd w:val="clear" w:color="auto" w:fill="FFFFFF" w:themeFill="background1"/>
            <w:hideMark/>
          </w:tcPr>
          <w:p w:rsidR="00E750A0" w:rsidRPr="002F17B5" w:rsidRDefault="00E750A0" w:rsidP="00A92FC8">
            <w:pPr>
              <w:spacing w:after="40"/>
              <w:jc w:val="center"/>
              <w:rPr>
                <w:b/>
                <w:bCs/>
              </w:rPr>
            </w:pPr>
            <w:r w:rsidRPr="002F17B5">
              <w:rPr>
                <w:b/>
                <w:bCs/>
              </w:rPr>
              <w:t>Total Payments Due</w:t>
            </w:r>
          </w:p>
        </w:tc>
      </w:tr>
      <w:tr w:rsidR="00E750A0" w:rsidRPr="002F17B5" w:rsidTr="00A92FC8">
        <w:trPr>
          <w:trHeight w:hRule="exact" w:val="340"/>
          <w:jc w:val="center"/>
        </w:trPr>
        <w:tc>
          <w:tcPr>
            <w:tcW w:w="5053" w:type="dxa"/>
            <w:shd w:val="clear" w:color="auto" w:fill="FFFFFF" w:themeFill="background1"/>
            <w:noWrap/>
            <w:vAlign w:val="bottom"/>
            <w:hideMark/>
          </w:tcPr>
          <w:p w:rsidR="00E750A0" w:rsidRPr="002F17B5" w:rsidRDefault="00E750A0" w:rsidP="00A92FC8">
            <w:pPr>
              <w:spacing w:after="40"/>
            </w:pPr>
            <w:r w:rsidRPr="002F17B5">
              <w:t> </w:t>
            </w:r>
          </w:p>
        </w:tc>
        <w:tc>
          <w:tcPr>
            <w:tcW w:w="1417" w:type="dxa"/>
            <w:shd w:val="clear" w:color="auto" w:fill="FFFFFF" w:themeFill="background1"/>
            <w:hideMark/>
          </w:tcPr>
          <w:p w:rsidR="00E750A0" w:rsidRPr="002F17B5" w:rsidRDefault="00E750A0" w:rsidP="00A92FC8">
            <w:pPr>
              <w:spacing w:after="40"/>
              <w:ind w:left="183"/>
              <w:jc w:val="center"/>
              <w:rPr>
                <w:b/>
                <w:bCs/>
              </w:rPr>
            </w:pPr>
            <w:r w:rsidRPr="002F17B5">
              <w:rPr>
                <w:b/>
                <w:bCs/>
              </w:rPr>
              <w:t>£m</w:t>
            </w:r>
          </w:p>
        </w:tc>
        <w:tc>
          <w:tcPr>
            <w:tcW w:w="1626" w:type="dxa"/>
            <w:shd w:val="clear" w:color="auto" w:fill="FFFFFF" w:themeFill="background1"/>
            <w:hideMark/>
          </w:tcPr>
          <w:p w:rsidR="00E750A0" w:rsidRPr="002F17B5" w:rsidRDefault="00E750A0" w:rsidP="00A92FC8">
            <w:pPr>
              <w:spacing w:after="40"/>
              <w:ind w:left="176"/>
              <w:jc w:val="center"/>
              <w:rPr>
                <w:b/>
                <w:bCs/>
              </w:rPr>
            </w:pPr>
            <w:r w:rsidRPr="002F17B5">
              <w:rPr>
                <w:b/>
                <w:bCs/>
              </w:rPr>
              <w:t>£m</w:t>
            </w:r>
          </w:p>
        </w:tc>
        <w:tc>
          <w:tcPr>
            <w:tcW w:w="1418" w:type="dxa"/>
            <w:shd w:val="clear" w:color="auto" w:fill="FFFFFF" w:themeFill="background1"/>
            <w:hideMark/>
          </w:tcPr>
          <w:p w:rsidR="00E750A0" w:rsidRPr="002F17B5" w:rsidRDefault="00E750A0" w:rsidP="00A92FC8">
            <w:pPr>
              <w:spacing w:after="40"/>
              <w:ind w:left="175"/>
              <w:jc w:val="center"/>
              <w:rPr>
                <w:b/>
                <w:bCs/>
              </w:rPr>
            </w:pPr>
            <w:r w:rsidRPr="002F17B5">
              <w:rPr>
                <w:b/>
                <w:bCs/>
              </w:rPr>
              <w:t>£m</w:t>
            </w:r>
          </w:p>
        </w:tc>
        <w:tc>
          <w:tcPr>
            <w:tcW w:w="1417" w:type="dxa"/>
            <w:shd w:val="clear" w:color="auto" w:fill="FFFFFF" w:themeFill="background1"/>
            <w:hideMark/>
          </w:tcPr>
          <w:p w:rsidR="00E750A0" w:rsidRPr="002F17B5" w:rsidRDefault="00E750A0" w:rsidP="00A92FC8">
            <w:pPr>
              <w:spacing w:after="40"/>
              <w:ind w:right="300"/>
              <w:jc w:val="right"/>
              <w:rPr>
                <w:b/>
                <w:bCs/>
              </w:rPr>
            </w:pPr>
            <w:r w:rsidRPr="002F17B5">
              <w:rPr>
                <w:b/>
                <w:bCs/>
              </w:rPr>
              <w:t>£m</w:t>
            </w:r>
          </w:p>
        </w:tc>
      </w:tr>
      <w:tr w:rsidR="006D2775" w:rsidRPr="002F17B5" w:rsidTr="00A92FC8">
        <w:trPr>
          <w:cantSplit/>
          <w:trHeight w:hRule="exact" w:val="380"/>
          <w:jc w:val="center"/>
        </w:trPr>
        <w:tc>
          <w:tcPr>
            <w:tcW w:w="5053" w:type="dxa"/>
            <w:shd w:val="clear" w:color="auto" w:fill="FFFFFF" w:themeFill="background1"/>
            <w:vAlign w:val="bottom"/>
            <w:hideMark/>
          </w:tcPr>
          <w:p w:rsidR="00745AB3" w:rsidRPr="002F17B5" w:rsidRDefault="005C0198" w:rsidP="00A92FC8">
            <w:pPr>
              <w:jc w:val="left"/>
              <w:rPr>
                <w:sz w:val="23"/>
                <w:szCs w:val="23"/>
              </w:rPr>
            </w:pPr>
            <w:r w:rsidRPr="002F17B5">
              <w:rPr>
                <w:sz w:val="23"/>
                <w:szCs w:val="23"/>
              </w:rPr>
              <w:t>Payable in 2014/15</w:t>
            </w:r>
            <w:r w:rsidR="00286D86" w:rsidRPr="002F17B5">
              <w:rPr>
                <w:sz w:val="23"/>
                <w:szCs w:val="23"/>
              </w:rPr>
              <w:t xml:space="preserve"> </w:t>
            </w:r>
          </w:p>
        </w:tc>
        <w:tc>
          <w:tcPr>
            <w:tcW w:w="1417" w:type="dxa"/>
            <w:shd w:val="clear" w:color="auto" w:fill="FFFFFF" w:themeFill="background1"/>
            <w:noWrap/>
            <w:vAlign w:val="bottom"/>
            <w:hideMark/>
          </w:tcPr>
          <w:p w:rsidR="006D2775" w:rsidRPr="002F17B5" w:rsidRDefault="00594FBE" w:rsidP="00A92FC8">
            <w:pPr>
              <w:tabs>
                <w:tab w:val="left" w:pos="750"/>
              </w:tabs>
              <w:ind w:right="317"/>
              <w:jc w:val="right"/>
            </w:pPr>
            <w:r>
              <w:t>7.9</w:t>
            </w:r>
          </w:p>
        </w:tc>
        <w:tc>
          <w:tcPr>
            <w:tcW w:w="1626" w:type="dxa"/>
            <w:shd w:val="clear" w:color="auto" w:fill="FFFFFF" w:themeFill="background1"/>
            <w:noWrap/>
            <w:vAlign w:val="bottom"/>
            <w:hideMark/>
          </w:tcPr>
          <w:p w:rsidR="006D2775" w:rsidRPr="002F17B5" w:rsidRDefault="005D6D08" w:rsidP="00A92FC8">
            <w:pPr>
              <w:ind w:right="318"/>
              <w:jc w:val="right"/>
            </w:pPr>
            <w:r w:rsidRPr="002F17B5">
              <w:t>4.3</w:t>
            </w:r>
          </w:p>
        </w:tc>
        <w:tc>
          <w:tcPr>
            <w:tcW w:w="1418" w:type="dxa"/>
            <w:shd w:val="clear" w:color="auto" w:fill="FFFFFF" w:themeFill="background1"/>
            <w:noWrap/>
            <w:vAlign w:val="bottom"/>
            <w:hideMark/>
          </w:tcPr>
          <w:p w:rsidR="006D2775" w:rsidRPr="002F17B5" w:rsidRDefault="00594FBE" w:rsidP="00A92FC8">
            <w:pPr>
              <w:ind w:right="167"/>
              <w:jc w:val="right"/>
            </w:pPr>
            <w:r>
              <w:t>15.6</w:t>
            </w:r>
          </w:p>
        </w:tc>
        <w:tc>
          <w:tcPr>
            <w:tcW w:w="1417" w:type="dxa"/>
            <w:shd w:val="clear" w:color="auto" w:fill="FFFFFF" w:themeFill="background1"/>
            <w:noWrap/>
            <w:vAlign w:val="bottom"/>
            <w:hideMark/>
          </w:tcPr>
          <w:p w:rsidR="006D2775" w:rsidRPr="002F17B5" w:rsidRDefault="005D6D08" w:rsidP="00A92FC8">
            <w:pPr>
              <w:ind w:right="300"/>
              <w:jc w:val="right"/>
            </w:pPr>
            <w:r w:rsidRPr="002F17B5">
              <w:t>27.8</w:t>
            </w:r>
          </w:p>
        </w:tc>
      </w:tr>
      <w:tr w:rsidR="006D2775" w:rsidRPr="002F17B5" w:rsidTr="00A92FC8">
        <w:trPr>
          <w:cantSplit/>
          <w:trHeight w:hRule="exact" w:val="428"/>
          <w:jc w:val="center"/>
        </w:trPr>
        <w:tc>
          <w:tcPr>
            <w:tcW w:w="5053" w:type="dxa"/>
            <w:shd w:val="clear" w:color="auto" w:fill="FFFFFF" w:themeFill="background1"/>
            <w:vAlign w:val="bottom"/>
            <w:hideMark/>
          </w:tcPr>
          <w:p w:rsidR="006D2775" w:rsidRPr="002F17B5" w:rsidRDefault="00286D86" w:rsidP="00A92FC8">
            <w:pPr>
              <w:jc w:val="left"/>
              <w:rPr>
                <w:sz w:val="23"/>
                <w:szCs w:val="23"/>
              </w:rPr>
            </w:pPr>
            <w:r w:rsidRPr="002F17B5">
              <w:rPr>
                <w:sz w:val="23"/>
                <w:szCs w:val="23"/>
              </w:rPr>
              <w:t>Payable within two to five years</w:t>
            </w:r>
          </w:p>
        </w:tc>
        <w:tc>
          <w:tcPr>
            <w:tcW w:w="1417" w:type="dxa"/>
            <w:shd w:val="clear" w:color="auto" w:fill="FFFFFF" w:themeFill="background1"/>
            <w:noWrap/>
            <w:vAlign w:val="bottom"/>
            <w:hideMark/>
          </w:tcPr>
          <w:p w:rsidR="006D2775" w:rsidRPr="002F17B5" w:rsidRDefault="00594FBE" w:rsidP="00A92FC8">
            <w:pPr>
              <w:tabs>
                <w:tab w:val="left" w:pos="750"/>
              </w:tabs>
              <w:ind w:right="317"/>
              <w:jc w:val="right"/>
            </w:pPr>
            <w:r>
              <w:t>34.2</w:t>
            </w:r>
          </w:p>
        </w:tc>
        <w:tc>
          <w:tcPr>
            <w:tcW w:w="1626" w:type="dxa"/>
            <w:shd w:val="clear" w:color="auto" w:fill="FFFFFF" w:themeFill="background1"/>
            <w:noWrap/>
            <w:vAlign w:val="bottom"/>
            <w:hideMark/>
          </w:tcPr>
          <w:p w:rsidR="006D2775" w:rsidRPr="002F17B5" w:rsidRDefault="005D6D08" w:rsidP="00A92FC8">
            <w:pPr>
              <w:ind w:right="318"/>
              <w:jc w:val="right"/>
            </w:pPr>
            <w:r w:rsidRPr="002F17B5">
              <w:t>19.3</w:t>
            </w:r>
          </w:p>
        </w:tc>
        <w:tc>
          <w:tcPr>
            <w:tcW w:w="1418" w:type="dxa"/>
            <w:shd w:val="clear" w:color="auto" w:fill="FFFFFF" w:themeFill="background1"/>
            <w:noWrap/>
            <w:vAlign w:val="bottom"/>
            <w:hideMark/>
          </w:tcPr>
          <w:p w:rsidR="006D2775" w:rsidRPr="002F17B5" w:rsidRDefault="00594FBE" w:rsidP="00A92FC8">
            <w:pPr>
              <w:ind w:right="167"/>
              <w:jc w:val="right"/>
            </w:pPr>
            <w:r>
              <w:t>57.9</w:t>
            </w:r>
          </w:p>
        </w:tc>
        <w:tc>
          <w:tcPr>
            <w:tcW w:w="1417" w:type="dxa"/>
            <w:shd w:val="clear" w:color="auto" w:fill="FFFFFF" w:themeFill="background1"/>
            <w:noWrap/>
            <w:vAlign w:val="bottom"/>
            <w:hideMark/>
          </w:tcPr>
          <w:p w:rsidR="006D2775" w:rsidRPr="002F17B5" w:rsidRDefault="005D6D08" w:rsidP="00A92FC8">
            <w:pPr>
              <w:ind w:right="300"/>
              <w:jc w:val="right"/>
            </w:pPr>
            <w:r w:rsidRPr="002F17B5">
              <w:t>111.4</w:t>
            </w:r>
          </w:p>
        </w:tc>
      </w:tr>
      <w:tr w:rsidR="006D2775" w:rsidRPr="002F17B5" w:rsidTr="00A92FC8">
        <w:trPr>
          <w:cantSplit/>
          <w:trHeight w:hRule="exact" w:val="406"/>
          <w:jc w:val="center"/>
        </w:trPr>
        <w:tc>
          <w:tcPr>
            <w:tcW w:w="5053" w:type="dxa"/>
            <w:shd w:val="clear" w:color="auto" w:fill="FFFFFF" w:themeFill="background1"/>
            <w:vAlign w:val="bottom"/>
            <w:hideMark/>
          </w:tcPr>
          <w:p w:rsidR="006D2775" w:rsidRPr="002F17B5" w:rsidRDefault="00286D86" w:rsidP="00A92FC8">
            <w:pPr>
              <w:jc w:val="left"/>
              <w:rPr>
                <w:sz w:val="23"/>
                <w:szCs w:val="23"/>
              </w:rPr>
            </w:pPr>
            <w:r w:rsidRPr="002F17B5">
              <w:rPr>
                <w:sz w:val="23"/>
                <w:szCs w:val="23"/>
              </w:rPr>
              <w:t>Payable within six to ten years</w:t>
            </w:r>
          </w:p>
        </w:tc>
        <w:tc>
          <w:tcPr>
            <w:tcW w:w="1417" w:type="dxa"/>
            <w:shd w:val="clear" w:color="auto" w:fill="FFFFFF" w:themeFill="background1"/>
            <w:noWrap/>
            <w:vAlign w:val="bottom"/>
            <w:hideMark/>
          </w:tcPr>
          <w:p w:rsidR="006D2775" w:rsidRPr="002F17B5" w:rsidRDefault="00594FBE" w:rsidP="00A92FC8">
            <w:pPr>
              <w:tabs>
                <w:tab w:val="left" w:pos="750"/>
              </w:tabs>
              <w:ind w:right="317"/>
              <w:jc w:val="right"/>
            </w:pPr>
            <w:r>
              <w:t>48.4</w:t>
            </w:r>
          </w:p>
        </w:tc>
        <w:tc>
          <w:tcPr>
            <w:tcW w:w="1626" w:type="dxa"/>
            <w:shd w:val="clear" w:color="auto" w:fill="FFFFFF" w:themeFill="background1"/>
            <w:noWrap/>
            <w:vAlign w:val="bottom"/>
            <w:hideMark/>
          </w:tcPr>
          <w:p w:rsidR="006D2775" w:rsidRPr="002F17B5" w:rsidRDefault="005D6D08" w:rsidP="00A92FC8">
            <w:pPr>
              <w:ind w:right="318"/>
              <w:jc w:val="right"/>
            </w:pPr>
            <w:r w:rsidRPr="002F17B5">
              <w:t>29.7</w:t>
            </w:r>
          </w:p>
        </w:tc>
        <w:tc>
          <w:tcPr>
            <w:tcW w:w="1418" w:type="dxa"/>
            <w:shd w:val="clear" w:color="auto" w:fill="FFFFFF" w:themeFill="background1"/>
            <w:noWrap/>
            <w:vAlign w:val="bottom"/>
            <w:hideMark/>
          </w:tcPr>
          <w:p w:rsidR="006D2775" w:rsidRPr="002F17B5" w:rsidRDefault="00594FBE" w:rsidP="00A92FC8">
            <w:pPr>
              <w:ind w:right="167"/>
              <w:jc w:val="right"/>
            </w:pPr>
            <w:r>
              <w:t>61.2</w:t>
            </w:r>
          </w:p>
        </w:tc>
        <w:tc>
          <w:tcPr>
            <w:tcW w:w="1417" w:type="dxa"/>
            <w:shd w:val="clear" w:color="auto" w:fill="FFFFFF" w:themeFill="background1"/>
            <w:noWrap/>
            <w:vAlign w:val="bottom"/>
            <w:hideMark/>
          </w:tcPr>
          <w:p w:rsidR="006D2775" w:rsidRPr="002F17B5" w:rsidRDefault="005D6D08" w:rsidP="00A92FC8">
            <w:pPr>
              <w:ind w:right="300"/>
              <w:jc w:val="right"/>
            </w:pPr>
            <w:r w:rsidRPr="002F17B5">
              <w:t>139.3</w:t>
            </w:r>
          </w:p>
        </w:tc>
      </w:tr>
      <w:tr w:rsidR="006D2775" w:rsidRPr="002F17B5" w:rsidTr="00A92FC8">
        <w:trPr>
          <w:cantSplit/>
          <w:trHeight w:hRule="exact" w:val="426"/>
          <w:jc w:val="center"/>
        </w:trPr>
        <w:tc>
          <w:tcPr>
            <w:tcW w:w="5053" w:type="dxa"/>
            <w:shd w:val="clear" w:color="auto" w:fill="FFFFFF" w:themeFill="background1"/>
            <w:vAlign w:val="bottom"/>
            <w:hideMark/>
          </w:tcPr>
          <w:p w:rsidR="006D2775" w:rsidRPr="002F17B5" w:rsidRDefault="00286D86" w:rsidP="00A92FC8">
            <w:pPr>
              <w:jc w:val="left"/>
              <w:rPr>
                <w:sz w:val="23"/>
                <w:szCs w:val="23"/>
              </w:rPr>
            </w:pPr>
            <w:r w:rsidRPr="002F17B5">
              <w:rPr>
                <w:sz w:val="23"/>
                <w:szCs w:val="23"/>
              </w:rPr>
              <w:t>Payable within eleven to fifteen years</w:t>
            </w:r>
          </w:p>
        </w:tc>
        <w:tc>
          <w:tcPr>
            <w:tcW w:w="1417" w:type="dxa"/>
            <w:shd w:val="clear" w:color="auto" w:fill="FFFFFF" w:themeFill="background1"/>
            <w:noWrap/>
            <w:vAlign w:val="bottom"/>
            <w:hideMark/>
          </w:tcPr>
          <w:p w:rsidR="006D2775" w:rsidRPr="002F17B5" w:rsidRDefault="00594FBE" w:rsidP="00A92FC8">
            <w:pPr>
              <w:tabs>
                <w:tab w:val="left" w:pos="750"/>
              </w:tabs>
              <w:ind w:right="317"/>
              <w:jc w:val="right"/>
            </w:pPr>
            <w:r>
              <w:t>51.2</w:t>
            </w:r>
          </w:p>
        </w:tc>
        <w:tc>
          <w:tcPr>
            <w:tcW w:w="1626" w:type="dxa"/>
            <w:shd w:val="clear" w:color="auto" w:fill="FFFFFF" w:themeFill="background1"/>
            <w:noWrap/>
            <w:vAlign w:val="bottom"/>
            <w:hideMark/>
          </w:tcPr>
          <w:p w:rsidR="006D2775" w:rsidRPr="002F17B5" w:rsidRDefault="005D6D08" w:rsidP="00A92FC8">
            <w:pPr>
              <w:ind w:right="318"/>
              <w:jc w:val="right"/>
            </w:pPr>
            <w:r w:rsidRPr="002F17B5">
              <w:t>42.4</w:t>
            </w:r>
          </w:p>
        </w:tc>
        <w:tc>
          <w:tcPr>
            <w:tcW w:w="1418" w:type="dxa"/>
            <w:shd w:val="clear" w:color="auto" w:fill="FFFFFF" w:themeFill="background1"/>
            <w:noWrap/>
            <w:vAlign w:val="bottom"/>
            <w:hideMark/>
          </w:tcPr>
          <w:p w:rsidR="006D2775" w:rsidRPr="002F17B5" w:rsidRDefault="00594FBE" w:rsidP="00A92FC8">
            <w:pPr>
              <w:ind w:right="167"/>
              <w:jc w:val="right"/>
            </w:pPr>
            <w:r>
              <w:t>45.7</w:t>
            </w:r>
          </w:p>
        </w:tc>
        <w:tc>
          <w:tcPr>
            <w:tcW w:w="1417" w:type="dxa"/>
            <w:shd w:val="clear" w:color="auto" w:fill="FFFFFF" w:themeFill="background1"/>
            <w:noWrap/>
            <w:vAlign w:val="bottom"/>
            <w:hideMark/>
          </w:tcPr>
          <w:p w:rsidR="006D2775" w:rsidRPr="002F17B5" w:rsidRDefault="005D6D08" w:rsidP="00A92FC8">
            <w:pPr>
              <w:ind w:right="300"/>
              <w:jc w:val="right"/>
            </w:pPr>
            <w:r w:rsidRPr="002F17B5">
              <w:t>139.3</w:t>
            </w:r>
          </w:p>
        </w:tc>
      </w:tr>
      <w:tr w:rsidR="006D2775" w:rsidRPr="002F17B5" w:rsidTr="00A92FC8">
        <w:trPr>
          <w:cantSplit/>
          <w:trHeight w:hRule="exact" w:val="432"/>
          <w:jc w:val="center"/>
        </w:trPr>
        <w:tc>
          <w:tcPr>
            <w:tcW w:w="5053" w:type="dxa"/>
            <w:shd w:val="clear" w:color="auto" w:fill="FFFFFF" w:themeFill="background1"/>
            <w:vAlign w:val="bottom"/>
            <w:hideMark/>
          </w:tcPr>
          <w:p w:rsidR="006D2775" w:rsidRPr="002F17B5" w:rsidRDefault="00286D86" w:rsidP="00A92FC8">
            <w:pPr>
              <w:jc w:val="left"/>
              <w:rPr>
                <w:sz w:val="23"/>
                <w:szCs w:val="23"/>
              </w:rPr>
            </w:pPr>
            <w:r w:rsidRPr="002F17B5">
              <w:rPr>
                <w:sz w:val="23"/>
                <w:szCs w:val="23"/>
              </w:rPr>
              <w:t>Payable within sixteen to twenty years</w:t>
            </w:r>
          </w:p>
        </w:tc>
        <w:tc>
          <w:tcPr>
            <w:tcW w:w="1417" w:type="dxa"/>
            <w:shd w:val="clear" w:color="auto" w:fill="FFFFFF" w:themeFill="background1"/>
            <w:noWrap/>
            <w:vAlign w:val="bottom"/>
            <w:hideMark/>
          </w:tcPr>
          <w:p w:rsidR="006D2775" w:rsidRPr="002F17B5" w:rsidRDefault="00594FBE" w:rsidP="00A92FC8">
            <w:pPr>
              <w:tabs>
                <w:tab w:val="left" w:pos="750"/>
              </w:tabs>
              <w:ind w:right="317"/>
              <w:jc w:val="right"/>
            </w:pPr>
            <w:r>
              <w:t>46.8</w:t>
            </w:r>
          </w:p>
        </w:tc>
        <w:tc>
          <w:tcPr>
            <w:tcW w:w="1626" w:type="dxa"/>
            <w:shd w:val="clear" w:color="auto" w:fill="FFFFFF" w:themeFill="background1"/>
            <w:noWrap/>
            <w:vAlign w:val="bottom"/>
            <w:hideMark/>
          </w:tcPr>
          <w:p w:rsidR="006D2775" w:rsidRPr="002F17B5" w:rsidRDefault="005D6D08" w:rsidP="00A92FC8">
            <w:pPr>
              <w:ind w:right="318"/>
              <w:jc w:val="right"/>
            </w:pPr>
            <w:r w:rsidRPr="002F17B5">
              <w:t>62.0</w:t>
            </w:r>
          </w:p>
        </w:tc>
        <w:tc>
          <w:tcPr>
            <w:tcW w:w="1418" w:type="dxa"/>
            <w:shd w:val="clear" w:color="auto" w:fill="FFFFFF" w:themeFill="background1"/>
            <w:noWrap/>
            <w:vAlign w:val="bottom"/>
            <w:hideMark/>
          </w:tcPr>
          <w:p w:rsidR="006D2775" w:rsidRPr="002F17B5" w:rsidRDefault="00594FBE" w:rsidP="00A92FC8">
            <w:pPr>
              <w:ind w:right="167"/>
              <w:jc w:val="right"/>
            </w:pPr>
            <w:r>
              <w:t>24.5</w:t>
            </w:r>
          </w:p>
        </w:tc>
        <w:tc>
          <w:tcPr>
            <w:tcW w:w="1417" w:type="dxa"/>
            <w:shd w:val="clear" w:color="auto" w:fill="FFFFFF" w:themeFill="background1"/>
            <w:noWrap/>
            <w:vAlign w:val="bottom"/>
            <w:hideMark/>
          </w:tcPr>
          <w:p w:rsidR="006D2775" w:rsidRPr="002F17B5" w:rsidRDefault="005D6D08" w:rsidP="00A92FC8">
            <w:pPr>
              <w:ind w:right="300"/>
              <w:jc w:val="right"/>
            </w:pPr>
            <w:r w:rsidRPr="002F17B5">
              <w:t>133.3</w:t>
            </w:r>
          </w:p>
        </w:tc>
      </w:tr>
      <w:tr w:rsidR="006D2775" w:rsidRPr="002F17B5" w:rsidTr="00A92FC8">
        <w:trPr>
          <w:cantSplit/>
          <w:trHeight w:hRule="exact" w:val="410"/>
          <w:jc w:val="center"/>
        </w:trPr>
        <w:tc>
          <w:tcPr>
            <w:tcW w:w="5053" w:type="dxa"/>
            <w:shd w:val="clear" w:color="auto" w:fill="FFFFFF" w:themeFill="background1"/>
            <w:vAlign w:val="bottom"/>
            <w:hideMark/>
          </w:tcPr>
          <w:p w:rsidR="006D2775" w:rsidRPr="002F17B5" w:rsidRDefault="00286D86" w:rsidP="00A92FC8">
            <w:pPr>
              <w:jc w:val="left"/>
              <w:rPr>
                <w:sz w:val="23"/>
                <w:szCs w:val="23"/>
              </w:rPr>
            </w:pPr>
            <w:r w:rsidRPr="002F17B5">
              <w:rPr>
                <w:sz w:val="23"/>
                <w:szCs w:val="23"/>
              </w:rPr>
              <w:t>Payable within twenty one to twenty five years</w:t>
            </w:r>
          </w:p>
        </w:tc>
        <w:tc>
          <w:tcPr>
            <w:tcW w:w="1417" w:type="dxa"/>
            <w:shd w:val="clear" w:color="auto" w:fill="FFFFFF" w:themeFill="background1"/>
            <w:noWrap/>
            <w:vAlign w:val="bottom"/>
            <w:hideMark/>
          </w:tcPr>
          <w:p w:rsidR="006D2775" w:rsidRPr="002F17B5" w:rsidRDefault="00594FBE" w:rsidP="00A92FC8">
            <w:pPr>
              <w:tabs>
                <w:tab w:val="left" w:pos="750"/>
              </w:tabs>
              <w:ind w:right="317"/>
              <w:jc w:val="right"/>
            </w:pPr>
            <w:r>
              <w:t>4.4</w:t>
            </w:r>
          </w:p>
        </w:tc>
        <w:tc>
          <w:tcPr>
            <w:tcW w:w="1626" w:type="dxa"/>
            <w:shd w:val="clear" w:color="auto" w:fill="FFFFFF" w:themeFill="background1"/>
            <w:noWrap/>
            <w:vAlign w:val="bottom"/>
            <w:hideMark/>
          </w:tcPr>
          <w:p w:rsidR="006D2775" w:rsidRPr="002F17B5" w:rsidRDefault="005D6D08" w:rsidP="00A92FC8">
            <w:pPr>
              <w:ind w:right="318"/>
              <w:jc w:val="right"/>
            </w:pPr>
            <w:r w:rsidRPr="002F17B5">
              <w:t>11.0</w:t>
            </w:r>
          </w:p>
        </w:tc>
        <w:tc>
          <w:tcPr>
            <w:tcW w:w="1418" w:type="dxa"/>
            <w:shd w:val="clear" w:color="auto" w:fill="FFFFFF" w:themeFill="background1"/>
            <w:noWrap/>
            <w:vAlign w:val="bottom"/>
            <w:hideMark/>
          </w:tcPr>
          <w:p w:rsidR="006D2775" w:rsidRPr="002F17B5" w:rsidRDefault="00594FBE" w:rsidP="00A92FC8">
            <w:pPr>
              <w:ind w:right="167"/>
              <w:jc w:val="right"/>
            </w:pPr>
            <w:r>
              <w:t>1.5</w:t>
            </w:r>
          </w:p>
        </w:tc>
        <w:tc>
          <w:tcPr>
            <w:tcW w:w="1417" w:type="dxa"/>
            <w:shd w:val="clear" w:color="auto" w:fill="FFFFFF" w:themeFill="background1"/>
            <w:noWrap/>
            <w:vAlign w:val="bottom"/>
            <w:hideMark/>
          </w:tcPr>
          <w:p w:rsidR="006D2775" w:rsidRPr="002F17B5" w:rsidRDefault="005D6D08" w:rsidP="00A92FC8">
            <w:pPr>
              <w:ind w:right="300"/>
              <w:jc w:val="right"/>
            </w:pPr>
            <w:r w:rsidRPr="002F17B5">
              <w:t>16.9</w:t>
            </w:r>
          </w:p>
        </w:tc>
      </w:tr>
      <w:tr w:rsidR="006D2775" w:rsidRPr="002F17B5" w:rsidTr="00A92FC8">
        <w:trPr>
          <w:cantSplit/>
          <w:trHeight w:hRule="exact" w:val="425"/>
          <w:jc w:val="center"/>
        </w:trPr>
        <w:tc>
          <w:tcPr>
            <w:tcW w:w="5053" w:type="dxa"/>
            <w:shd w:val="clear" w:color="auto" w:fill="FFFFFF" w:themeFill="background1"/>
            <w:noWrap/>
            <w:hideMark/>
          </w:tcPr>
          <w:p w:rsidR="006D2775" w:rsidRPr="002F17B5" w:rsidRDefault="00286D86" w:rsidP="00A92FC8">
            <w:pPr>
              <w:rPr>
                <w:b/>
                <w:bCs/>
              </w:rPr>
            </w:pPr>
            <w:r w:rsidRPr="002F17B5">
              <w:rPr>
                <w:b/>
                <w:bCs/>
              </w:rPr>
              <w:t>Grand Total</w:t>
            </w:r>
          </w:p>
        </w:tc>
        <w:tc>
          <w:tcPr>
            <w:tcW w:w="1417" w:type="dxa"/>
            <w:shd w:val="clear" w:color="auto" w:fill="FFFFFF" w:themeFill="background1"/>
            <w:noWrap/>
            <w:vAlign w:val="bottom"/>
            <w:hideMark/>
          </w:tcPr>
          <w:p w:rsidR="006D2775" w:rsidRPr="002F17B5" w:rsidRDefault="00594FBE" w:rsidP="00A92FC8">
            <w:pPr>
              <w:tabs>
                <w:tab w:val="left" w:pos="750"/>
              </w:tabs>
              <w:ind w:right="317"/>
              <w:jc w:val="right"/>
              <w:rPr>
                <w:b/>
                <w:bCs/>
              </w:rPr>
            </w:pPr>
            <w:r>
              <w:rPr>
                <w:b/>
                <w:bCs/>
              </w:rPr>
              <w:t>192.9</w:t>
            </w:r>
          </w:p>
        </w:tc>
        <w:tc>
          <w:tcPr>
            <w:tcW w:w="1626" w:type="dxa"/>
            <w:shd w:val="clear" w:color="auto" w:fill="FFFFFF" w:themeFill="background1"/>
            <w:noWrap/>
            <w:vAlign w:val="bottom"/>
            <w:hideMark/>
          </w:tcPr>
          <w:p w:rsidR="006D2775" w:rsidRPr="002F17B5" w:rsidRDefault="005D6D08" w:rsidP="00A92FC8">
            <w:pPr>
              <w:ind w:right="318"/>
              <w:jc w:val="right"/>
              <w:rPr>
                <w:b/>
                <w:bCs/>
              </w:rPr>
            </w:pPr>
            <w:r w:rsidRPr="002F17B5">
              <w:rPr>
                <w:b/>
                <w:bCs/>
              </w:rPr>
              <w:t>168.7</w:t>
            </w:r>
          </w:p>
        </w:tc>
        <w:tc>
          <w:tcPr>
            <w:tcW w:w="1418" w:type="dxa"/>
            <w:shd w:val="clear" w:color="auto" w:fill="FFFFFF" w:themeFill="background1"/>
            <w:noWrap/>
            <w:vAlign w:val="bottom"/>
            <w:hideMark/>
          </w:tcPr>
          <w:p w:rsidR="006D2775" w:rsidRPr="002F17B5" w:rsidRDefault="00594FBE" w:rsidP="00A92FC8">
            <w:pPr>
              <w:ind w:right="167"/>
              <w:jc w:val="right"/>
              <w:rPr>
                <w:b/>
                <w:bCs/>
              </w:rPr>
            </w:pPr>
            <w:r>
              <w:rPr>
                <w:b/>
                <w:bCs/>
              </w:rPr>
              <w:t>206.4</w:t>
            </w:r>
          </w:p>
        </w:tc>
        <w:tc>
          <w:tcPr>
            <w:tcW w:w="1417" w:type="dxa"/>
            <w:shd w:val="clear" w:color="auto" w:fill="FFFFFF" w:themeFill="background1"/>
            <w:noWrap/>
            <w:vAlign w:val="bottom"/>
            <w:hideMark/>
          </w:tcPr>
          <w:p w:rsidR="006D2775" w:rsidRPr="002F17B5" w:rsidRDefault="005D6D08" w:rsidP="00A92FC8">
            <w:pPr>
              <w:ind w:right="300"/>
              <w:jc w:val="right"/>
              <w:rPr>
                <w:b/>
                <w:bCs/>
              </w:rPr>
            </w:pPr>
            <w:r w:rsidRPr="002F17B5">
              <w:rPr>
                <w:b/>
                <w:bCs/>
              </w:rPr>
              <w:t>568.0</w:t>
            </w:r>
          </w:p>
        </w:tc>
      </w:tr>
    </w:tbl>
    <w:p w:rsidR="00B5048A" w:rsidRPr="00BF4F52" w:rsidRDefault="00B5048A" w:rsidP="00560D37">
      <w:pPr>
        <w:rPr>
          <w:sz w:val="20"/>
        </w:rPr>
      </w:pPr>
    </w:p>
    <w:p w:rsidR="00A92FC8" w:rsidRPr="002F17B5" w:rsidRDefault="00A92FC8" w:rsidP="00560D37"/>
    <w:p w:rsidR="00E750A0" w:rsidRPr="002F17B5" w:rsidRDefault="00E750A0" w:rsidP="00560D37">
      <w:r w:rsidRPr="002F17B5">
        <w:t>To help finance the scheme we received the following income:</w:t>
      </w:r>
    </w:p>
    <w:p w:rsidR="00E750A0" w:rsidRPr="002F17B5" w:rsidRDefault="00E750A0" w:rsidP="00E750A0">
      <w:pPr>
        <w:rPr>
          <w:sz w:val="2"/>
        </w:rPr>
      </w:pPr>
    </w:p>
    <w:tbl>
      <w:tblPr>
        <w:tblW w:w="7513" w:type="dxa"/>
        <w:tblInd w:w="108" w:type="dxa"/>
        <w:tblLook w:val="04A0" w:firstRow="1" w:lastRow="0" w:firstColumn="1" w:lastColumn="0" w:noHBand="0" w:noVBand="1"/>
      </w:tblPr>
      <w:tblGrid>
        <w:gridCol w:w="4536"/>
        <w:gridCol w:w="1843"/>
        <w:gridCol w:w="1134"/>
      </w:tblGrid>
      <w:tr w:rsidR="00560D37" w:rsidRPr="002F17B5" w:rsidTr="000739A6">
        <w:trPr>
          <w:trHeight w:val="345"/>
        </w:trPr>
        <w:tc>
          <w:tcPr>
            <w:tcW w:w="4536" w:type="dxa"/>
            <w:shd w:val="clear" w:color="auto" w:fill="FFFFFF" w:themeFill="background1"/>
            <w:vAlign w:val="bottom"/>
            <w:hideMark/>
          </w:tcPr>
          <w:p w:rsidR="00560D37" w:rsidRPr="002F17B5" w:rsidRDefault="00560D37" w:rsidP="00A92FC8">
            <w:pPr>
              <w:spacing w:after="0"/>
            </w:pPr>
            <w:r w:rsidRPr="002F17B5">
              <w:t> </w:t>
            </w:r>
          </w:p>
        </w:tc>
        <w:tc>
          <w:tcPr>
            <w:tcW w:w="1843" w:type="dxa"/>
            <w:shd w:val="clear" w:color="auto" w:fill="FFFFFF" w:themeFill="background1"/>
            <w:vAlign w:val="center"/>
          </w:tcPr>
          <w:p w:rsidR="00560D37" w:rsidRPr="002F17B5" w:rsidRDefault="00675319" w:rsidP="00A92FC8">
            <w:pPr>
              <w:spacing w:after="0"/>
              <w:ind w:right="317"/>
              <w:jc w:val="right"/>
              <w:rPr>
                <w:b/>
                <w:bCs/>
              </w:rPr>
            </w:pPr>
            <w:r w:rsidRPr="002F17B5">
              <w:rPr>
                <w:b/>
                <w:bCs/>
              </w:rPr>
              <w:t>2013/</w:t>
            </w:r>
            <w:r w:rsidR="00CD4CF3" w:rsidRPr="002F17B5">
              <w:rPr>
                <w:b/>
                <w:bCs/>
              </w:rPr>
              <w:t>14</w:t>
            </w:r>
          </w:p>
        </w:tc>
        <w:tc>
          <w:tcPr>
            <w:tcW w:w="1134" w:type="dxa"/>
            <w:shd w:val="clear" w:color="auto" w:fill="FFFFFF" w:themeFill="background1"/>
            <w:vAlign w:val="center"/>
            <w:hideMark/>
          </w:tcPr>
          <w:p w:rsidR="00560D37" w:rsidRPr="002F17B5" w:rsidRDefault="00675319" w:rsidP="00A92FC8">
            <w:pPr>
              <w:spacing w:after="0"/>
              <w:jc w:val="right"/>
              <w:rPr>
                <w:b/>
                <w:bCs/>
              </w:rPr>
            </w:pPr>
            <w:r w:rsidRPr="002F17B5">
              <w:rPr>
                <w:b/>
                <w:bCs/>
              </w:rPr>
              <w:t>2012/</w:t>
            </w:r>
            <w:r w:rsidR="00CD4CF3" w:rsidRPr="002F17B5">
              <w:rPr>
                <w:b/>
                <w:bCs/>
              </w:rPr>
              <w:t>13</w:t>
            </w:r>
          </w:p>
        </w:tc>
      </w:tr>
      <w:tr w:rsidR="00560D37" w:rsidRPr="002F17B5" w:rsidTr="000739A6">
        <w:trPr>
          <w:trHeight w:val="360"/>
        </w:trPr>
        <w:tc>
          <w:tcPr>
            <w:tcW w:w="4536" w:type="dxa"/>
            <w:shd w:val="clear" w:color="auto" w:fill="FFFFFF" w:themeFill="background1"/>
            <w:vAlign w:val="bottom"/>
            <w:hideMark/>
          </w:tcPr>
          <w:p w:rsidR="00560D37" w:rsidRPr="002F17B5" w:rsidRDefault="00560D37" w:rsidP="00A92FC8">
            <w:pPr>
              <w:spacing w:after="0"/>
            </w:pPr>
            <w:r w:rsidRPr="002F17B5">
              <w:t> </w:t>
            </w:r>
          </w:p>
        </w:tc>
        <w:tc>
          <w:tcPr>
            <w:tcW w:w="1843" w:type="dxa"/>
            <w:shd w:val="clear" w:color="auto" w:fill="FFFFFF" w:themeFill="background1"/>
            <w:vAlign w:val="center"/>
          </w:tcPr>
          <w:p w:rsidR="00560D37" w:rsidRPr="002F17B5" w:rsidRDefault="00560D37" w:rsidP="00A92FC8">
            <w:pPr>
              <w:spacing w:after="0"/>
              <w:ind w:right="317"/>
              <w:jc w:val="right"/>
              <w:rPr>
                <w:b/>
                <w:bCs/>
              </w:rPr>
            </w:pPr>
            <w:r w:rsidRPr="002F17B5">
              <w:rPr>
                <w:b/>
                <w:bCs/>
              </w:rPr>
              <w:t>£m</w:t>
            </w:r>
          </w:p>
        </w:tc>
        <w:tc>
          <w:tcPr>
            <w:tcW w:w="1134" w:type="dxa"/>
            <w:shd w:val="clear" w:color="auto" w:fill="FFFFFF" w:themeFill="background1"/>
            <w:vAlign w:val="center"/>
            <w:hideMark/>
          </w:tcPr>
          <w:p w:rsidR="00560D37" w:rsidRPr="002F17B5" w:rsidRDefault="00560D37" w:rsidP="00A92FC8">
            <w:pPr>
              <w:spacing w:after="0"/>
              <w:jc w:val="right"/>
              <w:rPr>
                <w:b/>
                <w:bCs/>
              </w:rPr>
            </w:pPr>
            <w:r w:rsidRPr="002F17B5">
              <w:rPr>
                <w:b/>
                <w:bCs/>
              </w:rPr>
              <w:t>£m</w:t>
            </w:r>
          </w:p>
        </w:tc>
      </w:tr>
      <w:tr w:rsidR="00C81821" w:rsidRPr="002F17B5" w:rsidTr="000739A6">
        <w:trPr>
          <w:trHeight w:val="360"/>
        </w:trPr>
        <w:tc>
          <w:tcPr>
            <w:tcW w:w="4536" w:type="dxa"/>
            <w:shd w:val="clear" w:color="auto" w:fill="FFFFFF" w:themeFill="background1"/>
            <w:vAlign w:val="bottom"/>
            <w:hideMark/>
          </w:tcPr>
          <w:p w:rsidR="003E53EE" w:rsidRPr="002F17B5" w:rsidRDefault="00C81821" w:rsidP="00A92FC8">
            <w:pPr>
              <w:spacing w:after="0"/>
            </w:pPr>
            <w:r w:rsidRPr="002F17B5">
              <w:t xml:space="preserve">PFI grant from the government </w:t>
            </w:r>
          </w:p>
        </w:tc>
        <w:tc>
          <w:tcPr>
            <w:tcW w:w="1843" w:type="dxa"/>
            <w:shd w:val="clear" w:color="auto" w:fill="FFFFFF" w:themeFill="background1"/>
            <w:vAlign w:val="bottom"/>
          </w:tcPr>
          <w:p w:rsidR="00C81821" w:rsidRPr="002F17B5" w:rsidRDefault="005D6D08" w:rsidP="00A92FC8">
            <w:pPr>
              <w:spacing w:after="0"/>
              <w:ind w:right="317"/>
              <w:jc w:val="right"/>
              <w:rPr>
                <w:rFonts w:cs="Arial"/>
              </w:rPr>
            </w:pPr>
            <w:r w:rsidRPr="002F17B5">
              <w:rPr>
                <w:rFonts w:cs="Arial"/>
              </w:rPr>
              <w:t>20.5</w:t>
            </w:r>
          </w:p>
        </w:tc>
        <w:tc>
          <w:tcPr>
            <w:tcW w:w="1134" w:type="dxa"/>
            <w:shd w:val="clear" w:color="auto" w:fill="FFFFFF" w:themeFill="background1"/>
            <w:vAlign w:val="bottom"/>
            <w:hideMark/>
          </w:tcPr>
          <w:p w:rsidR="00C81821" w:rsidRPr="002F17B5" w:rsidRDefault="00C81821" w:rsidP="00A92FC8">
            <w:pPr>
              <w:spacing w:after="0"/>
              <w:jc w:val="right"/>
              <w:rPr>
                <w:rFonts w:cs="Arial"/>
              </w:rPr>
            </w:pPr>
            <w:r w:rsidRPr="002F17B5">
              <w:rPr>
                <w:rFonts w:cs="Arial"/>
                <w:szCs w:val="22"/>
              </w:rPr>
              <w:t>20.6</w:t>
            </w:r>
          </w:p>
        </w:tc>
      </w:tr>
      <w:tr w:rsidR="00C81821" w:rsidRPr="002F17B5" w:rsidTr="000739A6">
        <w:trPr>
          <w:trHeight w:val="360"/>
        </w:trPr>
        <w:tc>
          <w:tcPr>
            <w:tcW w:w="4536" w:type="dxa"/>
            <w:shd w:val="clear" w:color="auto" w:fill="FFFFFF" w:themeFill="background1"/>
            <w:noWrap/>
            <w:hideMark/>
          </w:tcPr>
          <w:p w:rsidR="00C81821" w:rsidRPr="002F17B5" w:rsidRDefault="00C81821" w:rsidP="00A92FC8">
            <w:pPr>
              <w:spacing w:after="0"/>
            </w:pPr>
            <w:r w:rsidRPr="002F17B5">
              <w:t>Contributions from the schools</w:t>
            </w:r>
          </w:p>
        </w:tc>
        <w:tc>
          <w:tcPr>
            <w:tcW w:w="1843" w:type="dxa"/>
            <w:shd w:val="clear" w:color="auto" w:fill="FFFFFF" w:themeFill="background1"/>
            <w:vAlign w:val="bottom"/>
          </w:tcPr>
          <w:p w:rsidR="00C81821" w:rsidRPr="002F17B5" w:rsidRDefault="005D6D08" w:rsidP="00A92FC8">
            <w:pPr>
              <w:spacing w:after="0"/>
              <w:ind w:right="317"/>
              <w:jc w:val="right"/>
              <w:rPr>
                <w:rFonts w:cs="Arial"/>
              </w:rPr>
            </w:pPr>
            <w:r w:rsidRPr="002F17B5">
              <w:rPr>
                <w:rFonts w:cs="Arial"/>
              </w:rPr>
              <w:t>8.3</w:t>
            </w:r>
          </w:p>
        </w:tc>
        <w:tc>
          <w:tcPr>
            <w:tcW w:w="1134" w:type="dxa"/>
            <w:shd w:val="clear" w:color="auto" w:fill="FFFFFF" w:themeFill="background1"/>
            <w:vAlign w:val="bottom"/>
            <w:hideMark/>
          </w:tcPr>
          <w:p w:rsidR="00C81821" w:rsidRPr="002F17B5" w:rsidRDefault="00C81821" w:rsidP="00A92FC8">
            <w:pPr>
              <w:spacing w:after="0"/>
              <w:jc w:val="right"/>
              <w:rPr>
                <w:rFonts w:cs="Arial"/>
              </w:rPr>
            </w:pPr>
            <w:r w:rsidRPr="002F17B5">
              <w:rPr>
                <w:rFonts w:cs="Arial"/>
                <w:szCs w:val="22"/>
              </w:rPr>
              <w:t>7.</w:t>
            </w:r>
            <w:r w:rsidR="008B2CB1" w:rsidRPr="002F17B5">
              <w:rPr>
                <w:rFonts w:cs="Arial"/>
                <w:szCs w:val="22"/>
              </w:rPr>
              <w:t>9</w:t>
            </w:r>
          </w:p>
        </w:tc>
      </w:tr>
      <w:tr w:rsidR="00C81821" w:rsidRPr="002F17B5" w:rsidTr="000739A6">
        <w:trPr>
          <w:trHeight w:val="360"/>
        </w:trPr>
        <w:tc>
          <w:tcPr>
            <w:tcW w:w="4536" w:type="dxa"/>
            <w:shd w:val="clear" w:color="auto" w:fill="FFFFFF" w:themeFill="background1"/>
            <w:noWrap/>
            <w:hideMark/>
          </w:tcPr>
          <w:p w:rsidR="00C81821" w:rsidRPr="002F17B5" w:rsidRDefault="00C81821" w:rsidP="00A92FC8">
            <w:pPr>
              <w:spacing w:after="0"/>
            </w:pPr>
            <w:r w:rsidRPr="002F17B5">
              <w:t>Contributions from the local authority</w:t>
            </w:r>
          </w:p>
        </w:tc>
        <w:tc>
          <w:tcPr>
            <w:tcW w:w="1843" w:type="dxa"/>
            <w:shd w:val="clear" w:color="auto" w:fill="FFFFFF" w:themeFill="background1"/>
            <w:vAlign w:val="bottom"/>
          </w:tcPr>
          <w:p w:rsidR="00C81821" w:rsidRPr="002F17B5" w:rsidRDefault="005D6D08" w:rsidP="00A92FC8">
            <w:pPr>
              <w:spacing w:after="0"/>
              <w:ind w:right="317"/>
              <w:jc w:val="right"/>
              <w:rPr>
                <w:rFonts w:cs="Arial"/>
              </w:rPr>
            </w:pPr>
            <w:r w:rsidRPr="002F17B5">
              <w:rPr>
                <w:rFonts w:cs="Arial"/>
              </w:rPr>
              <w:t>0.1</w:t>
            </w:r>
          </w:p>
        </w:tc>
        <w:tc>
          <w:tcPr>
            <w:tcW w:w="1134" w:type="dxa"/>
            <w:shd w:val="clear" w:color="auto" w:fill="FFFFFF" w:themeFill="background1"/>
            <w:vAlign w:val="bottom"/>
            <w:hideMark/>
          </w:tcPr>
          <w:p w:rsidR="00C81821" w:rsidRPr="002F17B5" w:rsidRDefault="00C81821" w:rsidP="00A92FC8">
            <w:pPr>
              <w:spacing w:after="0"/>
              <w:jc w:val="right"/>
              <w:rPr>
                <w:rFonts w:cs="Arial"/>
              </w:rPr>
            </w:pPr>
            <w:r w:rsidRPr="002F17B5">
              <w:rPr>
                <w:rFonts w:cs="Arial"/>
                <w:szCs w:val="22"/>
              </w:rPr>
              <w:t>0.1</w:t>
            </w:r>
          </w:p>
        </w:tc>
      </w:tr>
      <w:tr w:rsidR="00560D37" w:rsidRPr="002F17B5" w:rsidTr="000739A6">
        <w:trPr>
          <w:trHeight w:val="375"/>
        </w:trPr>
        <w:tc>
          <w:tcPr>
            <w:tcW w:w="4536" w:type="dxa"/>
            <w:shd w:val="clear" w:color="auto" w:fill="FFFFFF" w:themeFill="background1"/>
            <w:noWrap/>
            <w:vAlign w:val="bottom"/>
            <w:hideMark/>
          </w:tcPr>
          <w:p w:rsidR="00560D37" w:rsidRPr="002F17B5" w:rsidRDefault="00560D37" w:rsidP="00A92FC8">
            <w:pPr>
              <w:spacing w:after="0"/>
              <w:rPr>
                <w:b/>
              </w:rPr>
            </w:pPr>
            <w:r w:rsidRPr="002F17B5">
              <w:rPr>
                <w:b/>
              </w:rPr>
              <w:t>Grand Total</w:t>
            </w:r>
          </w:p>
        </w:tc>
        <w:tc>
          <w:tcPr>
            <w:tcW w:w="1843" w:type="dxa"/>
            <w:shd w:val="clear" w:color="auto" w:fill="FFFFFF" w:themeFill="background1"/>
          </w:tcPr>
          <w:p w:rsidR="00560D37" w:rsidRPr="002F17B5" w:rsidRDefault="006F4FF7" w:rsidP="00675319">
            <w:pPr>
              <w:spacing w:before="120" w:after="0"/>
              <w:ind w:right="317"/>
              <w:jc w:val="right"/>
              <w:rPr>
                <w:b/>
                <w:bCs/>
              </w:rPr>
            </w:pPr>
            <w:r w:rsidRPr="002F17B5">
              <w:rPr>
                <w:b/>
                <w:bCs/>
              </w:rPr>
              <w:t>28.9</w:t>
            </w:r>
          </w:p>
        </w:tc>
        <w:tc>
          <w:tcPr>
            <w:tcW w:w="1134" w:type="dxa"/>
            <w:shd w:val="clear" w:color="auto" w:fill="FFFFFF" w:themeFill="background1"/>
            <w:hideMark/>
          </w:tcPr>
          <w:p w:rsidR="00560D37" w:rsidRPr="002F17B5" w:rsidRDefault="00560D37" w:rsidP="00675319">
            <w:pPr>
              <w:spacing w:before="120" w:after="0"/>
              <w:jc w:val="right"/>
              <w:rPr>
                <w:b/>
                <w:bCs/>
              </w:rPr>
            </w:pPr>
            <w:r w:rsidRPr="002F17B5">
              <w:rPr>
                <w:b/>
                <w:bCs/>
              </w:rPr>
              <w:t>28.</w:t>
            </w:r>
            <w:r w:rsidR="008B2CB1" w:rsidRPr="002F17B5">
              <w:rPr>
                <w:b/>
                <w:bCs/>
              </w:rPr>
              <w:t>6</w:t>
            </w:r>
          </w:p>
        </w:tc>
      </w:tr>
    </w:tbl>
    <w:p w:rsidR="00EC68C6" w:rsidRPr="002F17B5" w:rsidRDefault="00EC68C6" w:rsidP="00D44A98"/>
    <w:p w:rsidR="00A92FC8" w:rsidRPr="002F17B5" w:rsidRDefault="00A92FC8" w:rsidP="00D44A98"/>
    <w:p w:rsidR="00E750A0" w:rsidRPr="002F17B5" w:rsidRDefault="00E750A0" w:rsidP="00D44A98">
      <w:r w:rsidRPr="002F17B5">
        <w:t>Although the payments made to the contractor are described as unitary payments, they have been calculated to compensate the contractor for the fair value of the services they provide, the capital expenditure incurred and interest payable whilst the capital expenditure remains to be reimbursed.</w:t>
      </w:r>
    </w:p>
    <w:p w:rsidR="00B5048A" w:rsidRPr="002F17B5" w:rsidRDefault="00B5048A">
      <w:pPr>
        <w:autoSpaceDE/>
        <w:autoSpaceDN/>
        <w:adjustRightInd/>
        <w:spacing w:after="20"/>
        <w:jc w:val="right"/>
      </w:pPr>
    </w:p>
    <w:p w:rsidR="00E750A0" w:rsidRPr="002F17B5" w:rsidRDefault="00E750A0" w:rsidP="00D44A98">
      <w:r w:rsidRPr="002F17B5">
        <w:t>The liability outstanding to pay to the contractor for capital expenditure incurred is as follows:</w:t>
      </w:r>
    </w:p>
    <w:p w:rsidR="00EC68C6" w:rsidRPr="002F17B5" w:rsidRDefault="00EC68C6" w:rsidP="00D44A98">
      <w:pPr>
        <w:rPr>
          <w:sz w:val="12"/>
        </w:rPr>
      </w:pPr>
    </w:p>
    <w:tbl>
      <w:tblPr>
        <w:tblW w:w="0" w:type="auto"/>
        <w:tblInd w:w="108" w:type="dxa"/>
        <w:shd w:val="clear" w:color="auto" w:fill="FFFFFF" w:themeFill="background1"/>
        <w:tblLook w:val="04A0" w:firstRow="1" w:lastRow="0" w:firstColumn="1" w:lastColumn="0" w:noHBand="0" w:noVBand="1"/>
      </w:tblPr>
      <w:tblGrid>
        <w:gridCol w:w="4395"/>
        <w:gridCol w:w="1701"/>
        <w:gridCol w:w="1559"/>
      </w:tblGrid>
      <w:tr w:rsidR="00E750A0" w:rsidRPr="002F17B5" w:rsidTr="006F4FF7">
        <w:tc>
          <w:tcPr>
            <w:tcW w:w="4395" w:type="dxa"/>
            <w:shd w:val="clear" w:color="auto" w:fill="FFFFFF" w:themeFill="background1"/>
          </w:tcPr>
          <w:p w:rsidR="00E750A0" w:rsidRPr="002F17B5" w:rsidRDefault="00E750A0" w:rsidP="00E750A0"/>
        </w:tc>
        <w:tc>
          <w:tcPr>
            <w:tcW w:w="1701" w:type="dxa"/>
            <w:shd w:val="clear" w:color="auto" w:fill="FFFFFF" w:themeFill="background1"/>
          </w:tcPr>
          <w:p w:rsidR="00E750A0" w:rsidRPr="002F17B5" w:rsidRDefault="00CD4CF3" w:rsidP="00E750A0">
            <w:pPr>
              <w:jc w:val="right"/>
              <w:rPr>
                <w:b/>
              </w:rPr>
            </w:pPr>
            <w:r w:rsidRPr="002F17B5">
              <w:rPr>
                <w:b/>
              </w:rPr>
              <w:t>2013/14</w:t>
            </w:r>
          </w:p>
        </w:tc>
        <w:tc>
          <w:tcPr>
            <w:tcW w:w="1559" w:type="dxa"/>
            <w:shd w:val="clear" w:color="auto" w:fill="FFFFFF" w:themeFill="background1"/>
          </w:tcPr>
          <w:p w:rsidR="00E750A0" w:rsidRPr="002F17B5" w:rsidRDefault="00CD4CF3" w:rsidP="00E750A0">
            <w:pPr>
              <w:jc w:val="right"/>
              <w:rPr>
                <w:b/>
              </w:rPr>
            </w:pPr>
            <w:r w:rsidRPr="002F17B5">
              <w:rPr>
                <w:b/>
              </w:rPr>
              <w:t>2012/13</w:t>
            </w:r>
          </w:p>
        </w:tc>
      </w:tr>
      <w:tr w:rsidR="00E750A0" w:rsidRPr="002F17B5" w:rsidTr="006F4FF7">
        <w:trPr>
          <w:trHeight w:val="334"/>
        </w:trPr>
        <w:tc>
          <w:tcPr>
            <w:tcW w:w="4395" w:type="dxa"/>
            <w:shd w:val="clear" w:color="auto" w:fill="FFFFFF" w:themeFill="background1"/>
          </w:tcPr>
          <w:p w:rsidR="00E750A0" w:rsidRPr="002F17B5" w:rsidRDefault="00E750A0" w:rsidP="00E750A0"/>
        </w:tc>
        <w:tc>
          <w:tcPr>
            <w:tcW w:w="1701" w:type="dxa"/>
            <w:shd w:val="clear" w:color="auto" w:fill="FFFFFF" w:themeFill="background1"/>
          </w:tcPr>
          <w:p w:rsidR="00E750A0" w:rsidRPr="002F17B5" w:rsidRDefault="00E750A0" w:rsidP="00E750A0">
            <w:pPr>
              <w:jc w:val="right"/>
              <w:rPr>
                <w:b/>
              </w:rPr>
            </w:pPr>
            <w:r w:rsidRPr="002F17B5">
              <w:rPr>
                <w:b/>
              </w:rPr>
              <w:t>£m</w:t>
            </w:r>
          </w:p>
        </w:tc>
        <w:tc>
          <w:tcPr>
            <w:tcW w:w="1559" w:type="dxa"/>
            <w:shd w:val="clear" w:color="auto" w:fill="FFFFFF" w:themeFill="background1"/>
          </w:tcPr>
          <w:p w:rsidR="00E750A0" w:rsidRPr="002F17B5" w:rsidRDefault="00E750A0" w:rsidP="00E750A0">
            <w:pPr>
              <w:jc w:val="right"/>
              <w:rPr>
                <w:b/>
              </w:rPr>
            </w:pPr>
            <w:r w:rsidRPr="002F17B5">
              <w:rPr>
                <w:b/>
              </w:rPr>
              <w:t>£m</w:t>
            </w:r>
          </w:p>
        </w:tc>
      </w:tr>
      <w:tr w:rsidR="005C0198" w:rsidRPr="002F17B5" w:rsidTr="006F4FF7">
        <w:tc>
          <w:tcPr>
            <w:tcW w:w="4395" w:type="dxa"/>
            <w:shd w:val="clear" w:color="auto" w:fill="FFFFFF" w:themeFill="background1"/>
          </w:tcPr>
          <w:p w:rsidR="005C0198" w:rsidRPr="002F17B5" w:rsidRDefault="005C0198" w:rsidP="00E750A0">
            <w:r w:rsidRPr="002F17B5">
              <w:t>Balance outstanding at start of year</w:t>
            </w:r>
          </w:p>
        </w:tc>
        <w:tc>
          <w:tcPr>
            <w:tcW w:w="1701" w:type="dxa"/>
            <w:shd w:val="clear" w:color="auto" w:fill="FFFFFF" w:themeFill="background1"/>
          </w:tcPr>
          <w:p w:rsidR="005C0198" w:rsidRPr="002F17B5" w:rsidRDefault="00284C2C" w:rsidP="00E750A0">
            <w:pPr>
              <w:jc w:val="right"/>
            </w:pPr>
            <w:r>
              <w:t>(181.6</w:t>
            </w:r>
            <w:r w:rsidR="005D6D08" w:rsidRPr="002F17B5">
              <w:t>)</w:t>
            </w:r>
          </w:p>
        </w:tc>
        <w:tc>
          <w:tcPr>
            <w:tcW w:w="1559" w:type="dxa"/>
            <w:shd w:val="clear" w:color="auto" w:fill="FFFFFF" w:themeFill="background1"/>
          </w:tcPr>
          <w:p w:rsidR="005C0198" w:rsidRPr="002F17B5" w:rsidRDefault="00284C2C" w:rsidP="005C0198">
            <w:pPr>
              <w:jc w:val="right"/>
            </w:pPr>
            <w:r>
              <w:t>(186.3</w:t>
            </w:r>
            <w:r w:rsidR="005C0198" w:rsidRPr="002F17B5">
              <w:t>)</w:t>
            </w:r>
          </w:p>
        </w:tc>
      </w:tr>
      <w:tr w:rsidR="005C0198" w:rsidRPr="002F17B5" w:rsidTr="006F4FF7">
        <w:tc>
          <w:tcPr>
            <w:tcW w:w="4395" w:type="dxa"/>
            <w:shd w:val="clear" w:color="auto" w:fill="FFFFFF" w:themeFill="background1"/>
          </w:tcPr>
          <w:p w:rsidR="005C0198" w:rsidRPr="002F17B5" w:rsidRDefault="005C0198" w:rsidP="00E750A0">
            <w:r w:rsidRPr="002F17B5">
              <w:t>Payments during the year</w:t>
            </w:r>
          </w:p>
        </w:tc>
        <w:tc>
          <w:tcPr>
            <w:tcW w:w="1701" w:type="dxa"/>
            <w:shd w:val="clear" w:color="auto" w:fill="FFFFFF" w:themeFill="background1"/>
          </w:tcPr>
          <w:p w:rsidR="005C0198" w:rsidRPr="002F17B5" w:rsidRDefault="005D6D08" w:rsidP="00284C2C">
            <w:pPr>
              <w:jc w:val="right"/>
            </w:pPr>
            <w:r w:rsidRPr="002F17B5">
              <w:t>4.</w:t>
            </w:r>
            <w:r w:rsidR="00284C2C">
              <w:t>5</w:t>
            </w:r>
          </w:p>
        </w:tc>
        <w:tc>
          <w:tcPr>
            <w:tcW w:w="1559" w:type="dxa"/>
            <w:shd w:val="clear" w:color="auto" w:fill="FFFFFF" w:themeFill="background1"/>
          </w:tcPr>
          <w:p w:rsidR="005C0198" w:rsidRPr="002F17B5" w:rsidRDefault="006F4FF7" w:rsidP="005C0198">
            <w:pPr>
              <w:jc w:val="right"/>
            </w:pPr>
            <w:r w:rsidRPr="002F17B5">
              <w:t>4</w:t>
            </w:r>
            <w:r w:rsidR="00284C2C">
              <w:t>.6</w:t>
            </w:r>
          </w:p>
        </w:tc>
      </w:tr>
      <w:tr w:rsidR="005C0198" w:rsidRPr="002F17B5" w:rsidTr="006F4FF7">
        <w:tc>
          <w:tcPr>
            <w:tcW w:w="4395" w:type="dxa"/>
            <w:shd w:val="clear" w:color="auto" w:fill="FFFFFF" w:themeFill="background1"/>
          </w:tcPr>
          <w:p w:rsidR="005C0198" w:rsidRPr="002F17B5" w:rsidRDefault="005C0198" w:rsidP="00E750A0">
            <w:r w:rsidRPr="002F17B5">
              <w:t>Balance outstanding at year end</w:t>
            </w:r>
          </w:p>
        </w:tc>
        <w:tc>
          <w:tcPr>
            <w:tcW w:w="1701" w:type="dxa"/>
            <w:shd w:val="clear" w:color="auto" w:fill="FFFFFF" w:themeFill="background1"/>
          </w:tcPr>
          <w:p w:rsidR="005C0198" w:rsidRPr="002F17B5" w:rsidRDefault="00284C2C" w:rsidP="00E750A0">
            <w:pPr>
              <w:jc w:val="right"/>
            </w:pPr>
            <w:r>
              <w:t>(177.1</w:t>
            </w:r>
            <w:r w:rsidR="005D6D08" w:rsidRPr="002F17B5">
              <w:t>)</w:t>
            </w:r>
          </w:p>
        </w:tc>
        <w:tc>
          <w:tcPr>
            <w:tcW w:w="1559" w:type="dxa"/>
            <w:shd w:val="clear" w:color="auto" w:fill="FFFFFF" w:themeFill="background1"/>
          </w:tcPr>
          <w:p w:rsidR="005C0198" w:rsidRPr="002F17B5" w:rsidRDefault="00284C2C" w:rsidP="005C0198">
            <w:pPr>
              <w:jc w:val="right"/>
            </w:pPr>
            <w:r>
              <w:t>(181.7</w:t>
            </w:r>
            <w:r w:rsidR="005C0198" w:rsidRPr="002F17B5">
              <w:t>)</w:t>
            </w:r>
          </w:p>
        </w:tc>
      </w:tr>
      <w:tr w:rsidR="00A92FC8" w:rsidRPr="002F17B5" w:rsidTr="006F4FF7">
        <w:tc>
          <w:tcPr>
            <w:tcW w:w="4395" w:type="dxa"/>
            <w:shd w:val="clear" w:color="auto" w:fill="FFFFFF" w:themeFill="background1"/>
          </w:tcPr>
          <w:p w:rsidR="00A92FC8" w:rsidRPr="002F17B5" w:rsidRDefault="00A92FC8" w:rsidP="00E750A0"/>
        </w:tc>
        <w:tc>
          <w:tcPr>
            <w:tcW w:w="1701" w:type="dxa"/>
            <w:shd w:val="clear" w:color="auto" w:fill="FFFFFF" w:themeFill="background1"/>
          </w:tcPr>
          <w:p w:rsidR="00A92FC8" w:rsidRPr="002F17B5" w:rsidRDefault="00A92FC8" w:rsidP="00E750A0">
            <w:pPr>
              <w:jc w:val="right"/>
            </w:pPr>
          </w:p>
        </w:tc>
        <w:tc>
          <w:tcPr>
            <w:tcW w:w="1559" w:type="dxa"/>
            <w:shd w:val="clear" w:color="auto" w:fill="FFFFFF" w:themeFill="background1"/>
          </w:tcPr>
          <w:p w:rsidR="00A92FC8" w:rsidRPr="002F17B5" w:rsidRDefault="00A92FC8" w:rsidP="005C0198">
            <w:pPr>
              <w:jc w:val="right"/>
            </w:pPr>
          </w:p>
        </w:tc>
      </w:tr>
    </w:tbl>
    <w:p w:rsidR="00E750A0" w:rsidRPr="002F17B5" w:rsidRDefault="00E750A0" w:rsidP="00D44A98">
      <w:pPr>
        <w:pStyle w:val="Heading2"/>
        <w:rPr>
          <w:rFonts w:ascii="Arial" w:hAnsi="Arial" w:cs="Arial"/>
          <w:b w:val="0"/>
          <w:color w:val="auto"/>
          <w:sz w:val="24"/>
          <w:szCs w:val="24"/>
        </w:rPr>
      </w:pPr>
      <w:r w:rsidRPr="002F17B5">
        <w:rPr>
          <w:rFonts w:ascii="Arial" w:hAnsi="Arial" w:cs="Arial"/>
          <w:b w:val="0"/>
          <w:color w:val="auto"/>
          <w:sz w:val="24"/>
          <w:szCs w:val="24"/>
        </w:rPr>
        <w:lastRenderedPageBreak/>
        <w:t>Under all these contracts (Fleetwood Sports College and BSF Phases 1, 2, 2a and 3), the council has the rights to utilise the buildings. Each school is made available for use in the following priority order: (</w:t>
      </w:r>
      <w:proofErr w:type="spellStart"/>
      <w:r w:rsidRPr="002F17B5">
        <w:rPr>
          <w:rFonts w:ascii="Arial" w:hAnsi="Arial" w:cs="Arial"/>
          <w:b w:val="0"/>
          <w:color w:val="auto"/>
          <w:sz w:val="24"/>
          <w:szCs w:val="24"/>
        </w:rPr>
        <w:t>i</w:t>
      </w:r>
      <w:proofErr w:type="spellEnd"/>
      <w:r w:rsidRPr="002F17B5">
        <w:rPr>
          <w:rFonts w:ascii="Arial" w:hAnsi="Arial" w:cs="Arial"/>
          <w:b w:val="0"/>
          <w:color w:val="auto"/>
          <w:sz w:val="24"/>
          <w:szCs w:val="24"/>
        </w:rPr>
        <w:t>) provision of education services, (ii) community use, (iii) third party use. The contractor may enter into arrangements for third party use, subject to satisfying criteria laid out in the contract, and may be entitled to charge for such use. An income sharing arrangement is in place regarding any income received for third party use.</w:t>
      </w:r>
    </w:p>
    <w:p w:rsidR="00D44A98" w:rsidRPr="00AD5D5C" w:rsidRDefault="00D44A98" w:rsidP="00D44A98">
      <w:pPr>
        <w:rPr>
          <w:sz w:val="26"/>
        </w:rPr>
      </w:pPr>
    </w:p>
    <w:p w:rsidR="00E750A0" w:rsidRPr="002F17B5" w:rsidRDefault="00E750A0" w:rsidP="00D44A98">
      <w:pPr>
        <w:pStyle w:val="Heading2"/>
        <w:rPr>
          <w:rFonts w:ascii="Arial" w:hAnsi="Arial" w:cs="Arial"/>
          <w:b w:val="0"/>
          <w:i/>
          <w:color w:val="auto"/>
          <w:sz w:val="24"/>
          <w:szCs w:val="24"/>
        </w:rPr>
      </w:pPr>
      <w:r w:rsidRPr="002F17B5">
        <w:rPr>
          <w:rFonts w:ascii="Arial" w:hAnsi="Arial" w:cs="Arial"/>
          <w:b w:val="0"/>
          <w:color w:val="auto"/>
          <w:sz w:val="24"/>
          <w:szCs w:val="24"/>
        </w:rPr>
        <w:t>The contractor took on the obligations to construct the schools and to maintain them in a minimum acceptable condition. At the end of the contract period, the buildings will revert to the council for nil consideration. The significant risks that the council is exposed to under these PFI's are changes in inflation and changes in demand for the services. There is provision within the agreements for the termination of the contracts, under certain conditions, by either the council or by the contractor. This may be in the form of voluntary termination by the council, termination by the contractor council default, or termination by the council on contractor default. Compensation payments are payable upon termination and the calculation of these is determined in the contracts.</w:t>
      </w:r>
    </w:p>
    <w:p w:rsidR="00E750A0" w:rsidRDefault="00E750A0" w:rsidP="00E750A0">
      <w:pPr>
        <w:autoSpaceDE/>
        <w:autoSpaceDN/>
        <w:adjustRightInd/>
        <w:spacing w:after="20"/>
        <w:jc w:val="left"/>
        <w:rPr>
          <w:rFonts w:eastAsia="Times New Roman"/>
          <w:b/>
          <w:color w:val="auto"/>
          <w:lang w:eastAsia="en-GB"/>
        </w:rPr>
      </w:pPr>
    </w:p>
    <w:p w:rsidR="00072A21" w:rsidRPr="002F17B5" w:rsidRDefault="00072A21" w:rsidP="00E750A0">
      <w:pPr>
        <w:autoSpaceDE/>
        <w:autoSpaceDN/>
        <w:adjustRightInd/>
        <w:spacing w:after="20"/>
        <w:jc w:val="left"/>
        <w:rPr>
          <w:rFonts w:eastAsia="Times New Roman"/>
          <w:b/>
          <w:color w:val="auto"/>
          <w:lang w:eastAsia="en-GB"/>
        </w:rPr>
      </w:pPr>
    </w:p>
    <w:p w:rsidR="00783C76" w:rsidRPr="002F17B5" w:rsidRDefault="00783C76" w:rsidP="003A4E90">
      <w:pPr>
        <w:autoSpaceDE/>
        <w:autoSpaceDN/>
        <w:adjustRightInd/>
        <w:spacing w:after="20"/>
        <w:jc w:val="left"/>
        <w:rPr>
          <w:rFonts w:eastAsia="Times New Roman"/>
          <w:b/>
          <w:color w:val="auto"/>
          <w:lang w:eastAsia="en-GB"/>
        </w:rPr>
      </w:pPr>
    </w:p>
    <w:p w:rsidR="00B96BF7" w:rsidRPr="002F17B5" w:rsidRDefault="00B96BF7" w:rsidP="00B96BF7">
      <w:pPr>
        <w:pStyle w:val="Heading2"/>
        <w:rPr>
          <w:rFonts w:ascii="Arial" w:hAnsi="Arial" w:cs="Arial"/>
          <w:color w:val="auto"/>
          <w:sz w:val="24"/>
          <w:szCs w:val="24"/>
        </w:rPr>
      </w:pPr>
      <w:r w:rsidRPr="002F17B5">
        <w:rPr>
          <w:rFonts w:ascii="Arial" w:hAnsi="Arial" w:cs="Arial"/>
          <w:color w:val="auto"/>
          <w:sz w:val="24"/>
          <w:szCs w:val="24"/>
        </w:rPr>
        <w:t>Lancashire Waste</w:t>
      </w:r>
      <w:r w:rsidR="00C74D27" w:rsidRPr="002F17B5">
        <w:rPr>
          <w:rFonts w:ascii="Arial" w:hAnsi="Arial" w:cs="Arial"/>
          <w:color w:val="auto"/>
          <w:sz w:val="24"/>
          <w:szCs w:val="24"/>
        </w:rPr>
        <w:t xml:space="preserve"> PFI</w:t>
      </w:r>
      <w:r w:rsidRPr="002F17B5">
        <w:rPr>
          <w:rFonts w:ascii="Arial" w:hAnsi="Arial" w:cs="Arial"/>
          <w:color w:val="auto"/>
          <w:sz w:val="24"/>
          <w:szCs w:val="24"/>
        </w:rPr>
        <w:t xml:space="preserve"> Scheme </w:t>
      </w:r>
    </w:p>
    <w:p w:rsidR="00EC68C6" w:rsidRPr="002F17B5" w:rsidRDefault="00EC68C6" w:rsidP="00EC68C6">
      <w:pPr>
        <w:rPr>
          <w:sz w:val="10"/>
        </w:rPr>
      </w:pPr>
    </w:p>
    <w:p w:rsidR="00C74D27" w:rsidRPr="002F17B5" w:rsidRDefault="00C74D27" w:rsidP="00C74D27">
      <w:pPr>
        <w:autoSpaceDE/>
        <w:autoSpaceDN/>
        <w:adjustRightInd/>
        <w:spacing w:before="0" w:after="0"/>
      </w:pPr>
      <w:r w:rsidRPr="002F17B5">
        <w:t xml:space="preserve">The county council signed a PFI contract with Global Renewables Lancashire (GRL) Limited on 2 March 2007. The Works and Services to be provided under the Contract are procured by Lancashire County Council.  Blackpool Council is our partner for the project and will contribute towards the costs. The basis of the partnership is set out in a joint working agreement. The contract covers delivery, treatment and final disposal of household, green and commercial Waste at the </w:t>
      </w:r>
      <w:proofErr w:type="spellStart"/>
      <w:r w:rsidRPr="002F17B5">
        <w:t>Farington</w:t>
      </w:r>
      <w:proofErr w:type="spellEnd"/>
      <w:r w:rsidRPr="002F17B5">
        <w:t xml:space="preserve"> and Thornton Sites as per contract output specifications and service delivery plans as well as the provision of other "soft services" such as education centre activities, tree planting, waste minimisation initiatives and developing local markets to use the end products from processed waste.</w:t>
      </w:r>
    </w:p>
    <w:p w:rsidR="00B96BF7" w:rsidRPr="00AD5D5C" w:rsidRDefault="00B96BF7" w:rsidP="00B96BF7">
      <w:pPr>
        <w:rPr>
          <w:sz w:val="26"/>
        </w:rPr>
      </w:pPr>
    </w:p>
    <w:p w:rsidR="00C74D27" w:rsidRPr="002F17B5" w:rsidRDefault="00C74D27" w:rsidP="00C74D27">
      <w:pPr>
        <w:autoSpaceDE/>
        <w:autoSpaceDN/>
        <w:adjustRightInd/>
        <w:spacing w:before="0" w:after="0"/>
      </w:pPr>
      <w:r w:rsidRPr="002F17B5">
        <w:t>The waste treatment facilities have been built and are in operation. The contract will run for 25 years from the date the final waste treatment facility became fully operational and the total payments to GRL</w:t>
      </w:r>
      <w:r w:rsidR="00936978">
        <w:t>, by the county council,</w:t>
      </w:r>
      <w:r w:rsidRPr="002F17B5">
        <w:t xml:space="preserve"> will be around £2.</w:t>
      </w:r>
      <w:r w:rsidR="00A30119">
        <w:t>0</w:t>
      </w:r>
      <w:r w:rsidRPr="002F17B5">
        <w:t xml:space="preserve"> billion over the contract period. The county council pays a unitary payment which consists of a fixed and a variable element, both of which are subject to inflation. This payment can be reduced if the Contractor fails to meet agreed targets. The capital cost</w:t>
      </w:r>
      <w:r w:rsidR="00982A2E" w:rsidRPr="002F17B5">
        <w:t>s of the PFI contract</w:t>
      </w:r>
      <w:r w:rsidR="00936978">
        <w:t xml:space="preserve">, attributable to the county council, </w:t>
      </w:r>
      <w:r w:rsidR="00982A2E" w:rsidRPr="002F17B5">
        <w:t>are £2</w:t>
      </w:r>
      <w:r w:rsidR="000619B5">
        <w:t>4</w:t>
      </w:r>
      <w:r w:rsidR="00982A2E" w:rsidRPr="002F17B5">
        <w:t>5.</w:t>
      </w:r>
      <w:r w:rsidR="000619B5">
        <w:t>9</w:t>
      </w:r>
      <w:r w:rsidR="00982A2E" w:rsidRPr="002F17B5">
        <w:t>m</w:t>
      </w:r>
      <w:r w:rsidRPr="002F17B5">
        <w:t>.  At the end of the contract the Waste PFI assets will be owned by Lancashire County Council.</w:t>
      </w:r>
    </w:p>
    <w:p w:rsidR="00B96BF7" w:rsidRPr="00AD5D5C" w:rsidRDefault="00B96BF7" w:rsidP="00B96BF7">
      <w:pPr>
        <w:rPr>
          <w:sz w:val="26"/>
        </w:rPr>
      </w:pPr>
    </w:p>
    <w:p w:rsidR="00C74D27" w:rsidRPr="002F17B5" w:rsidRDefault="00C74D27" w:rsidP="00C74D27">
      <w:pPr>
        <w:autoSpaceDE/>
        <w:autoSpaceDN/>
        <w:adjustRightInd/>
        <w:spacing w:before="0" w:after="0"/>
      </w:pPr>
      <w:r w:rsidRPr="002F17B5">
        <w:t>Both sites are now in deemed service commencement and as a result, full service payments commenced in 2011/12. From an accounting point of view this also means that the assets are no longer treated as off balance sheet but now form part of the county council's assets.</w:t>
      </w:r>
    </w:p>
    <w:p w:rsidR="00EC68C6" w:rsidRPr="002F17B5" w:rsidRDefault="00EC68C6">
      <w:pPr>
        <w:autoSpaceDE/>
        <w:autoSpaceDN/>
        <w:adjustRightInd/>
        <w:spacing w:after="20"/>
        <w:jc w:val="right"/>
        <w:rPr>
          <w:sz w:val="20"/>
        </w:rPr>
      </w:pPr>
    </w:p>
    <w:p w:rsidR="00072A21" w:rsidRDefault="00072A21" w:rsidP="00B96BF7">
      <w:r>
        <w:br w:type="page"/>
      </w:r>
    </w:p>
    <w:p w:rsidR="00B96BF7" w:rsidRPr="002F17B5" w:rsidRDefault="00B96BF7" w:rsidP="00B96BF7">
      <w:r w:rsidRPr="002F17B5">
        <w:lastRenderedPageBreak/>
        <w:t xml:space="preserve">Payments remaining to be made under the PFI contract at </w:t>
      </w:r>
      <w:r w:rsidR="006D01F9" w:rsidRPr="002F17B5">
        <w:t>31 March 2014</w:t>
      </w:r>
      <w:r w:rsidR="00047CA9" w:rsidRPr="002F17B5">
        <w:t xml:space="preserve"> </w:t>
      </w:r>
      <w:r w:rsidRPr="002F17B5">
        <w:t>(excluding</w:t>
      </w:r>
      <w:r w:rsidR="00A30119">
        <w:t xml:space="preserve"> any</w:t>
      </w:r>
      <w:r w:rsidRPr="002F17B5">
        <w:t xml:space="preserve"> availability/performance deductions) are as follows</w:t>
      </w:r>
    </w:p>
    <w:p w:rsidR="00EC68C6" w:rsidRPr="002F17B5" w:rsidRDefault="00EC68C6" w:rsidP="00B96BF7"/>
    <w:tbl>
      <w:tblPr>
        <w:tblW w:w="10490" w:type="dxa"/>
        <w:jc w:val="center"/>
        <w:tblLayout w:type="fixed"/>
        <w:tblLook w:val="04A0" w:firstRow="1" w:lastRow="0" w:firstColumn="1" w:lastColumn="0" w:noHBand="0" w:noVBand="1"/>
      </w:tblPr>
      <w:tblGrid>
        <w:gridCol w:w="4962"/>
        <w:gridCol w:w="1417"/>
        <w:gridCol w:w="1559"/>
        <w:gridCol w:w="1134"/>
        <w:gridCol w:w="1418"/>
      </w:tblGrid>
      <w:tr w:rsidR="00FD4939" w:rsidRPr="002F17B5" w:rsidTr="00006736">
        <w:trPr>
          <w:trHeight w:val="821"/>
          <w:jc w:val="center"/>
        </w:trPr>
        <w:tc>
          <w:tcPr>
            <w:tcW w:w="4962" w:type="dxa"/>
            <w:shd w:val="clear" w:color="auto" w:fill="FFFFFF" w:themeFill="background1"/>
          </w:tcPr>
          <w:p w:rsidR="00B96BF7" w:rsidRPr="002F17B5" w:rsidRDefault="00B96BF7" w:rsidP="00072A21">
            <w:pPr>
              <w:tabs>
                <w:tab w:val="num" w:pos="0"/>
              </w:tabs>
              <w:spacing w:before="100" w:beforeAutospacing="1" w:after="240"/>
            </w:pPr>
          </w:p>
        </w:tc>
        <w:tc>
          <w:tcPr>
            <w:tcW w:w="1417" w:type="dxa"/>
            <w:shd w:val="clear" w:color="auto" w:fill="FFFFFF" w:themeFill="background1"/>
            <w:vAlign w:val="center"/>
          </w:tcPr>
          <w:p w:rsidR="00B96BF7" w:rsidRPr="002F17B5" w:rsidRDefault="00B96BF7" w:rsidP="00A92FC8">
            <w:pPr>
              <w:spacing w:before="100" w:beforeAutospacing="1"/>
              <w:jc w:val="center"/>
            </w:pPr>
            <w:r w:rsidRPr="002F17B5">
              <w:t>Payments for Services</w:t>
            </w:r>
          </w:p>
        </w:tc>
        <w:tc>
          <w:tcPr>
            <w:tcW w:w="1559" w:type="dxa"/>
            <w:shd w:val="clear" w:color="auto" w:fill="FFFFFF" w:themeFill="background1"/>
            <w:vAlign w:val="center"/>
          </w:tcPr>
          <w:p w:rsidR="00B96BF7" w:rsidRPr="002F17B5" w:rsidRDefault="00B96BF7" w:rsidP="00A92FC8">
            <w:pPr>
              <w:spacing w:before="100" w:beforeAutospacing="1"/>
              <w:jc w:val="center"/>
            </w:pPr>
            <w:r w:rsidRPr="002F17B5">
              <w:t>Repayment of liability</w:t>
            </w:r>
          </w:p>
        </w:tc>
        <w:tc>
          <w:tcPr>
            <w:tcW w:w="1134" w:type="dxa"/>
            <w:shd w:val="clear" w:color="auto" w:fill="FFFFFF" w:themeFill="background1"/>
            <w:vAlign w:val="center"/>
          </w:tcPr>
          <w:p w:rsidR="00B96BF7" w:rsidRPr="002F17B5" w:rsidRDefault="00B96BF7" w:rsidP="00A92FC8">
            <w:pPr>
              <w:spacing w:before="100" w:beforeAutospacing="1"/>
              <w:jc w:val="center"/>
            </w:pPr>
            <w:r w:rsidRPr="002F17B5">
              <w:t>Interest Charges</w:t>
            </w:r>
          </w:p>
        </w:tc>
        <w:tc>
          <w:tcPr>
            <w:tcW w:w="1418" w:type="dxa"/>
            <w:shd w:val="clear" w:color="auto" w:fill="FFFFFF" w:themeFill="background1"/>
            <w:vAlign w:val="center"/>
          </w:tcPr>
          <w:p w:rsidR="00B96BF7" w:rsidRPr="002F17B5" w:rsidRDefault="00B96BF7" w:rsidP="00A92FC8">
            <w:pPr>
              <w:spacing w:before="100" w:beforeAutospacing="1"/>
              <w:jc w:val="center"/>
            </w:pPr>
            <w:r w:rsidRPr="002F17B5">
              <w:t>Total Payments due</w:t>
            </w:r>
          </w:p>
        </w:tc>
      </w:tr>
      <w:tr w:rsidR="00FD4939" w:rsidRPr="002F17B5" w:rsidTr="00006736">
        <w:trPr>
          <w:trHeight w:val="151"/>
          <w:jc w:val="center"/>
        </w:trPr>
        <w:tc>
          <w:tcPr>
            <w:tcW w:w="4962" w:type="dxa"/>
            <w:shd w:val="clear" w:color="auto" w:fill="FFFFFF" w:themeFill="background1"/>
            <w:vAlign w:val="center"/>
          </w:tcPr>
          <w:p w:rsidR="00B96BF7" w:rsidRPr="002F17B5" w:rsidRDefault="00B96BF7" w:rsidP="00A92FC8">
            <w:pPr>
              <w:spacing w:before="100" w:beforeAutospacing="1"/>
            </w:pPr>
          </w:p>
        </w:tc>
        <w:tc>
          <w:tcPr>
            <w:tcW w:w="1417" w:type="dxa"/>
            <w:shd w:val="clear" w:color="auto" w:fill="FFFFFF" w:themeFill="background1"/>
            <w:vAlign w:val="center"/>
          </w:tcPr>
          <w:p w:rsidR="00B70B4B" w:rsidRPr="002F17B5" w:rsidRDefault="00B96BF7" w:rsidP="00675319">
            <w:pPr>
              <w:spacing w:before="100" w:beforeAutospacing="1"/>
              <w:ind w:right="305"/>
              <w:jc w:val="right"/>
              <w:rPr>
                <w:b/>
              </w:rPr>
            </w:pPr>
            <w:r w:rsidRPr="002F17B5">
              <w:rPr>
                <w:b/>
              </w:rPr>
              <w:t>£m</w:t>
            </w:r>
          </w:p>
        </w:tc>
        <w:tc>
          <w:tcPr>
            <w:tcW w:w="1559" w:type="dxa"/>
            <w:shd w:val="clear" w:color="auto" w:fill="FFFFFF" w:themeFill="background1"/>
            <w:vAlign w:val="center"/>
          </w:tcPr>
          <w:p w:rsidR="00B70B4B" w:rsidRPr="002F17B5" w:rsidRDefault="00B96BF7" w:rsidP="00675319">
            <w:pPr>
              <w:spacing w:before="100" w:beforeAutospacing="1"/>
              <w:ind w:right="305"/>
              <w:jc w:val="right"/>
              <w:rPr>
                <w:b/>
              </w:rPr>
            </w:pPr>
            <w:r w:rsidRPr="002F17B5">
              <w:rPr>
                <w:b/>
              </w:rPr>
              <w:t>£m</w:t>
            </w:r>
          </w:p>
        </w:tc>
        <w:tc>
          <w:tcPr>
            <w:tcW w:w="1134" w:type="dxa"/>
            <w:shd w:val="clear" w:color="auto" w:fill="FFFFFF" w:themeFill="background1"/>
            <w:vAlign w:val="center"/>
          </w:tcPr>
          <w:p w:rsidR="00B70B4B" w:rsidRPr="002F17B5" w:rsidRDefault="00B96BF7" w:rsidP="00675319">
            <w:pPr>
              <w:spacing w:before="100" w:beforeAutospacing="1"/>
              <w:ind w:right="98"/>
              <w:jc w:val="right"/>
              <w:rPr>
                <w:b/>
              </w:rPr>
            </w:pPr>
            <w:r w:rsidRPr="002F17B5">
              <w:rPr>
                <w:b/>
              </w:rPr>
              <w:t>£m</w:t>
            </w:r>
          </w:p>
        </w:tc>
        <w:tc>
          <w:tcPr>
            <w:tcW w:w="1418" w:type="dxa"/>
            <w:shd w:val="clear" w:color="auto" w:fill="FFFFFF" w:themeFill="background1"/>
            <w:vAlign w:val="center"/>
          </w:tcPr>
          <w:p w:rsidR="00B70B4B" w:rsidRPr="002F17B5" w:rsidRDefault="00B96BF7" w:rsidP="00675319">
            <w:pPr>
              <w:spacing w:before="100" w:beforeAutospacing="1"/>
              <w:ind w:right="305"/>
              <w:jc w:val="right"/>
              <w:rPr>
                <w:b/>
              </w:rPr>
            </w:pPr>
            <w:r w:rsidRPr="002F17B5">
              <w:rPr>
                <w:b/>
              </w:rPr>
              <w:t>£m</w:t>
            </w:r>
          </w:p>
        </w:tc>
      </w:tr>
      <w:tr w:rsidR="0052033C" w:rsidRPr="002F17B5" w:rsidTr="0052033C">
        <w:trPr>
          <w:jc w:val="center"/>
        </w:trPr>
        <w:tc>
          <w:tcPr>
            <w:tcW w:w="4962" w:type="dxa"/>
            <w:shd w:val="clear" w:color="auto" w:fill="FFFFFF" w:themeFill="background1"/>
          </w:tcPr>
          <w:p w:rsidR="0052033C" w:rsidRPr="002F17B5" w:rsidRDefault="0052033C" w:rsidP="00A92FC8">
            <w:pPr>
              <w:spacing w:before="100" w:beforeAutospacing="1"/>
              <w:rPr>
                <w:sz w:val="23"/>
                <w:szCs w:val="23"/>
              </w:rPr>
            </w:pPr>
            <w:r w:rsidRPr="002F17B5">
              <w:rPr>
                <w:sz w:val="23"/>
                <w:szCs w:val="23"/>
              </w:rPr>
              <w:t>Payable in 2014/15</w:t>
            </w:r>
          </w:p>
        </w:tc>
        <w:tc>
          <w:tcPr>
            <w:tcW w:w="1417" w:type="dxa"/>
            <w:shd w:val="clear" w:color="auto" w:fill="FFFFFF" w:themeFill="background1"/>
            <w:vAlign w:val="center"/>
          </w:tcPr>
          <w:p w:rsidR="0052033C" w:rsidRPr="002F17B5" w:rsidRDefault="000D1F61" w:rsidP="00A92FC8">
            <w:pPr>
              <w:spacing w:before="100" w:beforeAutospacing="1"/>
              <w:ind w:firstLine="187"/>
              <w:jc w:val="center"/>
              <w:rPr>
                <w:rFonts w:cs="Arial"/>
              </w:rPr>
            </w:pPr>
            <w:r>
              <w:rPr>
                <w:rFonts w:cs="Arial"/>
              </w:rPr>
              <w:t>24.6</w:t>
            </w:r>
          </w:p>
        </w:tc>
        <w:tc>
          <w:tcPr>
            <w:tcW w:w="1559" w:type="dxa"/>
            <w:shd w:val="clear" w:color="auto" w:fill="FFFFFF" w:themeFill="background1"/>
            <w:vAlign w:val="center"/>
          </w:tcPr>
          <w:p w:rsidR="001D73DF" w:rsidRPr="002F17B5" w:rsidRDefault="0052033C" w:rsidP="00A92FC8">
            <w:pPr>
              <w:spacing w:before="100" w:beforeAutospacing="1"/>
              <w:ind w:firstLine="329"/>
              <w:jc w:val="center"/>
              <w:rPr>
                <w:rFonts w:cs="Arial"/>
              </w:rPr>
            </w:pPr>
            <w:r w:rsidRPr="002F17B5">
              <w:rPr>
                <w:rFonts w:cs="Arial"/>
              </w:rPr>
              <w:t>3.2</w:t>
            </w:r>
          </w:p>
        </w:tc>
        <w:tc>
          <w:tcPr>
            <w:tcW w:w="1134" w:type="dxa"/>
            <w:shd w:val="clear" w:color="auto" w:fill="FFFFFF" w:themeFill="background1"/>
            <w:vAlign w:val="center"/>
          </w:tcPr>
          <w:p w:rsidR="001D73DF" w:rsidRPr="002F17B5" w:rsidRDefault="000D1F61" w:rsidP="00A92FC8">
            <w:pPr>
              <w:spacing w:before="100" w:beforeAutospacing="1"/>
              <w:ind w:right="-120" w:firstLine="188"/>
              <w:jc w:val="center"/>
              <w:rPr>
                <w:rFonts w:cs="Arial"/>
              </w:rPr>
            </w:pPr>
            <w:r>
              <w:rPr>
                <w:rFonts w:cs="Arial"/>
              </w:rPr>
              <w:t>23.8</w:t>
            </w:r>
          </w:p>
        </w:tc>
        <w:tc>
          <w:tcPr>
            <w:tcW w:w="1418" w:type="dxa"/>
            <w:shd w:val="clear" w:color="auto" w:fill="FFFFFF" w:themeFill="background1"/>
            <w:vAlign w:val="center"/>
          </w:tcPr>
          <w:p w:rsidR="001D73DF" w:rsidRPr="002F17B5" w:rsidRDefault="0052033C" w:rsidP="00A92FC8">
            <w:pPr>
              <w:spacing w:before="100" w:beforeAutospacing="1"/>
              <w:ind w:firstLine="188"/>
              <w:jc w:val="center"/>
              <w:rPr>
                <w:rFonts w:cs="Arial"/>
              </w:rPr>
            </w:pPr>
            <w:r w:rsidRPr="002F17B5">
              <w:rPr>
                <w:rFonts w:cs="Arial"/>
              </w:rPr>
              <w:t>51.</w:t>
            </w:r>
            <w:r w:rsidR="000D1F61">
              <w:rPr>
                <w:rFonts w:cs="Arial"/>
              </w:rPr>
              <w:t>6</w:t>
            </w:r>
          </w:p>
        </w:tc>
      </w:tr>
      <w:tr w:rsidR="0052033C" w:rsidRPr="002F17B5" w:rsidTr="0052033C">
        <w:trPr>
          <w:jc w:val="center"/>
        </w:trPr>
        <w:tc>
          <w:tcPr>
            <w:tcW w:w="4962" w:type="dxa"/>
            <w:shd w:val="clear" w:color="auto" w:fill="FFFFFF" w:themeFill="background1"/>
          </w:tcPr>
          <w:p w:rsidR="0052033C" w:rsidRPr="002F17B5" w:rsidRDefault="0052033C" w:rsidP="00A92FC8">
            <w:pPr>
              <w:spacing w:before="100" w:beforeAutospacing="1"/>
              <w:rPr>
                <w:sz w:val="23"/>
                <w:szCs w:val="23"/>
              </w:rPr>
            </w:pPr>
            <w:r w:rsidRPr="002F17B5">
              <w:rPr>
                <w:sz w:val="23"/>
                <w:szCs w:val="23"/>
              </w:rPr>
              <w:t>Payable within two to five years</w:t>
            </w:r>
          </w:p>
        </w:tc>
        <w:tc>
          <w:tcPr>
            <w:tcW w:w="1417" w:type="dxa"/>
            <w:shd w:val="clear" w:color="auto" w:fill="FFFFFF" w:themeFill="background1"/>
            <w:vAlign w:val="center"/>
          </w:tcPr>
          <w:p w:rsidR="0052033C" w:rsidRPr="002F17B5" w:rsidRDefault="0052033C" w:rsidP="00A92FC8">
            <w:pPr>
              <w:spacing w:before="100" w:beforeAutospacing="1"/>
              <w:ind w:firstLine="187"/>
              <w:jc w:val="center"/>
              <w:rPr>
                <w:rFonts w:cs="Arial"/>
              </w:rPr>
            </w:pPr>
            <w:r w:rsidRPr="002F17B5">
              <w:rPr>
                <w:rFonts w:cs="Arial"/>
              </w:rPr>
              <w:t>10</w:t>
            </w:r>
            <w:r w:rsidR="000D1F61">
              <w:rPr>
                <w:rFonts w:cs="Arial"/>
              </w:rPr>
              <w:t>8</w:t>
            </w:r>
            <w:r w:rsidRPr="002F17B5">
              <w:rPr>
                <w:rFonts w:cs="Arial"/>
              </w:rPr>
              <w:t>.3</w:t>
            </w:r>
          </w:p>
        </w:tc>
        <w:tc>
          <w:tcPr>
            <w:tcW w:w="1559" w:type="dxa"/>
            <w:shd w:val="clear" w:color="auto" w:fill="FFFFFF" w:themeFill="background1"/>
            <w:vAlign w:val="center"/>
          </w:tcPr>
          <w:p w:rsidR="001D73DF" w:rsidRPr="002F17B5" w:rsidRDefault="0052033C" w:rsidP="00A92FC8">
            <w:pPr>
              <w:spacing w:before="100" w:beforeAutospacing="1"/>
              <w:ind w:firstLine="329"/>
              <w:jc w:val="center"/>
              <w:rPr>
                <w:rFonts w:cs="Arial"/>
              </w:rPr>
            </w:pPr>
            <w:r w:rsidRPr="002F17B5">
              <w:rPr>
                <w:rFonts w:cs="Arial"/>
              </w:rPr>
              <w:t>14.7</w:t>
            </w:r>
          </w:p>
        </w:tc>
        <w:tc>
          <w:tcPr>
            <w:tcW w:w="1134" w:type="dxa"/>
            <w:shd w:val="clear" w:color="auto" w:fill="FFFFFF" w:themeFill="background1"/>
            <w:vAlign w:val="center"/>
          </w:tcPr>
          <w:p w:rsidR="001D73DF" w:rsidRPr="002F17B5" w:rsidRDefault="000D1F61" w:rsidP="00A92FC8">
            <w:pPr>
              <w:spacing w:before="100" w:beforeAutospacing="1"/>
              <w:ind w:right="-120" w:firstLine="188"/>
              <w:jc w:val="center"/>
              <w:rPr>
                <w:rFonts w:cs="Arial"/>
              </w:rPr>
            </w:pPr>
            <w:r>
              <w:rPr>
                <w:rFonts w:cs="Arial"/>
              </w:rPr>
              <w:t>92.8</w:t>
            </w:r>
          </w:p>
        </w:tc>
        <w:tc>
          <w:tcPr>
            <w:tcW w:w="1418" w:type="dxa"/>
            <w:shd w:val="clear" w:color="auto" w:fill="FFFFFF" w:themeFill="background1"/>
            <w:vAlign w:val="center"/>
          </w:tcPr>
          <w:p w:rsidR="001D73DF" w:rsidRPr="002F17B5" w:rsidRDefault="0052033C" w:rsidP="00A92FC8">
            <w:pPr>
              <w:spacing w:before="100" w:beforeAutospacing="1"/>
              <w:ind w:firstLine="188"/>
              <w:jc w:val="center"/>
              <w:rPr>
                <w:rFonts w:cs="Arial"/>
              </w:rPr>
            </w:pPr>
            <w:r w:rsidRPr="002F17B5">
              <w:rPr>
                <w:rFonts w:cs="Arial"/>
              </w:rPr>
              <w:t>215.</w:t>
            </w:r>
            <w:r w:rsidR="000D1F61">
              <w:rPr>
                <w:rFonts w:cs="Arial"/>
              </w:rPr>
              <w:t>8</w:t>
            </w:r>
          </w:p>
        </w:tc>
      </w:tr>
      <w:tr w:rsidR="0052033C" w:rsidRPr="002F17B5" w:rsidTr="0052033C">
        <w:trPr>
          <w:jc w:val="center"/>
        </w:trPr>
        <w:tc>
          <w:tcPr>
            <w:tcW w:w="4962" w:type="dxa"/>
            <w:shd w:val="clear" w:color="auto" w:fill="FFFFFF" w:themeFill="background1"/>
          </w:tcPr>
          <w:p w:rsidR="0052033C" w:rsidRPr="002F17B5" w:rsidRDefault="0052033C" w:rsidP="00A92FC8">
            <w:pPr>
              <w:spacing w:before="100" w:beforeAutospacing="1"/>
              <w:rPr>
                <w:sz w:val="23"/>
                <w:szCs w:val="23"/>
              </w:rPr>
            </w:pPr>
            <w:r w:rsidRPr="002F17B5">
              <w:rPr>
                <w:sz w:val="23"/>
                <w:szCs w:val="23"/>
              </w:rPr>
              <w:t>Payable within six to ten years</w:t>
            </w:r>
          </w:p>
        </w:tc>
        <w:tc>
          <w:tcPr>
            <w:tcW w:w="1417" w:type="dxa"/>
            <w:shd w:val="clear" w:color="auto" w:fill="FFFFFF" w:themeFill="background1"/>
            <w:vAlign w:val="center"/>
          </w:tcPr>
          <w:p w:rsidR="0052033C" w:rsidRPr="002F17B5" w:rsidRDefault="0052033C" w:rsidP="00A92FC8">
            <w:pPr>
              <w:spacing w:before="100" w:beforeAutospacing="1"/>
              <w:ind w:firstLine="187"/>
              <w:jc w:val="center"/>
              <w:rPr>
                <w:rFonts w:cs="Arial"/>
              </w:rPr>
            </w:pPr>
            <w:r w:rsidRPr="002F17B5">
              <w:rPr>
                <w:rFonts w:cs="Arial"/>
              </w:rPr>
              <w:t>15</w:t>
            </w:r>
            <w:r w:rsidR="000D1F61">
              <w:rPr>
                <w:rFonts w:cs="Arial"/>
              </w:rPr>
              <w:t>7.6</w:t>
            </w:r>
          </w:p>
        </w:tc>
        <w:tc>
          <w:tcPr>
            <w:tcW w:w="1559" w:type="dxa"/>
            <w:shd w:val="clear" w:color="auto" w:fill="FFFFFF" w:themeFill="background1"/>
            <w:vAlign w:val="center"/>
          </w:tcPr>
          <w:p w:rsidR="001D73DF" w:rsidRPr="002F17B5" w:rsidRDefault="0052033C" w:rsidP="00A92FC8">
            <w:pPr>
              <w:spacing w:before="100" w:beforeAutospacing="1"/>
              <w:ind w:firstLine="329"/>
              <w:jc w:val="center"/>
              <w:rPr>
                <w:rFonts w:cs="Arial"/>
              </w:rPr>
            </w:pPr>
            <w:r w:rsidRPr="002F17B5">
              <w:rPr>
                <w:rFonts w:cs="Arial"/>
              </w:rPr>
              <w:t>28.4</w:t>
            </w:r>
          </w:p>
        </w:tc>
        <w:tc>
          <w:tcPr>
            <w:tcW w:w="1134" w:type="dxa"/>
            <w:shd w:val="clear" w:color="auto" w:fill="FFFFFF" w:themeFill="background1"/>
            <w:vAlign w:val="center"/>
          </w:tcPr>
          <w:p w:rsidR="001D73DF" w:rsidRPr="002F17B5" w:rsidRDefault="000D1F61" w:rsidP="00A92FC8">
            <w:pPr>
              <w:spacing w:before="100" w:beforeAutospacing="1"/>
              <w:ind w:right="-120" w:firstLine="188"/>
              <w:jc w:val="center"/>
              <w:rPr>
                <w:rFonts w:cs="Arial"/>
              </w:rPr>
            </w:pPr>
            <w:r>
              <w:rPr>
                <w:rFonts w:cs="Arial"/>
              </w:rPr>
              <w:t>106.4</w:t>
            </w:r>
          </w:p>
        </w:tc>
        <w:tc>
          <w:tcPr>
            <w:tcW w:w="1418" w:type="dxa"/>
            <w:shd w:val="clear" w:color="auto" w:fill="FFFFFF" w:themeFill="background1"/>
            <w:vAlign w:val="center"/>
          </w:tcPr>
          <w:p w:rsidR="001D73DF" w:rsidRPr="002F17B5" w:rsidRDefault="0052033C" w:rsidP="00A92FC8">
            <w:pPr>
              <w:spacing w:before="100" w:beforeAutospacing="1"/>
              <w:ind w:firstLine="188"/>
              <w:jc w:val="center"/>
              <w:rPr>
                <w:rFonts w:cs="Arial"/>
              </w:rPr>
            </w:pPr>
            <w:r w:rsidRPr="002F17B5">
              <w:rPr>
                <w:rFonts w:cs="Arial"/>
              </w:rPr>
              <w:t>292.4</w:t>
            </w:r>
          </w:p>
        </w:tc>
      </w:tr>
      <w:tr w:rsidR="0052033C" w:rsidRPr="002F17B5" w:rsidTr="0052033C">
        <w:trPr>
          <w:jc w:val="center"/>
        </w:trPr>
        <w:tc>
          <w:tcPr>
            <w:tcW w:w="4962" w:type="dxa"/>
            <w:shd w:val="clear" w:color="auto" w:fill="FFFFFF" w:themeFill="background1"/>
          </w:tcPr>
          <w:p w:rsidR="0052033C" w:rsidRPr="002F17B5" w:rsidRDefault="0052033C" w:rsidP="00A92FC8">
            <w:pPr>
              <w:spacing w:before="100" w:beforeAutospacing="1"/>
              <w:rPr>
                <w:sz w:val="23"/>
                <w:szCs w:val="23"/>
              </w:rPr>
            </w:pPr>
            <w:r w:rsidRPr="002F17B5">
              <w:rPr>
                <w:sz w:val="23"/>
                <w:szCs w:val="23"/>
              </w:rPr>
              <w:t>Payable within eleven to fifteen years</w:t>
            </w:r>
          </w:p>
        </w:tc>
        <w:tc>
          <w:tcPr>
            <w:tcW w:w="1417" w:type="dxa"/>
            <w:shd w:val="clear" w:color="auto" w:fill="FFFFFF" w:themeFill="background1"/>
            <w:vAlign w:val="center"/>
          </w:tcPr>
          <w:p w:rsidR="0052033C" w:rsidRPr="002F17B5" w:rsidRDefault="0052033C" w:rsidP="00A92FC8">
            <w:pPr>
              <w:spacing w:before="100" w:beforeAutospacing="1"/>
              <w:ind w:firstLine="187"/>
              <w:jc w:val="center"/>
              <w:rPr>
                <w:rFonts w:cs="Arial"/>
              </w:rPr>
            </w:pPr>
            <w:r w:rsidRPr="002F17B5">
              <w:rPr>
                <w:rFonts w:cs="Arial"/>
              </w:rPr>
              <w:t>18</w:t>
            </w:r>
            <w:r w:rsidR="000D1F61">
              <w:rPr>
                <w:rFonts w:cs="Arial"/>
              </w:rPr>
              <w:t>1.1</w:t>
            </w:r>
          </w:p>
        </w:tc>
        <w:tc>
          <w:tcPr>
            <w:tcW w:w="1559" w:type="dxa"/>
            <w:shd w:val="clear" w:color="auto" w:fill="FFFFFF" w:themeFill="background1"/>
            <w:vAlign w:val="center"/>
          </w:tcPr>
          <w:p w:rsidR="001D73DF" w:rsidRPr="002F17B5" w:rsidRDefault="0052033C" w:rsidP="00A92FC8">
            <w:pPr>
              <w:spacing w:before="100" w:beforeAutospacing="1"/>
              <w:ind w:firstLine="329"/>
              <w:jc w:val="center"/>
              <w:rPr>
                <w:rFonts w:cs="Arial"/>
              </w:rPr>
            </w:pPr>
            <w:r w:rsidRPr="002F17B5">
              <w:rPr>
                <w:rFonts w:cs="Arial"/>
              </w:rPr>
              <w:t>48.2</w:t>
            </w:r>
          </w:p>
        </w:tc>
        <w:tc>
          <w:tcPr>
            <w:tcW w:w="1134" w:type="dxa"/>
            <w:shd w:val="clear" w:color="auto" w:fill="FFFFFF" w:themeFill="background1"/>
            <w:vAlign w:val="center"/>
          </w:tcPr>
          <w:p w:rsidR="001D73DF" w:rsidRPr="002F17B5" w:rsidRDefault="0052033C" w:rsidP="00A92FC8">
            <w:pPr>
              <w:spacing w:before="100" w:beforeAutospacing="1"/>
              <w:ind w:right="-120" w:firstLine="188"/>
              <w:jc w:val="center"/>
              <w:rPr>
                <w:rFonts w:cs="Arial"/>
              </w:rPr>
            </w:pPr>
            <w:r w:rsidRPr="002F17B5">
              <w:rPr>
                <w:rFonts w:cs="Arial"/>
              </w:rPr>
              <w:t>9</w:t>
            </w:r>
            <w:r w:rsidR="000D1F61">
              <w:rPr>
                <w:rFonts w:cs="Arial"/>
              </w:rPr>
              <w:t>2.3</w:t>
            </w:r>
          </w:p>
        </w:tc>
        <w:tc>
          <w:tcPr>
            <w:tcW w:w="1418" w:type="dxa"/>
            <w:shd w:val="clear" w:color="auto" w:fill="FFFFFF" w:themeFill="background1"/>
            <w:vAlign w:val="center"/>
          </w:tcPr>
          <w:p w:rsidR="001D73DF" w:rsidRPr="002F17B5" w:rsidRDefault="0052033C" w:rsidP="00A92FC8">
            <w:pPr>
              <w:spacing w:before="100" w:beforeAutospacing="1"/>
              <w:ind w:firstLine="188"/>
              <w:jc w:val="center"/>
              <w:rPr>
                <w:rFonts w:cs="Arial"/>
              </w:rPr>
            </w:pPr>
            <w:r w:rsidRPr="002F17B5">
              <w:rPr>
                <w:rFonts w:cs="Arial"/>
              </w:rPr>
              <w:t>321.6</w:t>
            </w:r>
          </w:p>
        </w:tc>
      </w:tr>
      <w:tr w:rsidR="0052033C" w:rsidRPr="002F17B5" w:rsidTr="0052033C">
        <w:trPr>
          <w:jc w:val="center"/>
        </w:trPr>
        <w:tc>
          <w:tcPr>
            <w:tcW w:w="4962" w:type="dxa"/>
            <w:shd w:val="clear" w:color="auto" w:fill="FFFFFF" w:themeFill="background1"/>
          </w:tcPr>
          <w:p w:rsidR="0052033C" w:rsidRPr="002F17B5" w:rsidRDefault="0052033C" w:rsidP="00A92FC8">
            <w:pPr>
              <w:spacing w:before="100" w:beforeAutospacing="1"/>
              <w:rPr>
                <w:sz w:val="23"/>
                <w:szCs w:val="23"/>
              </w:rPr>
            </w:pPr>
            <w:r w:rsidRPr="002F17B5">
              <w:rPr>
                <w:sz w:val="23"/>
                <w:szCs w:val="23"/>
              </w:rPr>
              <w:t>Payable within sixteen to twenty years</w:t>
            </w:r>
          </w:p>
        </w:tc>
        <w:tc>
          <w:tcPr>
            <w:tcW w:w="1417" w:type="dxa"/>
            <w:shd w:val="clear" w:color="auto" w:fill="FFFFFF" w:themeFill="background1"/>
            <w:vAlign w:val="center"/>
          </w:tcPr>
          <w:p w:rsidR="0052033C" w:rsidRPr="002F17B5" w:rsidRDefault="0052033C" w:rsidP="00A92FC8">
            <w:pPr>
              <w:spacing w:before="100" w:beforeAutospacing="1"/>
              <w:ind w:firstLine="187"/>
              <w:jc w:val="center"/>
              <w:rPr>
                <w:rFonts w:cs="Arial"/>
              </w:rPr>
            </w:pPr>
            <w:r w:rsidRPr="002F17B5">
              <w:rPr>
                <w:rFonts w:cs="Arial"/>
              </w:rPr>
              <w:t>2</w:t>
            </w:r>
            <w:r w:rsidR="000D1F61">
              <w:rPr>
                <w:rFonts w:cs="Arial"/>
              </w:rPr>
              <w:t>05.8</w:t>
            </w:r>
          </w:p>
        </w:tc>
        <w:tc>
          <w:tcPr>
            <w:tcW w:w="1559" w:type="dxa"/>
            <w:shd w:val="clear" w:color="auto" w:fill="FFFFFF" w:themeFill="background1"/>
            <w:vAlign w:val="center"/>
          </w:tcPr>
          <w:p w:rsidR="001D73DF" w:rsidRPr="002F17B5" w:rsidRDefault="0052033C" w:rsidP="00A92FC8">
            <w:pPr>
              <w:spacing w:before="100" w:beforeAutospacing="1"/>
              <w:ind w:firstLine="329"/>
              <w:jc w:val="center"/>
              <w:rPr>
                <w:rFonts w:cs="Arial"/>
              </w:rPr>
            </w:pPr>
            <w:r w:rsidRPr="002F17B5">
              <w:rPr>
                <w:rFonts w:cs="Arial"/>
              </w:rPr>
              <w:t>84.2</w:t>
            </w:r>
          </w:p>
        </w:tc>
        <w:tc>
          <w:tcPr>
            <w:tcW w:w="1134" w:type="dxa"/>
            <w:shd w:val="clear" w:color="auto" w:fill="FFFFFF" w:themeFill="background1"/>
            <w:vAlign w:val="center"/>
          </w:tcPr>
          <w:p w:rsidR="001D73DF" w:rsidRPr="002F17B5" w:rsidRDefault="000D1F61" w:rsidP="00A92FC8">
            <w:pPr>
              <w:spacing w:before="100" w:beforeAutospacing="1"/>
              <w:ind w:right="-120" w:firstLine="188"/>
              <w:jc w:val="center"/>
              <w:rPr>
                <w:rFonts w:cs="Arial"/>
              </w:rPr>
            </w:pPr>
            <w:r>
              <w:rPr>
                <w:rFonts w:cs="Arial"/>
              </w:rPr>
              <w:t>65.2</w:t>
            </w:r>
          </w:p>
        </w:tc>
        <w:tc>
          <w:tcPr>
            <w:tcW w:w="1418" w:type="dxa"/>
            <w:shd w:val="clear" w:color="auto" w:fill="FFFFFF" w:themeFill="background1"/>
            <w:vAlign w:val="center"/>
          </w:tcPr>
          <w:p w:rsidR="001D73DF" w:rsidRPr="002F17B5" w:rsidRDefault="0052033C" w:rsidP="00A92FC8">
            <w:pPr>
              <w:spacing w:before="100" w:beforeAutospacing="1"/>
              <w:ind w:firstLine="188"/>
              <w:jc w:val="center"/>
              <w:rPr>
                <w:rFonts w:cs="Arial"/>
              </w:rPr>
            </w:pPr>
            <w:r w:rsidRPr="002F17B5">
              <w:rPr>
                <w:rFonts w:cs="Arial"/>
              </w:rPr>
              <w:t>355.2</w:t>
            </w:r>
          </w:p>
        </w:tc>
      </w:tr>
      <w:tr w:rsidR="0052033C" w:rsidRPr="002F17B5" w:rsidTr="0052033C">
        <w:trPr>
          <w:jc w:val="center"/>
        </w:trPr>
        <w:tc>
          <w:tcPr>
            <w:tcW w:w="4962" w:type="dxa"/>
            <w:shd w:val="clear" w:color="auto" w:fill="FFFFFF" w:themeFill="background1"/>
          </w:tcPr>
          <w:p w:rsidR="0052033C" w:rsidRPr="002F17B5" w:rsidRDefault="0052033C" w:rsidP="00A92FC8">
            <w:pPr>
              <w:spacing w:before="100" w:beforeAutospacing="1"/>
              <w:rPr>
                <w:sz w:val="23"/>
                <w:szCs w:val="23"/>
              </w:rPr>
            </w:pPr>
            <w:r w:rsidRPr="002F17B5">
              <w:rPr>
                <w:sz w:val="23"/>
                <w:szCs w:val="23"/>
              </w:rPr>
              <w:t>Payable within twenty-one to twenty-five years</w:t>
            </w:r>
          </w:p>
        </w:tc>
        <w:tc>
          <w:tcPr>
            <w:tcW w:w="1417" w:type="dxa"/>
            <w:shd w:val="clear" w:color="auto" w:fill="FFFFFF" w:themeFill="background1"/>
            <w:vAlign w:val="center"/>
          </w:tcPr>
          <w:p w:rsidR="0052033C" w:rsidRPr="002F17B5" w:rsidRDefault="0052033C" w:rsidP="00A92FC8">
            <w:pPr>
              <w:spacing w:before="100" w:beforeAutospacing="1"/>
              <w:ind w:firstLine="187"/>
              <w:jc w:val="center"/>
              <w:rPr>
                <w:rFonts w:cs="Arial"/>
              </w:rPr>
            </w:pPr>
            <w:r w:rsidRPr="002F17B5">
              <w:rPr>
                <w:rFonts w:cs="Arial"/>
              </w:rPr>
              <w:t>9</w:t>
            </w:r>
            <w:r w:rsidR="000D1F61">
              <w:rPr>
                <w:rFonts w:cs="Arial"/>
              </w:rPr>
              <w:t>6.0</w:t>
            </w:r>
          </w:p>
        </w:tc>
        <w:tc>
          <w:tcPr>
            <w:tcW w:w="1559" w:type="dxa"/>
            <w:shd w:val="clear" w:color="auto" w:fill="FFFFFF" w:themeFill="background1"/>
            <w:vAlign w:val="center"/>
          </w:tcPr>
          <w:p w:rsidR="001D73DF" w:rsidRPr="002F17B5" w:rsidRDefault="0052033C" w:rsidP="00A92FC8">
            <w:pPr>
              <w:spacing w:before="100" w:beforeAutospacing="1"/>
              <w:ind w:firstLine="329"/>
              <w:jc w:val="center"/>
              <w:rPr>
                <w:rFonts w:cs="Arial"/>
              </w:rPr>
            </w:pPr>
            <w:r w:rsidRPr="002F17B5">
              <w:rPr>
                <w:rFonts w:cs="Arial"/>
              </w:rPr>
              <w:t>47.1</w:t>
            </w:r>
          </w:p>
        </w:tc>
        <w:tc>
          <w:tcPr>
            <w:tcW w:w="1134" w:type="dxa"/>
            <w:shd w:val="clear" w:color="auto" w:fill="FFFFFF" w:themeFill="background1"/>
            <w:vAlign w:val="center"/>
          </w:tcPr>
          <w:p w:rsidR="001D73DF" w:rsidRPr="002F17B5" w:rsidRDefault="000D1F61" w:rsidP="00A92FC8">
            <w:pPr>
              <w:spacing w:before="100" w:beforeAutospacing="1"/>
              <w:ind w:right="-120" w:firstLine="188"/>
              <w:jc w:val="center"/>
              <w:rPr>
                <w:rFonts w:cs="Arial"/>
              </w:rPr>
            </w:pPr>
            <w:r>
              <w:rPr>
                <w:rFonts w:cs="Arial"/>
              </w:rPr>
              <w:t>10.2</w:t>
            </w:r>
          </w:p>
        </w:tc>
        <w:tc>
          <w:tcPr>
            <w:tcW w:w="1418" w:type="dxa"/>
            <w:shd w:val="clear" w:color="auto" w:fill="FFFFFF" w:themeFill="background1"/>
            <w:vAlign w:val="center"/>
          </w:tcPr>
          <w:p w:rsidR="001D73DF" w:rsidRPr="002F17B5" w:rsidRDefault="0052033C" w:rsidP="00A92FC8">
            <w:pPr>
              <w:spacing w:before="100" w:beforeAutospacing="1"/>
              <w:ind w:firstLine="188"/>
              <w:jc w:val="center"/>
              <w:rPr>
                <w:rFonts w:cs="Arial"/>
              </w:rPr>
            </w:pPr>
            <w:r w:rsidRPr="002F17B5">
              <w:rPr>
                <w:rFonts w:cs="Arial"/>
              </w:rPr>
              <w:t>153.3</w:t>
            </w:r>
          </w:p>
        </w:tc>
      </w:tr>
      <w:tr w:rsidR="00FD4939" w:rsidRPr="002F17B5" w:rsidTr="00006736">
        <w:trPr>
          <w:jc w:val="center"/>
        </w:trPr>
        <w:tc>
          <w:tcPr>
            <w:tcW w:w="4962" w:type="dxa"/>
            <w:shd w:val="clear" w:color="auto" w:fill="FFFFFF" w:themeFill="background1"/>
          </w:tcPr>
          <w:p w:rsidR="00B96BF7" w:rsidRPr="002F17B5" w:rsidRDefault="00286D86" w:rsidP="00A92FC8">
            <w:pPr>
              <w:spacing w:before="100" w:beforeAutospacing="1"/>
              <w:rPr>
                <w:sz w:val="23"/>
                <w:szCs w:val="23"/>
              </w:rPr>
            </w:pPr>
            <w:r w:rsidRPr="002F17B5">
              <w:rPr>
                <w:b/>
                <w:bCs/>
                <w:sz w:val="23"/>
                <w:szCs w:val="23"/>
              </w:rPr>
              <w:t>Total</w:t>
            </w:r>
          </w:p>
        </w:tc>
        <w:tc>
          <w:tcPr>
            <w:tcW w:w="1417" w:type="dxa"/>
            <w:shd w:val="clear" w:color="auto" w:fill="FFFFFF" w:themeFill="background1"/>
            <w:vAlign w:val="bottom"/>
          </w:tcPr>
          <w:p w:rsidR="00B96BF7" w:rsidRPr="002F17B5" w:rsidRDefault="0052033C" w:rsidP="00A92FC8">
            <w:pPr>
              <w:spacing w:before="100" w:beforeAutospacing="1"/>
              <w:ind w:right="305"/>
              <w:jc w:val="right"/>
              <w:rPr>
                <w:b/>
              </w:rPr>
            </w:pPr>
            <w:r w:rsidRPr="002F17B5">
              <w:rPr>
                <w:b/>
              </w:rPr>
              <w:t>77</w:t>
            </w:r>
            <w:r w:rsidR="000D1F61">
              <w:rPr>
                <w:b/>
              </w:rPr>
              <w:t>3.4</w:t>
            </w:r>
          </w:p>
        </w:tc>
        <w:tc>
          <w:tcPr>
            <w:tcW w:w="1559" w:type="dxa"/>
            <w:shd w:val="clear" w:color="auto" w:fill="FFFFFF" w:themeFill="background1"/>
            <w:vAlign w:val="bottom"/>
          </w:tcPr>
          <w:p w:rsidR="001D73DF" w:rsidRPr="002F17B5" w:rsidRDefault="0052033C" w:rsidP="00A92FC8">
            <w:pPr>
              <w:spacing w:before="100" w:beforeAutospacing="1"/>
              <w:ind w:right="305"/>
              <w:jc w:val="right"/>
              <w:rPr>
                <w:b/>
              </w:rPr>
            </w:pPr>
            <w:r w:rsidRPr="002F17B5">
              <w:rPr>
                <w:b/>
              </w:rPr>
              <w:t>225.8</w:t>
            </w:r>
          </w:p>
        </w:tc>
        <w:tc>
          <w:tcPr>
            <w:tcW w:w="1134" w:type="dxa"/>
            <w:shd w:val="clear" w:color="auto" w:fill="FFFFFF" w:themeFill="background1"/>
            <w:vAlign w:val="bottom"/>
          </w:tcPr>
          <w:p w:rsidR="001D73DF" w:rsidRPr="002F17B5" w:rsidRDefault="0052033C" w:rsidP="00A92FC8">
            <w:pPr>
              <w:spacing w:before="100" w:beforeAutospacing="1"/>
              <w:ind w:right="98"/>
              <w:jc w:val="right"/>
              <w:rPr>
                <w:b/>
              </w:rPr>
            </w:pPr>
            <w:r w:rsidRPr="002F17B5">
              <w:rPr>
                <w:b/>
              </w:rPr>
              <w:t>3</w:t>
            </w:r>
            <w:r w:rsidR="000D1F61">
              <w:rPr>
                <w:b/>
              </w:rPr>
              <w:t>90.7</w:t>
            </w:r>
          </w:p>
        </w:tc>
        <w:tc>
          <w:tcPr>
            <w:tcW w:w="1418" w:type="dxa"/>
            <w:shd w:val="clear" w:color="auto" w:fill="FFFFFF" w:themeFill="background1"/>
            <w:vAlign w:val="bottom"/>
          </w:tcPr>
          <w:p w:rsidR="001D73DF" w:rsidRPr="002F17B5" w:rsidRDefault="0052033C" w:rsidP="00A92FC8">
            <w:pPr>
              <w:spacing w:before="100" w:beforeAutospacing="1"/>
              <w:ind w:right="164"/>
              <w:jc w:val="right"/>
              <w:rPr>
                <w:b/>
              </w:rPr>
            </w:pPr>
            <w:r w:rsidRPr="002F17B5">
              <w:rPr>
                <w:b/>
              </w:rPr>
              <w:t>1389.9</w:t>
            </w:r>
          </w:p>
        </w:tc>
      </w:tr>
    </w:tbl>
    <w:p w:rsidR="00EC68C6" w:rsidRPr="002F17B5" w:rsidRDefault="00EC68C6" w:rsidP="00783C76">
      <w:pPr>
        <w:rPr>
          <w:iCs/>
        </w:rPr>
      </w:pPr>
    </w:p>
    <w:p w:rsidR="0052033C" w:rsidRPr="002F17B5" w:rsidRDefault="0052033C" w:rsidP="00783C76">
      <w:pPr>
        <w:rPr>
          <w:iCs/>
        </w:rPr>
      </w:pPr>
    </w:p>
    <w:p w:rsidR="007E1CED" w:rsidRPr="002F17B5" w:rsidRDefault="00B96BF7" w:rsidP="00783C76">
      <w:pPr>
        <w:rPr>
          <w:iCs/>
        </w:rPr>
      </w:pPr>
      <w:r w:rsidRPr="002F17B5">
        <w:rPr>
          <w:iCs/>
        </w:rPr>
        <w:t xml:space="preserve">The significant risks that the council is exposed to during this PFI contract are in relation to waste </w:t>
      </w:r>
      <w:proofErr w:type="spellStart"/>
      <w:r w:rsidRPr="002F17B5">
        <w:rPr>
          <w:iCs/>
        </w:rPr>
        <w:t>arisings</w:t>
      </w:r>
      <w:proofErr w:type="spellEnd"/>
      <w:r w:rsidRPr="002F17B5">
        <w:rPr>
          <w:iCs/>
        </w:rPr>
        <w:t xml:space="preserve"> and composition, diversion rates and inflation. </w:t>
      </w:r>
    </w:p>
    <w:p w:rsidR="0052033C" w:rsidRPr="002F17B5" w:rsidRDefault="0052033C" w:rsidP="00783C76">
      <w:pPr>
        <w:rPr>
          <w:iCs/>
          <w:sz w:val="16"/>
        </w:rPr>
      </w:pPr>
    </w:p>
    <w:p w:rsidR="007E1CED" w:rsidRPr="002F17B5" w:rsidRDefault="007E1CED" w:rsidP="007E1CED">
      <w:r w:rsidRPr="002F17B5">
        <w:t>The liability outstanding to pay to the contractor for capital expenditure incurred is as follows:</w:t>
      </w:r>
    </w:p>
    <w:p w:rsidR="0052033C" w:rsidRPr="002F17B5" w:rsidRDefault="0052033C" w:rsidP="007E1CED"/>
    <w:tbl>
      <w:tblPr>
        <w:tblW w:w="0" w:type="auto"/>
        <w:tblInd w:w="108" w:type="dxa"/>
        <w:shd w:val="clear" w:color="auto" w:fill="FFFFFF" w:themeFill="background1"/>
        <w:tblLook w:val="04A0" w:firstRow="1" w:lastRow="0" w:firstColumn="1" w:lastColumn="0" w:noHBand="0" w:noVBand="1"/>
      </w:tblPr>
      <w:tblGrid>
        <w:gridCol w:w="4678"/>
        <w:gridCol w:w="1418"/>
        <w:gridCol w:w="1559"/>
      </w:tblGrid>
      <w:tr w:rsidR="007E1CED" w:rsidRPr="002F17B5" w:rsidTr="000739A6">
        <w:tc>
          <w:tcPr>
            <w:tcW w:w="4678" w:type="dxa"/>
            <w:shd w:val="clear" w:color="auto" w:fill="FFFFFF" w:themeFill="background1"/>
          </w:tcPr>
          <w:p w:rsidR="007E1CED" w:rsidRPr="002F17B5" w:rsidRDefault="007E1CED" w:rsidP="00F25C34"/>
        </w:tc>
        <w:tc>
          <w:tcPr>
            <w:tcW w:w="1418" w:type="dxa"/>
            <w:shd w:val="clear" w:color="auto" w:fill="FFFFFF" w:themeFill="background1"/>
          </w:tcPr>
          <w:p w:rsidR="007E1CED" w:rsidRPr="002F17B5" w:rsidRDefault="00CD4CF3" w:rsidP="00F25C34">
            <w:pPr>
              <w:jc w:val="right"/>
              <w:rPr>
                <w:b/>
              </w:rPr>
            </w:pPr>
            <w:r w:rsidRPr="002F17B5">
              <w:rPr>
                <w:b/>
              </w:rPr>
              <w:t>2013/14</w:t>
            </w:r>
          </w:p>
        </w:tc>
        <w:tc>
          <w:tcPr>
            <w:tcW w:w="1559" w:type="dxa"/>
            <w:shd w:val="clear" w:color="auto" w:fill="FFFFFF" w:themeFill="background1"/>
          </w:tcPr>
          <w:p w:rsidR="007E1CED" w:rsidRPr="002F17B5" w:rsidRDefault="00CD4CF3" w:rsidP="00F25C34">
            <w:pPr>
              <w:jc w:val="right"/>
              <w:rPr>
                <w:b/>
              </w:rPr>
            </w:pPr>
            <w:r w:rsidRPr="002F17B5">
              <w:rPr>
                <w:b/>
              </w:rPr>
              <w:t>2012/13</w:t>
            </w:r>
          </w:p>
        </w:tc>
      </w:tr>
      <w:tr w:rsidR="007E1CED" w:rsidRPr="002F17B5" w:rsidTr="000739A6">
        <w:trPr>
          <w:trHeight w:val="284"/>
        </w:trPr>
        <w:tc>
          <w:tcPr>
            <w:tcW w:w="4678" w:type="dxa"/>
            <w:shd w:val="clear" w:color="auto" w:fill="FFFFFF" w:themeFill="background1"/>
          </w:tcPr>
          <w:p w:rsidR="007E1CED" w:rsidRPr="002F17B5" w:rsidRDefault="007E1CED" w:rsidP="00F25C34"/>
        </w:tc>
        <w:tc>
          <w:tcPr>
            <w:tcW w:w="1418" w:type="dxa"/>
            <w:shd w:val="clear" w:color="auto" w:fill="FFFFFF" w:themeFill="background1"/>
          </w:tcPr>
          <w:p w:rsidR="007E1CED" w:rsidRPr="002F17B5" w:rsidRDefault="007E1CED" w:rsidP="00F25C34">
            <w:pPr>
              <w:jc w:val="right"/>
              <w:rPr>
                <w:b/>
              </w:rPr>
            </w:pPr>
            <w:r w:rsidRPr="002F17B5">
              <w:rPr>
                <w:b/>
              </w:rPr>
              <w:t>£m</w:t>
            </w:r>
          </w:p>
        </w:tc>
        <w:tc>
          <w:tcPr>
            <w:tcW w:w="1559" w:type="dxa"/>
            <w:shd w:val="clear" w:color="auto" w:fill="FFFFFF" w:themeFill="background1"/>
          </w:tcPr>
          <w:p w:rsidR="007E1CED" w:rsidRPr="002F17B5" w:rsidRDefault="007E1CED" w:rsidP="00F25C34">
            <w:pPr>
              <w:jc w:val="right"/>
              <w:rPr>
                <w:b/>
              </w:rPr>
            </w:pPr>
            <w:r w:rsidRPr="002F17B5">
              <w:rPr>
                <w:b/>
              </w:rPr>
              <w:t>£m</w:t>
            </w:r>
          </w:p>
        </w:tc>
      </w:tr>
      <w:tr w:rsidR="005C0198" w:rsidRPr="002F17B5" w:rsidTr="000739A6">
        <w:tc>
          <w:tcPr>
            <w:tcW w:w="4678" w:type="dxa"/>
            <w:shd w:val="clear" w:color="auto" w:fill="FFFFFF" w:themeFill="background1"/>
          </w:tcPr>
          <w:p w:rsidR="005C0198" w:rsidRPr="002F17B5" w:rsidRDefault="005C0198" w:rsidP="00F25C34">
            <w:r w:rsidRPr="002F17B5">
              <w:t>Balance outstanding at start of year</w:t>
            </w:r>
          </w:p>
        </w:tc>
        <w:tc>
          <w:tcPr>
            <w:tcW w:w="1418" w:type="dxa"/>
            <w:shd w:val="clear" w:color="auto" w:fill="FFFFFF" w:themeFill="background1"/>
          </w:tcPr>
          <w:p w:rsidR="005C0198" w:rsidRPr="002F17B5" w:rsidRDefault="0052033C">
            <w:pPr>
              <w:jc w:val="right"/>
            </w:pPr>
            <w:r w:rsidRPr="002F17B5">
              <w:t>(228.9)</w:t>
            </w:r>
          </w:p>
        </w:tc>
        <w:tc>
          <w:tcPr>
            <w:tcW w:w="1559" w:type="dxa"/>
            <w:shd w:val="clear" w:color="auto" w:fill="FFFFFF" w:themeFill="background1"/>
          </w:tcPr>
          <w:p w:rsidR="005C0198" w:rsidRPr="002F17B5" w:rsidRDefault="005C0198" w:rsidP="005C0198">
            <w:pPr>
              <w:jc w:val="right"/>
            </w:pPr>
            <w:r w:rsidRPr="002F17B5">
              <w:t>(232.3)</w:t>
            </w:r>
          </w:p>
        </w:tc>
      </w:tr>
      <w:tr w:rsidR="005C0198" w:rsidRPr="002F17B5" w:rsidTr="000739A6">
        <w:tc>
          <w:tcPr>
            <w:tcW w:w="4678" w:type="dxa"/>
            <w:shd w:val="clear" w:color="auto" w:fill="FFFFFF" w:themeFill="background1"/>
          </w:tcPr>
          <w:p w:rsidR="005C0198" w:rsidRPr="002F17B5" w:rsidRDefault="005C0198" w:rsidP="00F25C34">
            <w:r w:rsidRPr="002F17B5">
              <w:t>Payments during the year</w:t>
            </w:r>
          </w:p>
        </w:tc>
        <w:tc>
          <w:tcPr>
            <w:tcW w:w="1418" w:type="dxa"/>
            <w:shd w:val="clear" w:color="auto" w:fill="FFFFFF" w:themeFill="background1"/>
          </w:tcPr>
          <w:p w:rsidR="005C0198" w:rsidRPr="002F17B5" w:rsidRDefault="0052033C">
            <w:pPr>
              <w:jc w:val="right"/>
            </w:pPr>
            <w:r w:rsidRPr="002F17B5">
              <w:t>3.1</w:t>
            </w:r>
          </w:p>
        </w:tc>
        <w:tc>
          <w:tcPr>
            <w:tcW w:w="1559" w:type="dxa"/>
            <w:shd w:val="clear" w:color="auto" w:fill="FFFFFF" w:themeFill="background1"/>
          </w:tcPr>
          <w:p w:rsidR="005C0198" w:rsidRPr="002F17B5" w:rsidRDefault="005C0198" w:rsidP="005C0198">
            <w:pPr>
              <w:jc w:val="right"/>
            </w:pPr>
            <w:r w:rsidRPr="002F17B5">
              <w:t>3.4</w:t>
            </w:r>
          </w:p>
        </w:tc>
      </w:tr>
      <w:tr w:rsidR="005C0198" w:rsidRPr="002F17B5" w:rsidTr="000739A6">
        <w:tc>
          <w:tcPr>
            <w:tcW w:w="4678" w:type="dxa"/>
            <w:shd w:val="clear" w:color="auto" w:fill="FFFFFF" w:themeFill="background1"/>
          </w:tcPr>
          <w:p w:rsidR="005C0198" w:rsidRPr="002F17B5" w:rsidRDefault="005C0198" w:rsidP="00F25C34">
            <w:pPr>
              <w:rPr>
                <w:b/>
              </w:rPr>
            </w:pPr>
            <w:r w:rsidRPr="002F17B5">
              <w:rPr>
                <w:b/>
              </w:rPr>
              <w:t>Balance outstanding at year end</w:t>
            </w:r>
          </w:p>
        </w:tc>
        <w:tc>
          <w:tcPr>
            <w:tcW w:w="1418" w:type="dxa"/>
            <w:shd w:val="clear" w:color="auto" w:fill="FFFFFF" w:themeFill="background1"/>
          </w:tcPr>
          <w:p w:rsidR="005C0198" w:rsidRPr="002F17B5" w:rsidRDefault="0052033C">
            <w:pPr>
              <w:jc w:val="right"/>
              <w:rPr>
                <w:b/>
              </w:rPr>
            </w:pPr>
            <w:r w:rsidRPr="002F17B5">
              <w:rPr>
                <w:b/>
              </w:rPr>
              <w:t>(225.8)</w:t>
            </w:r>
          </w:p>
        </w:tc>
        <w:tc>
          <w:tcPr>
            <w:tcW w:w="1559" w:type="dxa"/>
            <w:shd w:val="clear" w:color="auto" w:fill="FFFFFF" w:themeFill="background1"/>
          </w:tcPr>
          <w:p w:rsidR="005C0198" w:rsidRPr="002F17B5" w:rsidRDefault="005C0198" w:rsidP="005C0198">
            <w:pPr>
              <w:jc w:val="right"/>
              <w:rPr>
                <w:b/>
              </w:rPr>
            </w:pPr>
            <w:r w:rsidRPr="002F17B5">
              <w:rPr>
                <w:b/>
              </w:rPr>
              <w:t>(228.9)</w:t>
            </w:r>
          </w:p>
        </w:tc>
      </w:tr>
    </w:tbl>
    <w:p w:rsidR="007E1CED" w:rsidRPr="002F17B5" w:rsidRDefault="007E1CED" w:rsidP="00783C76">
      <w:pPr>
        <w:rPr>
          <w:iCs/>
          <w:sz w:val="16"/>
        </w:rPr>
      </w:pPr>
    </w:p>
    <w:p w:rsidR="0052033C" w:rsidRPr="002F17B5" w:rsidRDefault="0052033C" w:rsidP="0052033C">
      <w:pPr>
        <w:autoSpaceDE/>
        <w:autoSpaceDN/>
        <w:adjustRightInd/>
        <w:spacing w:before="0" w:after="0"/>
        <w:rPr>
          <w:iCs/>
        </w:rPr>
      </w:pPr>
      <w:r w:rsidRPr="002F17B5">
        <w:rPr>
          <w:iCs/>
        </w:rPr>
        <w:t>The above tables assume the following inflation rates:  RPI 2.5%, AEI 3.75% and Baxter (fuel) 3%.</w:t>
      </w:r>
    </w:p>
    <w:p w:rsidR="0052033C" w:rsidRPr="002F17B5" w:rsidRDefault="0052033C" w:rsidP="00783C76">
      <w:pPr>
        <w:rPr>
          <w:iCs/>
        </w:rPr>
      </w:pPr>
    </w:p>
    <w:p w:rsidR="0052033C" w:rsidRPr="002F17B5" w:rsidRDefault="0052033C" w:rsidP="0052033C">
      <w:pPr>
        <w:autoSpaceDE/>
        <w:autoSpaceDN/>
        <w:adjustRightInd/>
        <w:spacing w:before="0" w:after="0"/>
        <w:rPr>
          <w:iCs/>
        </w:rPr>
      </w:pPr>
      <w:r w:rsidRPr="002F17B5">
        <w:rPr>
          <w:iCs/>
        </w:rPr>
        <w:t>At the end of the concession period the council may retender for the provision of the Services or request the contractor to transfer all of its right, title and interest in and to the assets to the council.</w:t>
      </w:r>
    </w:p>
    <w:p w:rsidR="0052033C" w:rsidRPr="00AD5D5C" w:rsidRDefault="0052033C" w:rsidP="0052033C">
      <w:pPr>
        <w:autoSpaceDE/>
        <w:autoSpaceDN/>
        <w:adjustRightInd/>
        <w:spacing w:before="0" w:after="0"/>
        <w:rPr>
          <w:iCs/>
          <w:sz w:val="28"/>
        </w:rPr>
      </w:pPr>
    </w:p>
    <w:p w:rsidR="0052033C" w:rsidRPr="002F17B5" w:rsidRDefault="0052033C" w:rsidP="0052033C">
      <w:pPr>
        <w:autoSpaceDE/>
        <w:autoSpaceDN/>
        <w:adjustRightInd/>
        <w:spacing w:before="0" w:after="0"/>
        <w:rPr>
          <w:iCs/>
        </w:rPr>
      </w:pPr>
      <w:r w:rsidRPr="002F17B5">
        <w:rPr>
          <w:iCs/>
        </w:rPr>
        <w:t>There is provision within the project agreement for the termination of the contract under certain conditions by either the council or the contractor. This may be in the form of voluntary termination by the council, termination by the contractor on council default or termination by the council on contractor default. Compensation payments are payable upon termination and the calculation of these is determined in the contract.</w:t>
      </w:r>
    </w:p>
    <w:p w:rsidR="0052033C" w:rsidRPr="002F17B5" w:rsidRDefault="0052033C" w:rsidP="0052033C">
      <w:pPr>
        <w:autoSpaceDE/>
        <w:autoSpaceDN/>
        <w:adjustRightInd/>
        <w:spacing w:before="0" w:after="0"/>
        <w:rPr>
          <w:iCs/>
        </w:rPr>
      </w:pPr>
    </w:p>
    <w:p w:rsidR="00783C76" w:rsidRPr="002F17B5" w:rsidRDefault="00D41223" w:rsidP="005855CE">
      <w:pPr>
        <w:pStyle w:val="Heading3-numbered"/>
        <w:rPr>
          <w:i w:val="0"/>
        </w:rPr>
      </w:pPr>
      <w:r w:rsidRPr="002F17B5">
        <w:lastRenderedPageBreak/>
        <w:t xml:space="preserve">  </w:t>
      </w:r>
      <w:r w:rsidR="00286D86" w:rsidRPr="002F17B5">
        <w:rPr>
          <w:i w:val="0"/>
          <w:sz w:val="26"/>
        </w:rPr>
        <w:t xml:space="preserve">Capital Expenditure and Capital Financing </w:t>
      </w:r>
    </w:p>
    <w:p w:rsidR="00783C76" w:rsidRPr="002F17B5" w:rsidRDefault="00783C76" w:rsidP="00783C76">
      <w:pPr>
        <w:tabs>
          <w:tab w:val="num" w:pos="0"/>
        </w:tabs>
        <w:spacing w:after="240"/>
      </w:pPr>
      <w:r w:rsidRPr="002F17B5">
        <w:t>The total amount of capital expenditure incurred in the year is shown in the table below (including the value of assets acquired under finance leases and Private Finance Initiative contracts), together with the resources that have been used to finance it. Where capital expenditure is to be financed in future years by charges to revenue as assets are used by the council, the expenditure results in an increase in the Capital Financing Requirement (CFR), a measure of the capital expenditure incurred historically by the council that has yet to be financed. The CFR is analysed in the second part of this note.</w:t>
      </w:r>
    </w:p>
    <w:tbl>
      <w:tblPr>
        <w:tblW w:w="0" w:type="auto"/>
        <w:tblInd w:w="250" w:type="dxa"/>
        <w:tblLook w:val="04A0" w:firstRow="1" w:lastRow="0" w:firstColumn="1" w:lastColumn="0" w:noHBand="0" w:noVBand="1"/>
      </w:tblPr>
      <w:tblGrid>
        <w:gridCol w:w="6129"/>
        <w:gridCol w:w="1418"/>
        <w:gridCol w:w="1809"/>
      </w:tblGrid>
      <w:tr w:rsidR="00783C76" w:rsidRPr="002F17B5" w:rsidTr="000E561F">
        <w:trPr>
          <w:trHeight w:hRule="exact" w:val="397"/>
        </w:trPr>
        <w:tc>
          <w:tcPr>
            <w:tcW w:w="6129" w:type="dxa"/>
            <w:shd w:val="clear" w:color="auto" w:fill="FFFFFF" w:themeFill="background1"/>
          </w:tcPr>
          <w:p w:rsidR="00783C76" w:rsidRPr="002F17B5" w:rsidRDefault="00783C76" w:rsidP="00783C76">
            <w:pPr>
              <w:tabs>
                <w:tab w:val="num" w:pos="0"/>
              </w:tabs>
              <w:spacing w:after="240"/>
            </w:pPr>
          </w:p>
        </w:tc>
        <w:tc>
          <w:tcPr>
            <w:tcW w:w="1418" w:type="dxa"/>
            <w:shd w:val="clear" w:color="auto" w:fill="FFFFFF" w:themeFill="background1"/>
          </w:tcPr>
          <w:p w:rsidR="00783C76" w:rsidRPr="002F17B5" w:rsidRDefault="00CD4CF3" w:rsidP="00783C76">
            <w:pPr>
              <w:tabs>
                <w:tab w:val="num" w:pos="0"/>
              </w:tabs>
              <w:spacing w:after="240"/>
              <w:jc w:val="right"/>
              <w:rPr>
                <w:b/>
              </w:rPr>
            </w:pPr>
            <w:r w:rsidRPr="002F17B5">
              <w:rPr>
                <w:b/>
              </w:rPr>
              <w:t>2013/14</w:t>
            </w:r>
          </w:p>
        </w:tc>
        <w:tc>
          <w:tcPr>
            <w:tcW w:w="1809" w:type="dxa"/>
            <w:shd w:val="clear" w:color="auto" w:fill="FFFFFF" w:themeFill="background1"/>
          </w:tcPr>
          <w:p w:rsidR="00783C76" w:rsidRPr="002F17B5" w:rsidRDefault="00CD4CF3" w:rsidP="005C0198">
            <w:pPr>
              <w:tabs>
                <w:tab w:val="num" w:pos="0"/>
              </w:tabs>
              <w:spacing w:after="240"/>
              <w:jc w:val="right"/>
              <w:rPr>
                <w:b/>
              </w:rPr>
            </w:pPr>
            <w:r w:rsidRPr="002F17B5">
              <w:rPr>
                <w:b/>
              </w:rPr>
              <w:t>2012/13</w:t>
            </w:r>
          </w:p>
        </w:tc>
      </w:tr>
      <w:tr w:rsidR="00783C76" w:rsidRPr="002F17B5" w:rsidTr="000E561F">
        <w:trPr>
          <w:trHeight w:hRule="exact" w:val="397"/>
        </w:trPr>
        <w:tc>
          <w:tcPr>
            <w:tcW w:w="6129" w:type="dxa"/>
            <w:shd w:val="clear" w:color="auto" w:fill="FFFFFF" w:themeFill="background1"/>
          </w:tcPr>
          <w:p w:rsidR="00783C76" w:rsidRPr="002F17B5" w:rsidRDefault="00783C76" w:rsidP="00783C76">
            <w:pPr>
              <w:tabs>
                <w:tab w:val="num" w:pos="0"/>
              </w:tabs>
              <w:spacing w:after="240"/>
            </w:pPr>
          </w:p>
        </w:tc>
        <w:tc>
          <w:tcPr>
            <w:tcW w:w="1418" w:type="dxa"/>
            <w:shd w:val="clear" w:color="auto" w:fill="FFFFFF" w:themeFill="background1"/>
          </w:tcPr>
          <w:p w:rsidR="00783C76" w:rsidRPr="002F17B5" w:rsidRDefault="00783C76" w:rsidP="00783C76">
            <w:pPr>
              <w:tabs>
                <w:tab w:val="num" w:pos="0"/>
              </w:tabs>
              <w:spacing w:after="240"/>
              <w:jc w:val="right"/>
              <w:rPr>
                <w:b/>
              </w:rPr>
            </w:pPr>
            <w:r w:rsidRPr="002F17B5">
              <w:rPr>
                <w:b/>
              </w:rPr>
              <w:t>£m</w:t>
            </w:r>
          </w:p>
        </w:tc>
        <w:tc>
          <w:tcPr>
            <w:tcW w:w="1809" w:type="dxa"/>
            <w:shd w:val="clear" w:color="auto" w:fill="FFFFFF" w:themeFill="background1"/>
          </w:tcPr>
          <w:p w:rsidR="00783C76" w:rsidRPr="002F17B5" w:rsidRDefault="00783C76" w:rsidP="005C0198">
            <w:pPr>
              <w:tabs>
                <w:tab w:val="num" w:pos="0"/>
              </w:tabs>
              <w:spacing w:after="240"/>
              <w:ind w:right="34"/>
              <w:jc w:val="right"/>
              <w:rPr>
                <w:b/>
              </w:rPr>
            </w:pPr>
            <w:r w:rsidRPr="002F17B5">
              <w:rPr>
                <w:b/>
              </w:rPr>
              <w:t>£m</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rPr>
                <w:b/>
              </w:rPr>
            </w:pPr>
            <w:r w:rsidRPr="002F17B5">
              <w:rPr>
                <w:b/>
              </w:rPr>
              <w:t>Opening Capital Financing Requirement</w:t>
            </w:r>
          </w:p>
        </w:tc>
        <w:tc>
          <w:tcPr>
            <w:tcW w:w="1418" w:type="dxa"/>
            <w:shd w:val="clear" w:color="auto" w:fill="FFFFFF" w:themeFill="background1"/>
          </w:tcPr>
          <w:p w:rsidR="000E561F" w:rsidRPr="002F17B5" w:rsidRDefault="000E561F" w:rsidP="000E561F">
            <w:pPr>
              <w:tabs>
                <w:tab w:val="num" w:pos="0"/>
              </w:tabs>
              <w:jc w:val="right"/>
            </w:pPr>
            <w:r w:rsidRPr="002F17B5">
              <w:t>1,074.2</w:t>
            </w:r>
          </w:p>
        </w:tc>
        <w:tc>
          <w:tcPr>
            <w:tcW w:w="1809" w:type="dxa"/>
            <w:shd w:val="clear" w:color="auto" w:fill="FFFFFF" w:themeFill="background1"/>
          </w:tcPr>
          <w:p w:rsidR="000E561F" w:rsidRPr="002F17B5" w:rsidRDefault="000E561F" w:rsidP="005C0198">
            <w:pPr>
              <w:tabs>
                <w:tab w:val="num" w:pos="0"/>
              </w:tabs>
              <w:jc w:val="right"/>
            </w:pPr>
            <w:r w:rsidRPr="002F17B5">
              <w:t>1,111.6</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pPr>
            <w:r w:rsidRPr="002F17B5">
              <w:t>Write down deferred liability 2012-13</w:t>
            </w:r>
          </w:p>
        </w:tc>
        <w:tc>
          <w:tcPr>
            <w:tcW w:w="1418" w:type="dxa"/>
            <w:shd w:val="clear" w:color="auto" w:fill="FFFFFF" w:themeFill="background1"/>
          </w:tcPr>
          <w:p w:rsidR="000E561F" w:rsidRPr="002F17B5" w:rsidRDefault="000E561F" w:rsidP="000E561F">
            <w:pPr>
              <w:tabs>
                <w:tab w:val="num" w:pos="0"/>
              </w:tabs>
              <w:jc w:val="right"/>
            </w:pPr>
            <w:r w:rsidRPr="002F17B5">
              <w:t>-</w:t>
            </w:r>
          </w:p>
        </w:tc>
        <w:tc>
          <w:tcPr>
            <w:tcW w:w="1809" w:type="dxa"/>
            <w:shd w:val="clear" w:color="auto" w:fill="FFFFFF" w:themeFill="background1"/>
          </w:tcPr>
          <w:p w:rsidR="000E561F" w:rsidRPr="002F17B5" w:rsidRDefault="000E561F" w:rsidP="005C0198">
            <w:pPr>
              <w:tabs>
                <w:tab w:val="num" w:pos="0"/>
              </w:tabs>
              <w:jc w:val="right"/>
            </w:pPr>
            <w:r w:rsidRPr="002F17B5">
              <w:t>(0.5)</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rPr>
                <w:b/>
              </w:rPr>
            </w:pPr>
            <w:r w:rsidRPr="002F17B5">
              <w:rPr>
                <w:b/>
              </w:rPr>
              <w:t>Capital investment</w:t>
            </w:r>
          </w:p>
        </w:tc>
        <w:tc>
          <w:tcPr>
            <w:tcW w:w="1418" w:type="dxa"/>
            <w:shd w:val="clear" w:color="auto" w:fill="FFFFFF" w:themeFill="background1"/>
          </w:tcPr>
          <w:p w:rsidR="000E561F" w:rsidRPr="002F17B5" w:rsidRDefault="000E561F" w:rsidP="000E561F">
            <w:pPr>
              <w:tabs>
                <w:tab w:val="num" w:pos="0"/>
              </w:tabs>
              <w:jc w:val="right"/>
            </w:pPr>
          </w:p>
        </w:tc>
        <w:tc>
          <w:tcPr>
            <w:tcW w:w="1809" w:type="dxa"/>
            <w:shd w:val="clear" w:color="auto" w:fill="FFFFFF" w:themeFill="background1"/>
          </w:tcPr>
          <w:p w:rsidR="000E561F" w:rsidRPr="002F17B5" w:rsidRDefault="000E561F" w:rsidP="005C0198">
            <w:pPr>
              <w:tabs>
                <w:tab w:val="num" w:pos="0"/>
              </w:tabs>
              <w:jc w:val="right"/>
            </w:pPr>
            <w:r w:rsidRPr="002F17B5">
              <w:t> </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pPr>
            <w:r w:rsidRPr="002F17B5">
              <w:t>Property, Plant and Equipment</w:t>
            </w:r>
            <w:r w:rsidR="003409DE">
              <w:t xml:space="preserve"> &amp; Assets Held for Sale</w:t>
            </w:r>
          </w:p>
        </w:tc>
        <w:tc>
          <w:tcPr>
            <w:tcW w:w="1418" w:type="dxa"/>
            <w:shd w:val="clear" w:color="auto" w:fill="FFFFFF" w:themeFill="background1"/>
          </w:tcPr>
          <w:p w:rsidR="000E561F" w:rsidRPr="002F17B5" w:rsidRDefault="000E561F" w:rsidP="000E561F">
            <w:pPr>
              <w:tabs>
                <w:tab w:val="num" w:pos="0"/>
              </w:tabs>
              <w:jc w:val="right"/>
            </w:pPr>
            <w:r w:rsidRPr="002F17B5">
              <w:t>137.4</w:t>
            </w:r>
          </w:p>
        </w:tc>
        <w:tc>
          <w:tcPr>
            <w:tcW w:w="1809" w:type="dxa"/>
            <w:shd w:val="clear" w:color="auto" w:fill="FFFFFF" w:themeFill="background1"/>
          </w:tcPr>
          <w:p w:rsidR="000E561F" w:rsidRPr="002F17B5" w:rsidRDefault="000E561F" w:rsidP="005C0198">
            <w:pPr>
              <w:tabs>
                <w:tab w:val="num" w:pos="0"/>
              </w:tabs>
              <w:jc w:val="right"/>
            </w:pPr>
            <w:r w:rsidRPr="002F17B5">
              <w:t>115.0</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pPr>
            <w:r w:rsidRPr="002F17B5">
              <w:t>Intangible Assets</w:t>
            </w:r>
          </w:p>
        </w:tc>
        <w:tc>
          <w:tcPr>
            <w:tcW w:w="1418" w:type="dxa"/>
            <w:shd w:val="clear" w:color="auto" w:fill="FFFFFF" w:themeFill="background1"/>
          </w:tcPr>
          <w:p w:rsidR="000E561F" w:rsidRPr="002F17B5" w:rsidRDefault="000E561F" w:rsidP="000E561F">
            <w:pPr>
              <w:tabs>
                <w:tab w:val="num" w:pos="0"/>
              </w:tabs>
              <w:jc w:val="right"/>
            </w:pPr>
            <w:r w:rsidRPr="002F17B5">
              <w:t>8.5</w:t>
            </w:r>
          </w:p>
        </w:tc>
        <w:tc>
          <w:tcPr>
            <w:tcW w:w="1809" w:type="dxa"/>
            <w:shd w:val="clear" w:color="auto" w:fill="FFFFFF" w:themeFill="background1"/>
          </w:tcPr>
          <w:p w:rsidR="000E561F" w:rsidRPr="002F17B5" w:rsidRDefault="000E561F" w:rsidP="005C0198">
            <w:pPr>
              <w:tabs>
                <w:tab w:val="num" w:pos="0"/>
              </w:tabs>
              <w:jc w:val="right"/>
            </w:pPr>
            <w:r w:rsidRPr="002F17B5">
              <w:t>7.4</w:t>
            </w:r>
          </w:p>
        </w:tc>
      </w:tr>
      <w:tr w:rsidR="000E561F" w:rsidRPr="002F17B5" w:rsidTr="000E561F">
        <w:trPr>
          <w:trHeight w:hRule="exact" w:val="564"/>
        </w:trPr>
        <w:tc>
          <w:tcPr>
            <w:tcW w:w="6129" w:type="dxa"/>
            <w:shd w:val="clear" w:color="auto" w:fill="FFFFFF" w:themeFill="background1"/>
          </w:tcPr>
          <w:p w:rsidR="000E561F" w:rsidRPr="002F17B5" w:rsidRDefault="000E561F" w:rsidP="00B5048A">
            <w:pPr>
              <w:tabs>
                <w:tab w:val="num" w:pos="0"/>
              </w:tabs>
              <w:spacing w:after="240"/>
              <w:jc w:val="left"/>
            </w:pPr>
            <w:r w:rsidRPr="002F17B5">
              <w:t>Revenue Expenditure Funded from Capital Under Statute</w:t>
            </w:r>
          </w:p>
        </w:tc>
        <w:tc>
          <w:tcPr>
            <w:tcW w:w="1418" w:type="dxa"/>
            <w:shd w:val="clear" w:color="auto" w:fill="FFFFFF" w:themeFill="background1"/>
          </w:tcPr>
          <w:p w:rsidR="000E561F" w:rsidRPr="002F17B5" w:rsidRDefault="000E561F" w:rsidP="000E561F">
            <w:pPr>
              <w:tabs>
                <w:tab w:val="num" w:pos="0"/>
              </w:tabs>
              <w:jc w:val="right"/>
            </w:pPr>
            <w:r w:rsidRPr="002F17B5">
              <w:t>8.7</w:t>
            </w:r>
          </w:p>
        </w:tc>
        <w:tc>
          <w:tcPr>
            <w:tcW w:w="1809" w:type="dxa"/>
            <w:shd w:val="clear" w:color="auto" w:fill="FFFFFF" w:themeFill="background1"/>
          </w:tcPr>
          <w:p w:rsidR="000E561F" w:rsidRPr="002F17B5" w:rsidRDefault="000E561F" w:rsidP="005C0198">
            <w:pPr>
              <w:tabs>
                <w:tab w:val="num" w:pos="0"/>
              </w:tabs>
              <w:jc w:val="right"/>
            </w:pPr>
            <w:r w:rsidRPr="002F17B5">
              <w:t>16.9</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rPr>
                <w:b/>
              </w:rPr>
            </w:pPr>
            <w:r w:rsidRPr="002F17B5">
              <w:rPr>
                <w:b/>
              </w:rPr>
              <w:t>Sources of Finance</w:t>
            </w:r>
          </w:p>
        </w:tc>
        <w:tc>
          <w:tcPr>
            <w:tcW w:w="1418" w:type="dxa"/>
            <w:shd w:val="clear" w:color="auto" w:fill="FFFFFF" w:themeFill="background1"/>
          </w:tcPr>
          <w:p w:rsidR="000E561F" w:rsidRPr="002F17B5" w:rsidRDefault="000E561F" w:rsidP="000E561F">
            <w:pPr>
              <w:tabs>
                <w:tab w:val="num" w:pos="0"/>
              </w:tabs>
              <w:jc w:val="right"/>
            </w:pPr>
          </w:p>
        </w:tc>
        <w:tc>
          <w:tcPr>
            <w:tcW w:w="1809" w:type="dxa"/>
            <w:shd w:val="clear" w:color="auto" w:fill="FFFFFF" w:themeFill="background1"/>
          </w:tcPr>
          <w:p w:rsidR="000E561F" w:rsidRPr="002F17B5" w:rsidRDefault="000E561F" w:rsidP="005C0198">
            <w:pPr>
              <w:tabs>
                <w:tab w:val="num" w:pos="0"/>
              </w:tabs>
              <w:jc w:val="right"/>
            </w:pPr>
            <w:r w:rsidRPr="002F17B5">
              <w:t> </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pPr>
            <w:r w:rsidRPr="002F17B5">
              <w:t>Capital receipts</w:t>
            </w:r>
          </w:p>
        </w:tc>
        <w:tc>
          <w:tcPr>
            <w:tcW w:w="1418" w:type="dxa"/>
            <w:shd w:val="clear" w:color="auto" w:fill="FFFFFF" w:themeFill="background1"/>
          </w:tcPr>
          <w:p w:rsidR="000E561F" w:rsidRPr="002F17B5" w:rsidRDefault="000E561F" w:rsidP="000E561F">
            <w:pPr>
              <w:tabs>
                <w:tab w:val="num" w:pos="0"/>
              </w:tabs>
              <w:jc w:val="right"/>
            </w:pPr>
            <w:r w:rsidRPr="002F17B5">
              <w:t>-</w:t>
            </w:r>
          </w:p>
        </w:tc>
        <w:tc>
          <w:tcPr>
            <w:tcW w:w="1809" w:type="dxa"/>
            <w:shd w:val="clear" w:color="auto" w:fill="FFFFFF" w:themeFill="background1"/>
          </w:tcPr>
          <w:p w:rsidR="000E561F" w:rsidRPr="002F17B5" w:rsidRDefault="000E561F" w:rsidP="005C0198">
            <w:pPr>
              <w:tabs>
                <w:tab w:val="num" w:pos="0"/>
              </w:tabs>
              <w:jc w:val="right"/>
            </w:pPr>
            <w:r w:rsidRPr="002F17B5">
              <w:t>-</w:t>
            </w:r>
          </w:p>
        </w:tc>
      </w:tr>
      <w:tr w:rsidR="000E561F" w:rsidRPr="002F17B5" w:rsidTr="00A92FC8">
        <w:trPr>
          <w:trHeight w:hRule="exact" w:val="288"/>
        </w:trPr>
        <w:tc>
          <w:tcPr>
            <w:tcW w:w="6129" w:type="dxa"/>
            <w:shd w:val="clear" w:color="auto" w:fill="FFFFFF" w:themeFill="background1"/>
          </w:tcPr>
          <w:p w:rsidR="000E561F" w:rsidRPr="002F17B5" w:rsidRDefault="000E561F" w:rsidP="00B5048A">
            <w:pPr>
              <w:tabs>
                <w:tab w:val="num" w:pos="0"/>
              </w:tabs>
              <w:spacing w:after="240"/>
              <w:jc w:val="left"/>
            </w:pPr>
            <w:r w:rsidRPr="002F17B5">
              <w:t>Government grants and other contributions</w:t>
            </w:r>
          </w:p>
        </w:tc>
        <w:tc>
          <w:tcPr>
            <w:tcW w:w="1418" w:type="dxa"/>
            <w:shd w:val="clear" w:color="auto" w:fill="FFFFFF" w:themeFill="background1"/>
          </w:tcPr>
          <w:p w:rsidR="000E561F" w:rsidRPr="002F17B5" w:rsidRDefault="000E561F" w:rsidP="000E561F">
            <w:pPr>
              <w:tabs>
                <w:tab w:val="num" w:pos="0"/>
              </w:tabs>
              <w:jc w:val="right"/>
            </w:pPr>
            <w:r w:rsidRPr="002F17B5">
              <w:t>(138.1)</w:t>
            </w:r>
          </w:p>
        </w:tc>
        <w:tc>
          <w:tcPr>
            <w:tcW w:w="1809" w:type="dxa"/>
            <w:shd w:val="clear" w:color="auto" w:fill="FFFFFF" w:themeFill="background1"/>
          </w:tcPr>
          <w:p w:rsidR="000E561F" w:rsidRPr="002F17B5" w:rsidRDefault="000E561F" w:rsidP="005C0198">
            <w:pPr>
              <w:tabs>
                <w:tab w:val="num" w:pos="0"/>
              </w:tabs>
              <w:jc w:val="right"/>
            </w:pPr>
            <w:r w:rsidRPr="002F17B5">
              <w:t>(111.3)</w:t>
            </w:r>
          </w:p>
        </w:tc>
      </w:tr>
      <w:tr w:rsidR="000E561F" w:rsidRPr="002F17B5" w:rsidTr="00A92FC8">
        <w:trPr>
          <w:trHeight w:hRule="exact" w:val="292"/>
        </w:trPr>
        <w:tc>
          <w:tcPr>
            <w:tcW w:w="6129" w:type="dxa"/>
            <w:shd w:val="clear" w:color="auto" w:fill="FFFFFF" w:themeFill="background1"/>
          </w:tcPr>
          <w:p w:rsidR="000E561F" w:rsidRPr="002F17B5" w:rsidRDefault="000E561F" w:rsidP="00B5048A">
            <w:pPr>
              <w:tabs>
                <w:tab w:val="num" w:pos="0"/>
              </w:tabs>
              <w:spacing w:after="240"/>
              <w:jc w:val="left"/>
              <w:rPr>
                <w:b/>
              </w:rPr>
            </w:pPr>
            <w:r w:rsidRPr="002F17B5">
              <w:rPr>
                <w:b/>
              </w:rPr>
              <w:t>Sums set aside from revenue:</w:t>
            </w:r>
          </w:p>
        </w:tc>
        <w:tc>
          <w:tcPr>
            <w:tcW w:w="1418" w:type="dxa"/>
            <w:shd w:val="clear" w:color="auto" w:fill="FFFFFF" w:themeFill="background1"/>
          </w:tcPr>
          <w:p w:rsidR="000E561F" w:rsidRPr="002F17B5" w:rsidRDefault="000E561F" w:rsidP="000E561F">
            <w:pPr>
              <w:tabs>
                <w:tab w:val="num" w:pos="0"/>
              </w:tabs>
              <w:jc w:val="right"/>
            </w:pPr>
          </w:p>
        </w:tc>
        <w:tc>
          <w:tcPr>
            <w:tcW w:w="1809" w:type="dxa"/>
            <w:shd w:val="clear" w:color="auto" w:fill="FFFFFF" w:themeFill="background1"/>
          </w:tcPr>
          <w:p w:rsidR="000E561F" w:rsidRPr="002F17B5" w:rsidRDefault="000E561F" w:rsidP="005C0198">
            <w:pPr>
              <w:tabs>
                <w:tab w:val="num" w:pos="0"/>
              </w:tabs>
              <w:jc w:val="right"/>
            </w:pPr>
            <w:r w:rsidRPr="002F17B5">
              <w:t> </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pPr>
            <w:r w:rsidRPr="002F17B5">
              <w:t>Direct revenue contributions</w:t>
            </w:r>
          </w:p>
        </w:tc>
        <w:tc>
          <w:tcPr>
            <w:tcW w:w="1418" w:type="dxa"/>
            <w:shd w:val="clear" w:color="auto" w:fill="FFFFFF" w:themeFill="background1"/>
          </w:tcPr>
          <w:p w:rsidR="000E561F" w:rsidRPr="002F17B5" w:rsidRDefault="000E561F" w:rsidP="000E561F">
            <w:pPr>
              <w:tabs>
                <w:tab w:val="num" w:pos="0"/>
              </w:tabs>
              <w:jc w:val="right"/>
            </w:pPr>
            <w:r w:rsidRPr="002F17B5">
              <w:t>(16.5)</w:t>
            </w:r>
          </w:p>
        </w:tc>
        <w:tc>
          <w:tcPr>
            <w:tcW w:w="1809" w:type="dxa"/>
            <w:shd w:val="clear" w:color="auto" w:fill="FFFFFF" w:themeFill="background1"/>
          </w:tcPr>
          <w:p w:rsidR="000E561F" w:rsidRPr="002F17B5" w:rsidRDefault="000E561F" w:rsidP="005C0198">
            <w:pPr>
              <w:tabs>
                <w:tab w:val="num" w:pos="0"/>
              </w:tabs>
              <w:jc w:val="right"/>
            </w:pPr>
            <w:r w:rsidRPr="002F17B5">
              <w:t>(28.1)</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pPr>
            <w:r w:rsidRPr="002F17B5">
              <w:t>Write down of PFI liability</w:t>
            </w:r>
          </w:p>
        </w:tc>
        <w:tc>
          <w:tcPr>
            <w:tcW w:w="1418" w:type="dxa"/>
            <w:shd w:val="clear" w:color="auto" w:fill="FFFFFF" w:themeFill="background1"/>
          </w:tcPr>
          <w:p w:rsidR="000E561F" w:rsidRPr="002F17B5" w:rsidRDefault="000E561F" w:rsidP="000E561F">
            <w:pPr>
              <w:tabs>
                <w:tab w:val="num" w:pos="0"/>
              </w:tabs>
              <w:jc w:val="right"/>
            </w:pPr>
            <w:r w:rsidRPr="002F17B5">
              <w:t>(7.6)</w:t>
            </w:r>
          </w:p>
        </w:tc>
        <w:tc>
          <w:tcPr>
            <w:tcW w:w="1809" w:type="dxa"/>
            <w:shd w:val="clear" w:color="auto" w:fill="FFFFFF" w:themeFill="background1"/>
          </w:tcPr>
          <w:p w:rsidR="000E561F" w:rsidRPr="002F17B5" w:rsidRDefault="000E561F" w:rsidP="005C0198">
            <w:pPr>
              <w:tabs>
                <w:tab w:val="num" w:pos="0"/>
              </w:tabs>
              <w:jc w:val="right"/>
            </w:pPr>
            <w:r w:rsidRPr="002F17B5">
              <w:t>(7.9)</w:t>
            </w:r>
          </w:p>
        </w:tc>
      </w:tr>
      <w:tr w:rsidR="000E561F" w:rsidRPr="002F17B5" w:rsidTr="000E561F">
        <w:trPr>
          <w:trHeight w:hRule="exact" w:val="592"/>
        </w:trPr>
        <w:tc>
          <w:tcPr>
            <w:tcW w:w="6129" w:type="dxa"/>
            <w:shd w:val="clear" w:color="auto" w:fill="FFFFFF" w:themeFill="background1"/>
          </w:tcPr>
          <w:p w:rsidR="000E561F" w:rsidRPr="002F17B5" w:rsidRDefault="000E561F" w:rsidP="00B5048A">
            <w:pPr>
              <w:tabs>
                <w:tab w:val="num" w:pos="0"/>
              </w:tabs>
              <w:spacing w:after="240"/>
              <w:jc w:val="left"/>
            </w:pPr>
            <w:r w:rsidRPr="002F17B5">
              <w:t>Minimum Revenue Provision (MRP)/ loans fund principal</w:t>
            </w:r>
          </w:p>
        </w:tc>
        <w:tc>
          <w:tcPr>
            <w:tcW w:w="1418" w:type="dxa"/>
            <w:shd w:val="clear" w:color="auto" w:fill="FFFFFF" w:themeFill="background1"/>
          </w:tcPr>
          <w:p w:rsidR="000E561F" w:rsidRPr="002F17B5" w:rsidRDefault="000E561F" w:rsidP="000E561F">
            <w:pPr>
              <w:tabs>
                <w:tab w:val="num" w:pos="0"/>
              </w:tabs>
              <w:jc w:val="right"/>
            </w:pPr>
            <w:r w:rsidRPr="002F17B5">
              <w:t>(27.6)</w:t>
            </w:r>
          </w:p>
        </w:tc>
        <w:tc>
          <w:tcPr>
            <w:tcW w:w="1809" w:type="dxa"/>
            <w:shd w:val="clear" w:color="auto" w:fill="FFFFFF" w:themeFill="background1"/>
          </w:tcPr>
          <w:p w:rsidR="000E561F" w:rsidRPr="002F17B5" w:rsidRDefault="000E561F" w:rsidP="005C0198">
            <w:pPr>
              <w:tabs>
                <w:tab w:val="num" w:pos="0"/>
              </w:tabs>
              <w:jc w:val="right"/>
            </w:pPr>
            <w:r w:rsidRPr="002F17B5">
              <w:t>(28.9)</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rPr>
                <w:b/>
              </w:rPr>
            </w:pPr>
            <w:r w:rsidRPr="002F17B5">
              <w:rPr>
                <w:b/>
              </w:rPr>
              <w:t>Closing Capital Financing Requirement</w:t>
            </w:r>
          </w:p>
        </w:tc>
        <w:tc>
          <w:tcPr>
            <w:tcW w:w="1418" w:type="dxa"/>
            <w:shd w:val="clear" w:color="auto" w:fill="FFFFFF" w:themeFill="background1"/>
          </w:tcPr>
          <w:p w:rsidR="000E561F" w:rsidRPr="002F17B5" w:rsidRDefault="000E561F" w:rsidP="000E561F">
            <w:pPr>
              <w:tabs>
                <w:tab w:val="num" w:pos="0"/>
              </w:tabs>
              <w:jc w:val="right"/>
              <w:rPr>
                <w:b/>
              </w:rPr>
            </w:pPr>
            <w:r w:rsidRPr="002F17B5">
              <w:rPr>
                <w:b/>
              </w:rPr>
              <w:t>1,039.0</w:t>
            </w:r>
          </w:p>
        </w:tc>
        <w:tc>
          <w:tcPr>
            <w:tcW w:w="1809" w:type="dxa"/>
            <w:shd w:val="clear" w:color="auto" w:fill="FFFFFF" w:themeFill="background1"/>
          </w:tcPr>
          <w:p w:rsidR="000E561F" w:rsidRPr="002F17B5" w:rsidRDefault="000E561F" w:rsidP="005C0198">
            <w:pPr>
              <w:tabs>
                <w:tab w:val="num" w:pos="0"/>
              </w:tabs>
              <w:jc w:val="right"/>
              <w:rPr>
                <w:b/>
              </w:rPr>
            </w:pPr>
            <w:r w:rsidRPr="002F17B5">
              <w:rPr>
                <w:b/>
              </w:rPr>
              <w:t>1,074.2</w:t>
            </w:r>
          </w:p>
        </w:tc>
      </w:tr>
      <w:tr w:rsidR="000E561F" w:rsidRPr="002F17B5" w:rsidTr="00A92FC8">
        <w:trPr>
          <w:trHeight w:hRule="exact" w:val="308"/>
        </w:trPr>
        <w:tc>
          <w:tcPr>
            <w:tcW w:w="6129" w:type="dxa"/>
            <w:shd w:val="clear" w:color="auto" w:fill="FFFFFF" w:themeFill="background1"/>
          </w:tcPr>
          <w:p w:rsidR="000E561F" w:rsidRPr="002F17B5" w:rsidRDefault="000E561F" w:rsidP="00B5048A">
            <w:pPr>
              <w:tabs>
                <w:tab w:val="num" w:pos="0"/>
              </w:tabs>
              <w:spacing w:after="240"/>
              <w:jc w:val="left"/>
            </w:pPr>
          </w:p>
        </w:tc>
        <w:tc>
          <w:tcPr>
            <w:tcW w:w="1418" w:type="dxa"/>
            <w:shd w:val="clear" w:color="auto" w:fill="FFFFFF" w:themeFill="background1"/>
          </w:tcPr>
          <w:p w:rsidR="000E561F" w:rsidRPr="002F17B5" w:rsidRDefault="000E561F" w:rsidP="000E561F">
            <w:pPr>
              <w:tabs>
                <w:tab w:val="num" w:pos="0"/>
              </w:tabs>
              <w:jc w:val="right"/>
            </w:pPr>
          </w:p>
        </w:tc>
        <w:tc>
          <w:tcPr>
            <w:tcW w:w="1809" w:type="dxa"/>
            <w:shd w:val="clear" w:color="auto" w:fill="FFFFFF" w:themeFill="background1"/>
          </w:tcPr>
          <w:p w:rsidR="000E561F" w:rsidRPr="002F17B5" w:rsidRDefault="000E561F" w:rsidP="005C0198">
            <w:pPr>
              <w:tabs>
                <w:tab w:val="num" w:pos="0"/>
              </w:tabs>
              <w:jc w:val="right"/>
            </w:pPr>
            <w:r w:rsidRPr="002F17B5">
              <w:t> </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pPr>
            <w:r w:rsidRPr="002F17B5">
              <w:t>Explanation of movements in year:</w:t>
            </w:r>
          </w:p>
        </w:tc>
        <w:tc>
          <w:tcPr>
            <w:tcW w:w="1418" w:type="dxa"/>
            <w:shd w:val="clear" w:color="auto" w:fill="FFFFFF" w:themeFill="background1"/>
          </w:tcPr>
          <w:p w:rsidR="000E561F" w:rsidRPr="002F17B5" w:rsidRDefault="000E561F" w:rsidP="000E561F">
            <w:pPr>
              <w:tabs>
                <w:tab w:val="num" w:pos="0"/>
              </w:tabs>
              <w:jc w:val="right"/>
            </w:pPr>
          </w:p>
        </w:tc>
        <w:tc>
          <w:tcPr>
            <w:tcW w:w="1809" w:type="dxa"/>
            <w:shd w:val="clear" w:color="auto" w:fill="FFFFFF" w:themeFill="background1"/>
          </w:tcPr>
          <w:p w:rsidR="000E561F" w:rsidRPr="002F17B5" w:rsidRDefault="000E561F" w:rsidP="005C0198">
            <w:pPr>
              <w:tabs>
                <w:tab w:val="num" w:pos="0"/>
              </w:tabs>
              <w:jc w:val="right"/>
            </w:pPr>
            <w:r w:rsidRPr="002F17B5">
              <w:t> </w:t>
            </w:r>
          </w:p>
        </w:tc>
      </w:tr>
      <w:tr w:rsidR="000E561F" w:rsidRPr="002F17B5" w:rsidTr="000E561F">
        <w:trPr>
          <w:trHeight w:hRule="exact" w:val="646"/>
        </w:trPr>
        <w:tc>
          <w:tcPr>
            <w:tcW w:w="6129" w:type="dxa"/>
            <w:shd w:val="clear" w:color="auto" w:fill="FFFFFF" w:themeFill="background1"/>
          </w:tcPr>
          <w:p w:rsidR="000E561F" w:rsidRPr="002F17B5" w:rsidRDefault="000E561F" w:rsidP="00B5048A">
            <w:pPr>
              <w:tabs>
                <w:tab w:val="num" w:pos="0"/>
              </w:tabs>
              <w:spacing w:after="240"/>
              <w:jc w:val="left"/>
            </w:pPr>
            <w:r w:rsidRPr="002F17B5">
              <w:t>Increase/decrease in underlying need to borrowing (supported by government financial assistance)</w:t>
            </w:r>
          </w:p>
        </w:tc>
        <w:tc>
          <w:tcPr>
            <w:tcW w:w="1418" w:type="dxa"/>
            <w:shd w:val="clear" w:color="auto" w:fill="FFFFFF" w:themeFill="background1"/>
          </w:tcPr>
          <w:p w:rsidR="000E561F" w:rsidRPr="002F17B5" w:rsidRDefault="000E561F" w:rsidP="000E561F">
            <w:pPr>
              <w:tabs>
                <w:tab w:val="num" w:pos="0"/>
              </w:tabs>
              <w:jc w:val="right"/>
            </w:pPr>
            <w:r w:rsidRPr="002F17B5">
              <w:t>(27.6)</w:t>
            </w:r>
          </w:p>
        </w:tc>
        <w:tc>
          <w:tcPr>
            <w:tcW w:w="1809" w:type="dxa"/>
            <w:shd w:val="clear" w:color="auto" w:fill="FFFFFF" w:themeFill="background1"/>
          </w:tcPr>
          <w:p w:rsidR="000E561F" w:rsidRPr="002F17B5" w:rsidRDefault="000E561F" w:rsidP="005C0198">
            <w:pPr>
              <w:tabs>
                <w:tab w:val="num" w:pos="0"/>
              </w:tabs>
              <w:jc w:val="right"/>
            </w:pPr>
            <w:r w:rsidRPr="002F17B5">
              <w:t>(22.5)</w:t>
            </w:r>
          </w:p>
        </w:tc>
      </w:tr>
      <w:tr w:rsidR="000E561F" w:rsidRPr="002F17B5" w:rsidTr="000E561F">
        <w:trPr>
          <w:trHeight w:hRule="exact" w:val="672"/>
        </w:trPr>
        <w:tc>
          <w:tcPr>
            <w:tcW w:w="6129" w:type="dxa"/>
            <w:shd w:val="clear" w:color="auto" w:fill="FFFFFF" w:themeFill="background1"/>
          </w:tcPr>
          <w:p w:rsidR="000E561F" w:rsidRPr="002F17B5" w:rsidRDefault="000E561F" w:rsidP="00B5048A">
            <w:pPr>
              <w:tabs>
                <w:tab w:val="num" w:pos="0"/>
              </w:tabs>
              <w:spacing w:after="240"/>
              <w:jc w:val="left"/>
            </w:pPr>
            <w:r w:rsidRPr="002F17B5">
              <w:t>Increase in underlying need to borrowing (unsupported by government financial assistance)</w:t>
            </w:r>
          </w:p>
        </w:tc>
        <w:tc>
          <w:tcPr>
            <w:tcW w:w="1418" w:type="dxa"/>
            <w:shd w:val="clear" w:color="auto" w:fill="FFFFFF" w:themeFill="background1"/>
          </w:tcPr>
          <w:p w:rsidR="000E561F" w:rsidRPr="002F17B5" w:rsidRDefault="000E561F" w:rsidP="000E561F">
            <w:pPr>
              <w:tabs>
                <w:tab w:val="num" w:pos="0"/>
              </w:tabs>
              <w:jc w:val="right"/>
            </w:pPr>
            <w:r w:rsidRPr="002F17B5">
              <w:t>-</w:t>
            </w:r>
          </w:p>
        </w:tc>
        <w:tc>
          <w:tcPr>
            <w:tcW w:w="1809" w:type="dxa"/>
            <w:shd w:val="clear" w:color="auto" w:fill="FFFFFF" w:themeFill="background1"/>
          </w:tcPr>
          <w:p w:rsidR="000E561F" w:rsidRPr="002F17B5" w:rsidRDefault="000E561F" w:rsidP="005C0198">
            <w:pPr>
              <w:tabs>
                <w:tab w:val="num" w:pos="0"/>
              </w:tabs>
              <w:jc w:val="right"/>
            </w:pPr>
            <w:r w:rsidRPr="002F17B5">
              <w:t>(6.4)</w:t>
            </w:r>
          </w:p>
        </w:tc>
      </w:tr>
      <w:tr w:rsidR="000E561F" w:rsidRPr="002F17B5" w:rsidTr="000E561F">
        <w:trPr>
          <w:trHeight w:hRule="exact" w:val="397"/>
        </w:trPr>
        <w:tc>
          <w:tcPr>
            <w:tcW w:w="6129" w:type="dxa"/>
            <w:shd w:val="clear" w:color="auto" w:fill="FFFFFF" w:themeFill="background1"/>
          </w:tcPr>
          <w:p w:rsidR="000E561F" w:rsidRPr="002F17B5" w:rsidRDefault="000E561F" w:rsidP="00B5048A">
            <w:pPr>
              <w:tabs>
                <w:tab w:val="num" w:pos="0"/>
              </w:tabs>
              <w:spacing w:after="240"/>
              <w:jc w:val="left"/>
            </w:pPr>
            <w:r w:rsidRPr="002F17B5">
              <w:t xml:space="preserve">Write down PFI Liability </w:t>
            </w:r>
          </w:p>
        </w:tc>
        <w:tc>
          <w:tcPr>
            <w:tcW w:w="1418" w:type="dxa"/>
            <w:shd w:val="clear" w:color="auto" w:fill="FFFFFF" w:themeFill="background1"/>
          </w:tcPr>
          <w:p w:rsidR="000E561F" w:rsidRPr="002F17B5" w:rsidRDefault="000E561F" w:rsidP="000E561F">
            <w:pPr>
              <w:tabs>
                <w:tab w:val="num" w:pos="0"/>
              </w:tabs>
              <w:jc w:val="right"/>
            </w:pPr>
            <w:r w:rsidRPr="002F17B5">
              <w:t>(7.6)</w:t>
            </w:r>
          </w:p>
        </w:tc>
        <w:tc>
          <w:tcPr>
            <w:tcW w:w="1809" w:type="dxa"/>
            <w:shd w:val="clear" w:color="auto" w:fill="FFFFFF" w:themeFill="background1"/>
          </w:tcPr>
          <w:p w:rsidR="000E561F" w:rsidRPr="002F17B5" w:rsidRDefault="000E561F" w:rsidP="005C0198">
            <w:pPr>
              <w:tabs>
                <w:tab w:val="num" w:pos="0"/>
              </w:tabs>
              <w:jc w:val="right"/>
            </w:pPr>
            <w:r w:rsidRPr="002F17B5">
              <w:t>(8.5)</w:t>
            </w:r>
          </w:p>
        </w:tc>
      </w:tr>
      <w:tr w:rsidR="000E561F" w:rsidRPr="002F17B5" w:rsidTr="000E561F">
        <w:trPr>
          <w:trHeight w:hRule="exact" w:val="562"/>
        </w:trPr>
        <w:tc>
          <w:tcPr>
            <w:tcW w:w="6129" w:type="dxa"/>
            <w:shd w:val="clear" w:color="auto" w:fill="FFFFFF" w:themeFill="background1"/>
          </w:tcPr>
          <w:p w:rsidR="000E561F" w:rsidRPr="002F17B5" w:rsidRDefault="000E561F" w:rsidP="00B5048A">
            <w:pPr>
              <w:tabs>
                <w:tab w:val="num" w:pos="0"/>
              </w:tabs>
              <w:spacing w:after="240"/>
              <w:jc w:val="left"/>
              <w:rPr>
                <w:b/>
              </w:rPr>
            </w:pPr>
            <w:r w:rsidRPr="002F17B5">
              <w:rPr>
                <w:b/>
              </w:rPr>
              <w:t>Increase (decrease) in Capital Financing Requirement</w:t>
            </w:r>
          </w:p>
        </w:tc>
        <w:tc>
          <w:tcPr>
            <w:tcW w:w="1418" w:type="dxa"/>
            <w:shd w:val="clear" w:color="auto" w:fill="FFFFFF" w:themeFill="background1"/>
          </w:tcPr>
          <w:p w:rsidR="000E561F" w:rsidRPr="002F17B5" w:rsidRDefault="000E561F" w:rsidP="000E561F">
            <w:pPr>
              <w:tabs>
                <w:tab w:val="num" w:pos="0"/>
              </w:tabs>
              <w:jc w:val="right"/>
              <w:rPr>
                <w:b/>
              </w:rPr>
            </w:pPr>
            <w:r w:rsidRPr="002F17B5">
              <w:rPr>
                <w:b/>
              </w:rPr>
              <w:t>(35.2)</w:t>
            </w:r>
          </w:p>
        </w:tc>
        <w:tc>
          <w:tcPr>
            <w:tcW w:w="1809" w:type="dxa"/>
            <w:shd w:val="clear" w:color="auto" w:fill="FFFFFF" w:themeFill="background1"/>
          </w:tcPr>
          <w:p w:rsidR="000E561F" w:rsidRPr="002F17B5" w:rsidRDefault="000E561F" w:rsidP="005C0198">
            <w:pPr>
              <w:tabs>
                <w:tab w:val="num" w:pos="0"/>
              </w:tabs>
              <w:jc w:val="right"/>
              <w:rPr>
                <w:b/>
              </w:rPr>
            </w:pPr>
            <w:r w:rsidRPr="002F17B5">
              <w:rPr>
                <w:b/>
              </w:rPr>
              <w:t>(37.4)</w:t>
            </w:r>
          </w:p>
        </w:tc>
      </w:tr>
    </w:tbl>
    <w:p w:rsidR="00783C76" w:rsidRPr="002F17B5" w:rsidRDefault="00783C76" w:rsidP="00783C76">
      <w:pPr>
        <w:tabs>
          <w:tab w:val="num" w:pos="0"/>
        </w:tabs>
        <w:spacing w:after="240"/>
        <w:rPr>
          <w:sz w:val="22"/>
        </w:rPr>
      </w:pPr>
    </w:p>
    <w:p w:rsidR="000068C0" w:rsidRPr="002F17B5" w:rsidRDefault="000068C0" w:rsidP="00783C76">
      <w:pPr>
        <w:tabs>
          <w:tab w:val="num" w:pos="0"/>
        </w:tabs>
        <w:spacing w:after="240"/>
        <w:rPr>
          <w:sz w:val="22"/>
        </w:rPr>
      </w:pPr>
    </w:p>
    <w:p w:rsidR="00A92FC8" w:rsidRPr="002F17B5" w:rsidRDefault="00A92FC8" w:rsidP="00783C76">
      <w:pPr>
        <w:tabs>
          <w:tab w:val="num" w:pos="0"/>
        </w:tabs>
        <w:spacing w:after="240"/>
        <w:rPr>
          <w:sz w:val="22"/>
        </w:rPr>
      </w:pPr>
    </w:p>
    <w:p w:rsidR="00783C76" w:rsidRPr="002F17B5" w:rsidRDefault="005D3E0E" w:rsidP="00783C76">
      <w:pPr>
        <w:tabs>
          <w:tab w:val="num" w:pos="0"/>
        </w:tabs>
        <w:spacing w:after="240"/>
      </w:pPr>
      <w:r w:rsidRPr="002F17B5">
        <w:rPr>
          <w:b/>
        </w:rPr>
        <w:lastRenderedPageBreak/>
        <w:t xml:space="preserve">Future capital spending commitments </w:t>
      </w:r>
    </w:p>
    <w:p w:rsidR="00783C76" w:rsidRDefault="005D3E0E" w:rsidP="00783C76">
      <w:pPr>
        <w:tabs>
          <w:tab w:val="num" w:pos="0"/>
        </w:tabs>
      </w:pPr>
      <w:r w:rsidRPr="002F17B5">
        <w:t>Due to the long term nature of many  capital projects we are committed to certain levels of capital spending in the future with many projects  agreed in previous years not due to be completed until later years.</w:t>
      </w:r>
    </w:p>
    <w:p w:rsidR="00431EE6" w:rsidRPr="00431EE6" w:rsidRDefault="00431EE6" w:rsidP="00783C76">
      <w:pPr>
        <w:tabs>
          <w:tab w:val="num" w:pos="0"/>
        </w:tabs>
        <w:rPr>
          <w:sz w:val="14"/>
        </w:rPr>
      </w:pPr>
    </w:p>
    <w:p w:rsidR="00431EE6" w:rsidRPr="002F17B5" w:rsidRDefault="00431EE6" w:rsidP="00783C76">
      <w:pPr>
        <w:tabs>
          <w:tab w:val="num" w:pos="0"/>
        </w:tabs>
      </w:pPr>
      <w:r>
        <w:t>Our legally committed capital expenditure as at 31 March 2014 is £</w:t>
      </w:r>
      <w:r w:rsidR="0041278E">
        <w:t>142.0m (31 March 2013: £79.8m)</w:t>
      </w:r>
      <w:r>
        <w:t xml:space="preserve"> as detailed below:-</w:t>
      </w:r>
    </w:p>
    <w:p w:rsidR="00F149C0" w:rsidRPr="00431EE6" w:rsidRDefault="00F149C0" w:rsidP="00783C76">
      <w:pPr>
        <w:tabs>
          <w:tab w:val="num" w:pos="0"/>
        </w:tabs>
        <w:rPr>
          <w:sz w:val="8"/>
        </w:rPr>
      </w:pPr>
    </w:p>
    <w:tbl>
      <w:tblPr>
        <w:tblW w:w="0" w:type="auto"/>
        <w:tblInd w:w="108" w:type="dxa"/>
        <w:tblLook w:val="04A0" w:firstRow="1" w:lastRow="0" w:firstColumn="1" w:lastColumn="0" w:noHBand="0" w:noVBand="1"/>
      </w:tblPr>
      <w:tblGrid>
        <w:gridCol w:w="4536"/>
        <w:gridCol w:w="1843"/>
      </w:tblGrid>
      <w:tr w:rsidR="00ED24B5" w:rsidRPr="002F17B5" w:rsidTr="006F67FE">
        <w:trPr>
          <w:trHeight w:val="328"/>
        </w:trPr>
        <w:tc>
          <w:tcPr>
            <w:tcW w:w="4536" w:type="dxa"/>
            <w:shd w:val="clear" w:color="auto" w:fill="FFFFFF" w:themeFill="background1"/>
          </w:tcPr>
          <w:p w:rsidR="00ED24B5" w:rsidRPr="002F17B5" w:rsidRDefault="00ED24B5" w:rsidP="00AD5D5C">
            <w:pPr>
              <w:tabs>
                <w:tab w:val="num" w:pos="0"/>
              </w:tabs>
              <w:spacing w:after="60"/>
            </w:pPr>
          </w:p>
          <w:p w:rsidR="00ED24B5" w:rsidRPr="002F17B5" w:rsidRDefault="00ED24B5" w:rsidP="00AD5D5C">
            <w:pPr>
              <w:tabs>
                <w:tab w:val="num" w:pos="0"/>
              </w:tabs>
              <w:spacing w:after="60"/>
            </w:pPr>
          </w:p>
          <w:p w:rsidR="00ED24B5" w:rsidRPr="002F17B5" w:rsidRDefault="00ED24B5" w:rsidP="00AD5D5C">
            <w:pPr>
              <w:tabs>
                <w:tab w:val="num" w:pos="0"/>
              </w:tabs>
              <w:spacing w:after="60"/>
            </w:pPr>
            <w:r w:rsidRPr="002F17B5">
              <w:t xml:space="preserve">Adult </w:t>
            </w:r>
            <w:r>
              <w:t>Services, Health and Wellbeing</w:t>
            </w:r>
          </w:p>
        </w:tc>
        <w:tc>
          <w:tcPr>
            <w:tcW w:w="1843" w:type="dxa"/>
            <w:shd w:val="clear" w:color="auto" w:fill="FFFFFF" w:themeFill="background1"/>
          </w:tcPr>
          <w:p w:rsidR="00ED24B5" w:rsidRPr="002F17B5" w:rsidRDefault="00ED24B5" w:rsidP="00AD5D5C">
            <w:pPr>
              <w:tabs>
                <w:tab w:val="num" w:pos="0"/>
              </w:tabs>
              <w:spacing w:after="60"/>
              <w:jc w:val="right"/>
              <w:rPr>
                <w:b/>
              </w:rPr>
            </w:pPr>
          </w:p>
          <w:p w:rsidR="00ED24B5" w:rsidRPr="002F17B5" w:rsidRDefault="00ED24B5" w:rsidP="00AD5D5C">
            <w:pPr>
              <w:tabs>
                <w:tab w:val="num" w:pos="0"/>
              </w:tabs>
              <w:spacing w:after="60"/>
              <w:jc w:val="right"/>
              <w:rPr>
                <w:b/>
              </w:rPr>
            </w:pPr>
            <w:r w:rsidRPr="002F17B5">
              <w:rPr>
                <w:b/>
              </w:rPr>
              <w:t>£m</w:t>
            </w:r>
          </w:p>
          <w:p w:rsidR="00ED24B5" w:rsidRPr="002F17B5" w:rsidRDefault="00ED24B5" w:rsidP="00AD5D5C">
            <w:pPr>
              <w:tabs>
                <w:tab w:val="num" w:pos="0"/>
              </w:tabs>
              <w:spacing w:after="60"/>
              <w:jc w:val="right"/>
            </w:pPr>
            <w:r w:rsidRPr="002F17B5">
              <w:t>0.1</w:t>
            </w:r>
          </w:p>
        </w:tc>
      </w:tr>
      <w:tr w:rsidR="00ED24B5" w:rsidRPr="002F17B5" w:rsidTr="006F67FE">
        <w:trPr>
          <w:trHeight w:val="296"/>
        </w:trPr>
        <w:tc>
          <w:tcPr>
            <w:tcW w:w="4536" w:type="dxa"/>
            <w:shd w:val="clear" w:color="auto" w:fill="FFFFFF" w:themeFill="background1"/>
          </w:tcPr>
          <w:p w:rsidR="00ED24B5" w:rsidRPr="002F17B5" w:rsidRDefault="00ED24B5" w:rsidP="00AD5D5C">
            <w:pPr>
              <w:tabs>
                <w:tab w:val="num" w:pos="0"/>
              </w:tabs>
              <w:spacing w:after="60"/>
            </w:pPr>
            <w:r w:rsidRPr="002F17B5">
              <w:t>Children and Young People Schools</w:t>
            </w:r>
          </w:p>
        </w:tc>
        <w:tc>
          <w:tcPr>
            <w:tcW w:w="1843" w:type="dxa"/>
            <w:shd w:val="clear" w:color="auto" w:fill="FFFFFF" w:themeFill="background1"/>
          </w:tcPr>
          <w:p w:rsidR="00ED24B5" w:rsidRPr="002F17B5" w:rsidRDefault="00ED24B5" w:rsidP="0041278E">
            <w:pPr>
              <w:tabs>
                <w:tab w:val="num" w:pos="0"/>
              </w:tabs>
              <w:spacing w:after="60"/>
              <w:jc w:val="right"/>
            </w:pPr>
            <w:r>
              <w:t>20</w:t>
            </w:r>
            <w:r w:rsidRPr="002F17B5">
              <w:t>.</w:t>
            </w:r>
            <w:r>
              <w:t>0</w:t>
            </w:r>
          </w:p>
        </w:tc>
      </w:tr>
      <w:tr w:rsidR="00ED24B5" w:rsidRPr="002F17B5" w:rsidTr="006F67FE">
        <w:tc>
          <w:tcPr>
            <w:tcW w:w="4536" w:type="dxa"/>
            <w:shd w:val="clear" w:color="auto" w:fill="FFFFFF" w:themeFill="background1"/>
          </w:tcPr>
          <w:p w:rsidR="00ED24B5" w:rsidRPr="002F17B5" w:rsidRDefault="00ED24B5" w:rsidP="00AD5D5C">
            <w:pPr>
              <w:tabs>
                <w:tab w:val="num" w:pos="0"/>
              </w:tabs>
              <w:spacing w:after="60"/>
            </w:pPr>
            <w:r w:rsidRPr="002F17B5">
              <w:t>Children and Young People Service</w:t>
            </w:r>
          </w:p>
        </w:tc>
        <w:tc>
          <w:tcPr>
            <w:tcW w:w="1843" w:type="dxa"/>
            <w:shd w:val="clear" w:color="auto" w:fill="FFFFFF" w:themeFill="background1"/>
          </w:tcPr>
          <w:p w:rsidR="00ED24B5" w:rsidRPr="002F17B5" w:rsidRDefault="00ED24B5" w:rsidP="0041278E">
            <w:pPr>
              <w:tabs>
                <w:tab w:val="num" w:pos="0"/>
              </w:tabs>
              <w:spacing w:after="60"/>
              <w:jc w:val="right"/>
            </w:pPr>
            <w:r w:rsidRPr="002F17B5">
              <w:t>3.</w:t>
            </w:r>
            <w:r>
              <w:t>7</w:t>
            </w:r>
          </w:p>
        </w:tc>
      </w:tr>
      <w:tr w:rsidR="00ED24B5" w:rsidRPr="002F17B5" w:rsidTr="006F67FE">
        <w:tc>
          <w:tcPr>
            <w:tcW w:w="4536" w:type="dxa"/>
            <w:shd w:val="clear" w:color="auto" w:fill="FFFFFF" w:themeFill="background1"/>
          </w:tcPr>
          <w:p w:rsidR="00ED24B5" w:rsidRPr="002F17B5" w:rsidRDefault="00ED24B5" w:rsidP="00AD5D5C">
            <w:pPr>
              <w:tabs>
                <w:tab w:val="num" w:pos="0"/>
              </w:tabs>
              <w:spacing w:after="60"/>
            </w:pPr>
            <w:r w:rsidRPr="002F17B5">
              <w:t>Environment</w:t>
            </w:r>
          </w:p>
        </w:tc>
        <w:tc>
          <w:tcPr>
            <w:tcW w:w="1843" w:type="dxa"/>
            <w:shd w:val="clear" w:color="auto" w:fill="FFFFFF" w:themeFill="background1"/>
          </w:tcPr>
          <w:p w:rsidR="00ED24B5" w:rsidRPr="002F17B5" w:rsidRDefault="00ED24B5" w:rsidP="0041278E">
            <w:pPr>
              <w:tabs>
                <w:tab w:val="num" w:pos="0"/>
              </w:tabs>
              <w:spacing w:after="60"/>
              <w:jc w:val="right"/>
            </w:pPr>
            <w:r>
              <w:t>115</w:t>
            </w:r>
            <w:r w:rsidRPr="002F17B5">
              <w:t>.</w:t>
            </w:r>
            <w:r>
              <w:t>9</w:t>
            </w:r>
          </w:p>
        </w:tc>
      </w:tr>
      <w:tr w:rsidR="00ED24B5" w:rsidRPr="002F17B5" w:rsidTr="006F67FE">
        <w:tc>
          <w:tcPr>
            <w:tcW w:w="4536" w:type="dxa"/>
            <w:shd w:val="clear" w:color="auto" w:fill="FFFFFF" w:themeFill="background1"/>
          </w:tcPr>
          <w:p w:rsidR="00ED24B5" w:rsidRPr="002F17B5" w:rsidRDefault="00ED24B5" w:rsidP="00AD5D5C">
            <w:pPr>
              <w:tabs>
                <w:tab w:val="num" w:pos="0"/>
              </w:tabs>
              <w:spacing w:after="60"/>
            </w:pPr>
            <w:r w:rsidRPr="002F17B5">
              <w:t>Resources</w:t>
            </w:r>
          </w:p>
        </w:tc>
        <w:tc>
          <w:tcPr>
            <w:tcW w:w="1843" w:type="dxa"/>
            <w:shd w:val="clear" w:color="auto" w:fill="FFFFFF" w:themeFill="background1"/>
          </w:tcPr>
          <w:p w:rsidR="00ED24B5" w:rsidRPr="002F17B5" w:rsidRDefault="00ED24B5" w:rsidP="0041278E">
            <w:pPr>
              <w:tabs>
                <w:tab w:val="num" w:pos="0"/>
              </w:tabs>
              <w:spacing w:after="60"/>
              <w:jc w:val="right"/>
            </w:pPr>
            <w:r w:rsidRPr="002F17B5">
              <w:t>2.</w:t>
            </w:r>
            <w:r>
              <w:t>3</w:t>
            </w:r>
          </w:p>
        </w:tc>
      </w:tr>
      <w:tr w:rsidR="00ED24B5" w:rsidRPr="002F17B5" w:rsidTr="006F67FE">
        <w:trPr>
          <w:trHeight w:val="366"/>
        </w:trPr>
        <w:tc>
          <w:tcPr>
            <w:tcW w:w="4536" w:type="dxa"/>
            <w:shd w:val="clear" w:color="auto" w:fill="FFFFFF" w:themeFill="background1"/>
          </w:tcPr>
          <w:p w:rsidR="00ED24B5" w:rsidRPr="002F17B5" w:rsidRDefault="00ED24B5" w:rsidP="00AD5D5C">
            <w:pPr>
              <w:tabs>
                <w:tab w:val="num" w:pos="0"/>
              </w:tabs>
              <w:spacing w:after="60"/>
              <w:rPr>
                <w:b/>
              </w:rPr>
            </w:pPr>
            <w:r w:rsidRPr="002F17B5">
              <w:rPr>
                <w:b/>
              </w:rPr>
              <w:t>Total</w:t>
            </w:r>
          </w:p>
        </w:tc>
        <w:tc>
          <w:tcPr>
            <w:tcW w:w="1843" w:type="dxa"/>
            <w:shd w:val="clear" w:color="auto" w:fill="FFFFFF" w:themeFill="background1"/>
          </w:tcPr>
          <w:p w:rsidR="00ED24B5" w:rsidRPr="002F17B5" w:rsidRDefault="00ED24B5" w:rsidP="0041278E">
            <w:pPr>
              <w:tabs>
                <w:tab w:val="num" w:pos="0"/>
              </w:tabs>
              <w:spacing w:after="60"/>
              <w:jc w:val="right"/>
            </w:pPr>
            <w:r>
              <w:rPr>
                <w:b/>
              </w:rPr>
              <w:t>142</w:t>
            </w:r>
            <w:r w:rsidRPr="002F17B5">
              <w:rPr>
                <w:b/>
              </w:rPr>
              <w:t>.</w:t>
            </w:r>
            <w:r>
              <w:rPr>
                <w:b/>
              </w:rPr>
              <w:t>0</w:t>
            </w:r>
          </w:p>
        </w:tc>
      </w:tr>
    </w:tbl>
    <w:p w:rsidR="00B70B4B" w:rsidRPr="002F17B5" w:rsidRDefault="00B70B4B" w:rsidP="00A92FC8">
      <w:pPr>
        <w:pStyle w:val="Heading3-numbered"/>
        <w:numPr>
          <w:ilvl w:val="0"/>
          <w:numId w:val="0"/>
        </w:numPr>
        <w:spacing w:after="0"/>
        <w:ind w:left="360"/>
        <w:rPr>
          <w:sz w:val="16"/>
        </w:rPr>
      </w:pPr>
    </w:p>
    <w:p w:rsidR="000068C0" w:rsidRPr="002F17B5" w:rsidRDefault="000068C0">
      <w:pPr>
        <w:pStyle w:val="Heading3-numbered"/>
        <w:numPr>
          <w:ilvl w:val="0"/>
          <w:numId w:val="0"/>
        </w:numPr>
        <w:ind w:left="360"/>
        <w:rPr>
          <w:sz w:val="26"/>
        </w:rPr>
      </w:pPr>
    </w:p>
    <w:p w:rsidR="00F149C0" w:rsidRPr="002F17B5" w:rsidRDefault="00F149C0">
      <w:pPr>
        <w:pStyle w:val="Heading3-numbered"/>
        <w:numPr>
          <w:ilvl w:val="0"/>
          <w:numId w:val="0"/>
        </w:numPr>
        <w:ind w:left="360"/>
        <w:rPr>
          <w:sz w:val="16"/>
        </w:rPr>
      </w:pPr>
    </w:p>
    <w:p w:rsidR="00A31312" w:rsidRPr="002F17B5" w:rsidRDefault="00286D86" w:rsidP="005855CE">
      <w:pPr>
        <w:pStyle w:val="Heading3-numbered"/>
        <w:rPr>
          <w:i w:val="0"/>
        </w:rPr>
      </w:pPr>
      <w:r w:rsidRPr="002F17B5">
        <w:rPr>
          <w:i w:val="0"/>
        </w:rPr>
        <w:t xml:space="preserve">  Trading operations – Lancashire County Commercial Group</w:t>
      </w:r>
    </w:p>
    <w:p w:rsidR="00F149C0" w:rsidRPr="002F17B5" w:rsidRDefault="00F149C0" w:rsidP="00F149C0">
      <w:pPr>
        <w:pStyle w:val="Heading3-numbered"/>
        <w:numPr>
          <w:ilvl w:val="0"/>
          <w:numId w:val="0"/>
        </w:numPr>
        <w:ind w:left="360"/>
        <w:rPr>
          <w:i w:val="0"/>
          <w:sz w:val="14"/>
        </w:rPr>
      </w:pPr>
    </w:p>
    <w:p w:rsidR="00A31312" w:rsidRPr="002F17B5" w:rsidRDefault="00A31312" w:rsidP="00A31312">
      <w:pPr>
        <w:spacing w:after="240"/>
      </w:pPr>
      <w:r w:rsidRPr="002F17B5">
        <w:t>Our three major trading operations are:</w:t>
      </w:r>
    </w:p>
    <w:p w:rsidR="00A31312" w:rsidRPr="002F17B5" w:rsidRDefault="00A31312" w:rsidP="00F149C0">
      <w:pPr>
        <w:numPr>
          <w:ilvl w:val="0"/>
          <w:numId w:val="54"/>
        </w:numPr>
        <w:tabs>
          <w:tab w:val="clear" w:pos="360"/>
          <w:tab w:val="num" w:pos="1080"/>
        </w:tabs>
        <w:autoSpaceDE/>
        <w:autoSpaceDN/>
        <w:adjustRightInd/>
        <w:spacing w:before="0"/>
        <w:ind w:left="284" w:firstLine="0"/>
        <w:jc w:val="left"/>
      </w:pPr>
      <w:r w:rsidRPr="002F17B5">
        <w:t>Care Services;</w:t>
      </w:r>
    </w:p>
    <w:p w:rsidR="00A31312" w:rsidRPr="002F17B5" w:rsidRDefault="00A31312" w:rsidP="00F149C0">
      <w:pPr>
        <w:numPr>
          <w:ilvl w:val="0"/>
          <w:numId w:val="54"/>
        </w:numPr>
        <w:tabs>
          <w:tab w:val="clear" w:pos="360"/>
          <w:tab w:val="num" w:pos="1080"/>
        </w:tabs>
        <w:autoSpaceDE/>
        <w:autoSpaceDN/>
        <w:adjustRightInd/>
        <w:spacing w:before="0"/>
        <w:ind w:left="284" w:firstLine="0"/>
        <w:jc w:val="left"/>
      </w:pPr>
      <w:r w:rsidRPr="002F17B5">
        <w:t>Catering Services; and</w:t>
      </w:r>
    </w:p>
    <w:p w:rsidR="00A31312" w:rsidRPr="002F17B5" w:rsidRDefault="00A31312" w:rsidP="00F149C0">
      <w:pPr>
        <w:numPr>
          <w:ilvl w:val="0"/>
          <w:numId w:val="54"/>
        </w:numPr>
        <w:tabs>
          <w:tab w:val="clear" w:pos="360"/>
          <w:tab w:val="left" w:pos="1080"/>
          <w:tab w:val="num" w:pos="1440"/>
        </w:tabs>
        <w:autoSpaceDE/>
        <w:autoSpaceDN/>
        <w:adjustRightInd/>
        <w:spacing w:before="0"/>
        <w:ind w:left="284" w:firstLine="0"/>
        <w:jc w:val="left"/>
      </w:pPr>
      <w:r w:rsidRPr="002F17B5">
        <w:t>Operational Services.</w:t>
      </w:r>
    </w:p>
    <w:p w:rsidR="00F149C0" w:rsidRPr="002F17B5" w:rsidRDefault="00F149C0" w:rsidP="00F149C0">
      <w:pPr>
        <w:tabs>
          <w:tab w:val="left" w:pos="1080"/>
        </w:tabs>
        <w:autoSpaceDE/>
        <w:autoSpaceDN/>
        <w:adjustRightInd/>
        <w:spacing w:before="0"/>
        <w:ind w:left="284"/>
        <w:jc w:val="left"/>
        <w:rPr>
          <w:sz w:val="20"/>
        </w:rPr>
      </w:pPr>
    </w:p>
    <w:p w:rsidR="00A31312" w:rsidRPr="002F17B5" w:rsidRDefault="00A31312" w:rsidP="00AF7F9C">
      <w:pPr>
        <w:spacing w:after="240"/>
        <w:ind w:left="170"/>
      </w:pPr>
      <w:r w:rsidRPr="002F17B5">
        <w:t xml:space="preserve">In </w:t>
      </w:r>
      <w:r w:rsidR="00CD4CF3" w:rsidRPr="002F17B5">
        <w:t>2013/14</w:t>
      </w:r>
      <w:r w:rsidRPr="002F17B5">
        <w:t xml:space="preserve"> these trading operations made a total ope</w:t>
      </w:r>
      <w:r w:rsidR="00445FDE" w:rsidRPr="002F17B5">
        <w:t>rating surplus of £0.5</w:t>
      </w:r>
      <w:r w:rsidR="00923A5A" w:rsidRPr="002F17B5">
        <w:t xml:space="preserve"> million as detailed below:</w:t>
      </w:r>
    </w:p>
    <w:p w:rsidR="00F149C0" w:rsidRPr="002F17B5" w:rsidRDefault="00F149C0" w:rsidP="00AF7F9C">
      <w:pPr>
        <w:spacing w:after="240"/>
        <w:ind w:left="170"/>
        <w:rPr>
          <w:sz w:val="2"/>
        </w:rPr>
      </w:pPr>
    </w:p>
    <w:tbl>
      <w:tblPr>
        <w:tblW w:w="9327" w:type="dxa"/>
        <w:tblInd w:w="108" w:type="dxa"/>
        <w:shd w:val="clear" w:color="auto" w:fill="FFFFFF" w:themeFill="background1"/>
        <w:tblLayout w:type="fixed"/>
        <w:tblLook w:val="0000" w:firstRow="0" w:lastRow="0" w:firstColumn="0" w:lastColumn="0" w:noHBand="0" w:noVBand="0"/>
      </w:tblPr>
      <w:tblGrid>
        <w:gridCol w:w="2694"/>
        <w:gridCol w:w="1559"/>
        <w:gridCol w:w="1559"/>
        <w:gridCol w:w="1701"/>
        <w:gridCol w:w="1814"/>
      </w:tblGrid>
      <w:tr w:rsidR="00A31312" w:rsidRPr="002F17B5" w:rsidTr="00A92FC8">
        <w:trPr>
          <w:trHeight w:val="836"/>
        </w:trPr>
        <w:tc>
          <w:tcPr>
            <w:tcW w:w="2694" w:type="dxa"/>
            <w:shd w:val="clear" w:color="auto" w:fill="FFFFFF" w:themeFill="background1"/>
          </w:tcPr>
          <w:p w:rsidR="00A31312" w:rsidRPr="002F17B5" w:rsidRDefault="00A31312" w:rsidP="00F149C0">
            <w:pPr>
              <w:spacing w:before="100" w:beforeAutospacing="1" w:after="140"/>
              <w:rPr>
                <w:b/>
                <w:sz w:val="28"/>
              </w:rPr>
            </w:pPr>
          </w:p>
        </w:tc>
        <w:tc>
          <w:tcPr>
            <w:tcW w:w="1559" w:type="dxa"/>
            <w:shd w:val="clear" w:color="auto" w:fill="FFFFFF" w:themeFill="background1"/>
            <w:vAlign w:val="center"/>
          </w:tcPr>
          <w:p w:rsidR="00A31312" w:rsidRPr="002F17B5" w:rsidRDefault="00A31312" w:rsidP="00F149C0">
            <w:pPr>
              <w:spacing w:before="100" w:beforeAutospacing="1" w:after="140"/>
              <w:jc w:val="right"/>
              <w:rPr>
                <w:b/>
              </w:rPr>
            </w:pPr>
            <w:r w:rsidRPr="002F17B5">
              <w:rPr>
                <w:b/>
              </w:rPr>
              <w:t>Turnover</w:t>
            </w:r>
          </w:p>
        </w:tc>
        <w:tc>
          <w:tcPr>
            <w:tcW w:w="1559" w:type="dxa"/>
            <w:shd w:val="clear" w:color="auto" w:fill="FFFFFF" w:themeFill="background1"/>
            <w:vAlign w:val="center"/>
          </w:tcPr>
          <w:p w:rsidR="00A31312" w:rsidRPr="002F17B5" w:rsidRDefault="00A31312" w:rsidP="00F149C0">
            <w:pPr>
              <w:spacing w:before="100" w:beforeAutospacing="1" w:after="140"/>
              <w:jc w:val="right"/>
              <w:rPr>
                <w:b/>
              </w:rPr>
            </w:pPr>
            <w:r w:rsidRPr="002F17B5">
              <w:rPr>
                <w:b/>
              </w:rPr>
              <w:t>Spending</w:t>
            </w:r>
          </w:p>
        </w:tc>
        <w:tc>
          <w:tcPr>
            <w:tcW w:w="1701" w:type="dxa"/>
            <w:shd w:val="clear" w:color="auto" w:fill="FFFFFF" w:themeFill="background1"/>
          </w:tcPr>
          <w:p w:rsidR="00A31312" w:rsidRPr="002F17B5" w:rsidRDefault="00CD4CF3" w:rsidP="00F149C0">
            <w:pPr>
              <w:spacing w:before="100" w:beforeAutospacing="1" w:after="140"/>
              <w:jc w:val="right"/>
              <w:rPr>
                <w:b/>
              </w:rPr>
            </w:pPr>
            <w:r w:rsidRPr="002F17B5">
              <w:rPr>
                <w:b/>
              </w:rPr>
              <w:t>2013/14</w:t>
            </w:r>
            <w:r w:rsidR="00A31312" w:rsidRPr="002F17B5">
              <w:rPr>
                <w:b/>
              </w:rPr>
              <w:t xml:space="preserve"> (Surplus)/</w:t>
            </w:r>
            <w:r w:rsidR="00A31312" w:rsidRPr="002F17B5">
              <w:rPr>
                <w:b/>
              </w:rPr>
              <w:br/>
              <w:t>deficit</w:t>
            </w:r>
          </w:p>
        </w:tc>
        <w:tc>
          <w:tcPr>
            <w:tcW w:w="1814" w:type="dxa"/>
            <w:shd w:val="clear" w:color="auto" w:fill="FFFFFF" w:themeFill="background1"/>
          </w:tcPr>
          <w:p w:rsidR="00A31312" w:rsidRPr="002F17B5" w:rsidRDefault="00CD4CF3" w:rsidP="00F149C0">
            <w:pPr>
              <w:spacing w:before="100" w:beforeAutospacing="1" w:after="140"/>
              <w:jc w:val="right"/>
              <w:rPr>
                <w:b/>
              </w:rPr>
            </w:pPr>
            <w:r w:rsidRPr="002F17B5">
              <w:rPr>
                <w:b/>
              </w:rPr>
              <w:t>2012/13</w:t>
            </w:r>
            <w:r w:rsidR="00A31312" w:rsidRPr="002F17B5">
              <w:rPr>
                <w:b/>
              </w:rPr>
              <w:t xml:space="preserve"> (Surplus)/</w:t>
            </w:r>
            <w:r w:rsidR="00A31312" w:rsidRPr="002F17B5">
              <w:rPr>
                <w:b/>
              </w:rPr>
              <w:br/>
              <w:t>deficit</w:t>
            </w:r>
          </w:p>
        </w:tc>
      </w:tr>
      <w:tr w:rsidR="00A31312" w:rsidRPr="002F17B5" w:rsidTr="00A92FC8">
        <w:trPr>
          <w:trHeight w:val="324"/>
        </w:trPr>
        <w:tc>
          <w:tcPr>
            <w:tcW w:w="2694" w:type="dxa"/>
            <w:shd w:val="clear" w:color="auto" w:fill="FFFFFF" w:themeFill="background1"/>
          </w:tcPr>
          <w:p w:rsidR="00A31312" w:rsidRPr="002F17B5" w:rsidRDefault="00A31312" w:rsidP="00F149C0">
            <w:pPr>
              <w:spacing w:before="100" w:beforeAutospacing="1" w:after="140"/>
              <w:rPr>
                <w:b/>
              </w:rPr>
            </w:pPr>
          </w:p>
        </w:tc>
        <w:tc>
          <w:tcPr>
            <w:tcW w:w="1559" w:type="dxa"/>
            <w:shd w:val="clear" w:color="auto" w:fill="FFFFFF" w:themeFill="background1"/>
          </w:tcPr>
          <w:p w:rsidR="00A31312" w:rsidRPr="002F17B5" w:rsidRDefault="00A31312" w:rsidP="00F149C0">
            <w:pPr>
              <w:pStyle w:val="Footer"/>
              <w:tabs>
                <w:tab w:val="decimal" w:pos="942"/>
              </w:tabs>
              <w:spacing w:before="100" w:beforeAutospacing="1" w:after="140"/>
              <w:jc w:val="right"/>
              <w:rPr>
                <w:b/>
              </w:rPr>
            </w:pPr>
            <w:r w:rsidRPr="002F17B5">
              <w:rPr>
                <w:b/>
              </w:rPr>
              <w:t>£m</w:t>
            </w:r>
          </w:p>
        </w:tc>
        <w:tc>
          <w:tcPr>
            <w:tcW w:w="1559" w:type="dxa"/>
            <w:shd w:val="clear" w:color="auto" w:fill="FFFFFF" w:themeFill="background1"/>
          </w:tcPr>
          <w:p w:rsidR="00A31312" w:rsidRPr="002F17B5" w:rsidRDefault="00A31312" w:rsidP="00F149C0">
            <w:pPr>
              <w:pStyle w:val="Footer"/>
              <w:tabs>
                <w:tab w:val="decimal" w:pos="918"/>
              </w:tabs>
              <w:spacing w:before="100" w:beforeAutospacing="1" w:after="140"/>
              <w:jc w:val="right"/>
              <w:rPr>
                <w:b/>
              </w:rPr>
            </w:pPr>
            <w:r w:rsidRPr="002F17B5">
              <w:rPr>
                <w:b/>
              </w:rPr>
              <w:t>£m</w:t>
            </w:r>
          </w:p>
        </w:tc>
        <w:tc>
          <w:tcPr>
            <w:tcW w:w="1701" w:type="dxa"/>
            <w:shd w:val="clear" w:color="auto" w:fill="FFFFFF" w:themeFill="background1"/>
          </w:tcPr>
          <w:p w:rsidR="00A31312" w:rsidRPr="002F17B5" w:rsidRDefault="00A31312" w:rsidP="00F149C0">
            <w:pPr>
              <w:pStyle w:val="Footer"/>
              <w:tabs>
                <w:tab w:val="decimal" w:pos="803"/>
              </w:tabs>
              <w:spacing w:before="100" w:beforeAutospacing="1" w:after="140"/>
              <w:jc w:val="right"/>
              <w:rPr>
                <w:b/>
              </w:rPr>
            </w:pPr>
            <w:r w:rsidRPr="002F17B5">
              <w:rPr>
                <w:b/>
              </w:rPr>
              <w:t>£m</w:t>
            </w:r>
          </w:p>
        </w:tc>
        <w:tc>
          <w:tcPr>
            <w:tcW w:w="1814" w:type="dxa"/>
            <w:shd w:val="clear" w:color="auto" w:fill="FFFFFF" w:themeFill="background1"/>
          </w:tcPr>
          <w:p w:rsidR="00A31312" w:rsidRPr="002F17B5" w:rsidRDefault="00A31312" w:rsidP="00F149C0">
            <w:pPr>
              <w:pStyle w:val="Footer"/>
              <w:tabs>
                <w:tab w:val="decimal" w:pos="803"/>
              </w:tabs>
              <w:spacing w:before="100" w:beforeAutospacing="1" w:after="140"/>
              <w:jc w:val="right"/>
              <w:rPr>
                <w:b/>
              </w:rPr>
            </w:pPr>
            <w:r w:rsidRPr="002F17B5">
              <w:rPr>
                <w:b/>
              </w:rPr>
              <w:t>£m</w:t>
            </w:r>
          </w:p>
        </w:tc>
      </w:tr>
      <w:tr w:rsidR="00A31312" w:rsidRPr="002F17B5" w:rsidTr="000739A6">
        <w:tc>
          <w:tcPr>
            <w:tcW w:w="2694" w:type="dxa"/>
            <w:shd w:val="clear" w:color="auto" w:fill="FFFFFF" w:themeFill="background1"/>
          </w:tcPr>
          <w:p w:rsidR="00A31312" w:rsidRPr="002F17B5" w:rsidRDefault="00A31312" w:rsidP="00F149C0">
            <w:pPr>
              <w:spacing w:before="100" w:beforeAutospacing="1" w:after="140"/>
            </w:pPr>
            <w:r w:rsidRPr="002F17B5">
              <w:t>Care Services</w:t>
            </w:r>
          </w:p>
        </w:tc>
        <w:tc>
          <w:tcPr>
            <w:tcW w:w="1559" w:type="dxa"/>
            <w:shd w:val="clear" w:color="auto" w:fill="FFFFFF" w:themeFill="background1"/>
            <w:vAlign w:val="center"/>
          </w:tcPr>
          <w:p w:rsidR="00A31312" w:rsidRPr="002F17B5" w:rsidRDefault="00C87BDD" w:rsidP="00F149C0">
            <w:pPr>
              <w:pStyle w:val="Footer"/>
              <w:tabs>
                <w:tab w:val="decimal" w:pos="942"/>
              </w:tabs>
              <w:spacing w:before="100" w:beforeAutospacing="1" w:after="140"/>
              <w:jc w:val="right"/>
            </w:pPr>
            <w:r w:rsidRPr="002F17B5">
              <w:t>(22.1)</w:t>
            </w:r>
          </w:p>
        </w:tc>
        <w:tc>
          <w:tcPr>
            <w:tcW w:w="1559" w:type="dxa"/>
            <w:shd w:val="clear" w:color="auto" w:fill="FFFFFF" w:themeFill="background1"/>
            <w:vAlign w:val="center"/>
          </w:tcPr>
          <w:p w:rsidR="00A31312" w:rsidRPr="002F17B5" w:rsidRDefault="00C87BDD" w:rsidP="00F149C0">
            <w:pPr>
              <w:pStyle w:val="Footer"/>
              <w:tabs>
                <w:tab w:val="decimal" w:pos="918"/>
              </w:tabs>
              <w:spacing w:before="100" w:beforeAutospacing="1" w:after="140"/>
              <w:jc w:val="right"/>
            </w:pPr>
            <w:r w:rsidRPr="002F17B5">
              <w:t>23.4</w:t>
            </w:r>
          </w:p>
        </w:tc>
        <w:tc>
          <w:tcPr>
            <w:tcW w:w="1701" w:type="dxa"/>
            <w:shd w:val="clear" w:color="auto" w:fill="FFFFFF" w:themeFill="background1"/>
            <w:vAlign w:val="center"/>
          </w:tcPr>
          <w:p w:rsidR="00A31312" w:rsidRPr="002F17B5" w:rsidRDefault="00445FDE" w:rsidP="00F149C0">
            <w:pPr>
              <w:pStyle w:val="Footer"/>
              <w:tabs>
                <w:tab w:val="decimal" w:pos="803"/>
              </w:tabs>
              <w:spacing w:before="100" w:beforeAutospacing="1" w:after="140"/>
              <w:jc w:val="right"/>
            </w:pPr>
            <w:r w:rsidRPr="002F17B5">
              <w:t>1.3</w:t>
            </w:r>
          </w:p>
        </w:tc>
        <w:tc>
          <w:tcPr>
            <w:tcW w:w="1814" w:type="dxa"/>
            <w:shd w:val="clear" w:color="auto" w:fill="FFFFFF" w:themeFill="background1"/>
            <w:vAlign w:val="center"/>
          </w:tcPr>
          <w:p w:rsidR="00A31312" w:rsidRPr="002F17B5" w:rsidRDefault="00A9597D" w:rsidP="00F149C0">
            <w:pPr>
              <w:pStyle w:val="Footer"/>
              <w:tabs>
                <w:tab w:val="decimal" w:pos="803"/>
              </w:tabs>
              <w:spacing w:before="100" w:beforeAutospacing="1" w:after="140"/>
              <w:jc w:val="right"/>
            </w:pPr>
            <w:r w:rsidRPr="002F17B5">
              <w:t>1.2</w:t>
            </w:r>
          </w:p>
        </w:tc>
      </w:tr>
      <w:tr w:rsidR="00A31312" w:rsidRPr="002F17B5" w:rsidTr="00445FDE">
        <w:tc>
          <w:tcPr>
            <w:tcW w:w="2694" w:type="dxa"/>
            <w:shd w:val="clear" w:color="auto" w:fill="FFFFFF" w:themeFill="background1"/>
          </w:tcPr>
          <w:p w:rsidR="00A31312" w:rsidRPr="002F17B5" w:rsidRDefault="00A31312" w:rsidP="00F149C0">
            <w:pPr>
              <w:spacing w:before="100" w:beforeAutospacing="1" w:after="140"/>
            </w:pPr>
            <w:r w:rsidRPr="002F17B5">
              <w:t>Catering Services</w:t>
            </w:r>
          </w:p>
        </w:tc>
        <w:tc>
          <w:tcPr>
            <w:tcW w:w="1559" w:type="dxa"/>
            <w:shd w:val="clear" w:color="auto" w:fill="FFFFFF" w:themeFill="background1"/>
            <w:vAlign w:val="center"/>
          </w:tcPr>
          <w:p w:rsidR="00A31312" w:rsidRPr="002F17B5" w:rsidRDefault="00C87BDD" w:rsidP="00F149C0">
            <w:pPr>
              <w:tabs>
                <w:tab w:val="decimal" w:pos="942"/>
              </w:tabs>
              <w:spacing w:before="100" w:beforeAutospacing="1" w:after="140"/>
              <w:jc w:val="right"/>
            </w:pPr>
            <w:r w:rsidRPr="002F17B5">
              <w:t>(23.0)</w:t>
            </w:r>
          </w:p>
        </w:tc>
        <w:tc>
          <w:tcPr>
            <w:tcW w:w="1559" w:type="dxa"/>
            <w:shd w:val="clear" w:color="auto" w:fill="FFFFFF" w:themeFill="background1"/>
            <w:vAlign w:val="center"/>
          </w:tcPr>
          <w:p w:rsidR="00A31312" w:rsidRPr="002F17B5" w:rsidRDefault="00C87BDD" w:rsidP="00F149C0">
            <w:pPr>
              <w:tabs>
                <w:tab w:val="decimal" w:pos="918"/>
              </w:tabs>
              <w:spacing w:before="100" w:beforeAutospacing="1" w:after="140"/>
              <w:jc w:val="right"/>
            </w:pPr>
            <w:r w:rsidRPr="002F17B5">
              <w:t>22.4</w:t>
            </w:r>
          </w:p>
        </w:tc>
        <w:tc>
          <w:tcPr>
            <w:tcW w:w="1701" w:type="dxa"/>
            <w:shd w:val="clear" w:color="auto" w:fill="FFFFFF" w:themeFill="background1"/>
            <w:vAlign w:val="center"/>
          </w:tcPr>
          <w:p w:rsidR="00A31312" w:rsidRPr="002F17B5" w:rsidRDefault="00445FDE" w:rsidP="00F149C0">
            <w:pPr>
              <w:tabs>
                <w:tab w:val="decimal" w:pos="803"/>
              </w:tabs>
              <w:spacing w:before="100" w:beforeAutospacing="1" w:after="140"/>
              <w:jc w:val="right"/>
            </w:pPr>
            <w:r w:rsidRPr="002F17B5">
              <w:t>(0.6)</w:t>
            </w:r>
          </w:p>
        </w:tc>
        <w:tc>
          <w:tcPr>
            <w:tcW w:w="1814" w:type="dxa"/>
            <w:shd w:val="clear" w:color="auto" w:fill="FFFFFF" w:themeFill="background1"/>
            <w:vAlign w:val="center"/>
          </w:tcPr>
          <w:p w:rsidR="00A31312" w:rsidRPr="002F17B5" w:rsidRDefault="00A9597D" w:rsidP="00F149C0">
            <w:pPr>
              <w:tabs>
                <w:tab w:val="decimal" w:pos="803"/>
              </w:tabs>
              <w:spacing w:before="100" w:beforeAutospacing="1" w:after="140"/>
              <w:jc w:val="right"/>
            </w:pPr>
            <w:r w:rsidRPr="002F17B5">
              <w:t>(0.5)</w:t>
            </w:r>
          </w:p>
        </w:tc>
      </w:tr>
      <w:tr w:rsidR="00A31312" w:rsidRPr="002F17B5" w:rsidTr="000739A6">
        <w:tc>
          <w:tcPr>
            <w:tcW w:w="2694" w:type="dxa"/>
            <w:shd w:val="clear" w:color="auto" w:fill="FFFFFF" w:themeFill="background1"/>
          </w:tcPr>
          <w:p w:rsidR="00A31312" w:rsidRPr="002F17B5" w:rsidRDefault="00A31312" w:rsidP="00F149C0">
            <w:pPr>
              <w:spacing w:before="100" w:beforeAutospacing="1" w:after="140"/>
            </w:pPr>
            <w:r w:rsidRPr="002F17B5">
              <w:t>Operational Services</w:t>
            </w:r>
          </w:p>
        </w:tc>
        <w:tc>
          <w:tcPr>
            <w:tcW w:w="1559" w:type="dxa"/>
            <w:shd w:val="clear" w:color="auto" w:fill="FFFFFF" w:themeFill="background1"/>
          </w:tcPr>
          <w:p w:rsidR="00A31312" w:rsidRPr="002F17B5" w:rsidRDefault="00C87BDD" w:rsidP="00F149C0">
            <w:pPr>
              <w:tabs>
                <w:tab w:val="decimal" w:pos="942"/>
              </w:tabs>
              <w:spacing w:before="100" w:beforeAutospacing="1" w:after="140"/>
              <w:jc w:val="right"/>
            </w:pPr>
            <w:r w:rsidRPr="002F17B5">
              <w:t>(52.5)</w:t>
            </w:r>
          </w:p>
        </w:tc>
        <w:tc>
          <w:tcPr>
            <w:tcW w:w="1559" w:type="dxa"/>
            <w:shd w:val="clear" w:color="auto" w:fill="FFFFFF" w:themeFill="background1"/>
          </w:tcPr>
          <w:p w:rsidR="00A31312" w:rsidRPr="002F17B5" w:rsidRDefault="00C87BDD" w:rsidP="00F149C0">
            <w:pPr>
              <w:tabs>
                <w:tab w:val="decimal" w:pos="918"/>
              </w:tabs>
              <w:spacing w:before="100" w:beforeAutospacing="1" w:after="140"/>
              <w:jc w:val="right"/>
            </w:pPr>
            <w:r w:rsidRPr="002F17B5">
              <w:t>51.3</w:t>
            </w:r>
          </w:p>
        </w:tc>
        <w:tc>
          <w:tcPr>
            <w:tcW w:w="1701" w:type="dxa"/>
            <w:shd w:val="clear" w:color="auto" w:fill="FFFFFF" w:themeFill="background1"/>
            <w:vAlign w:val="center"/>
          </w:tcPr>
          <w:p w:rsidR="00A31312" w:rsidRPr="002F17B5" w:rsidRDefault="00C87BDD" w:rsidP="00F149C0">
            <w:pPr>
              <w:tabs>
                <w:tab w:val="decimal" w:pos="803"/>
              </w:tabs>
              <w:spacing w:before="100" w:beforeAutospacing="1" w:after="140"/>
              <w:jc w:val="right"/>
            </w:pPr>
            <w:r w:rsidRPr="002F17B5">
              <w:t>(1.2</w:t>
            </w:r>
            <w:r w:rsidR="00445FDE" w:rsidRPr="002F17B5">
              <w:t>)</w:t>
            </w:r>
          </w:p>
        </w:tc>
        <w:tc>
          <w:tcPr>
            <w:tcW w:w="1814" w:type="dxa"/>
            <w:shd w:val="clear" w:color="auto" w:fill="FFFFFF" w:themeFill="background1"/>
            <w:vAlign w:val="center"/>
          </w:tcPr>
          <w:p w:rsidR="00A31312" w:rsidRPr="002F17B5" w:rsidRDefault="00A9597D" w:rsidP="00F149C0">
            <w:pPr>
              <w:tabs>
                <w:tab w:val="decimal" w:pos="803"/>
              </w:tabs>
              <w:spacing w:before="100" w:beforeAutospacing="1" w:after="140"/>
              <w:jc w:val="right"/>
            </w:pPr>
            <w:r w:rsidRPr="002F17B5">
              <w:t>(1.3)</w:t>
            </w:r>
          </w:p>
        </w:tc>
      </w:tr>
      <w:tr w:rsidR="00A31312" w:rsidRPr="002F17B5" w:rsidTr="000739A6">
        <w:tc>
          <w:tcPr>
            <w:tcW w:w="2694" w:type="dxa"/>
            <w:shd w:val="clear" w:color="auto" w:fill="FFFFFF" w:themeFill="background1"/>
            <w:vAlign w:val="center"/>
          </w:tcPr>
          <w:p w:rsidR="00A31312" w:rsidRPr="002F17B5" w:rsidRDefault="00A31312" w:rsidP="00657CCB">
            <w:pPr>
              <w:spacing w:before="100" w:beforeAutospacing="1" w:after="140"/>
              <w:rPr>
                <w:b/>
              </w:rPr>
            </w:pPr>
            <w:r w:rsidRPr="002F17B5">
              <w:rPr>
                <w:b/>
              </w:rPr>
              <w:t>Total</w:t>
            </w:r>
          </w:p>
        </w:tc>
        <w:tc>
          <w:tcPr>
            <w:tcW w:w="1559" w:type="dxa"/>
            <w:shd w:val="clear" w:color="auto" w:fill="FFFFFF" w:themeFill="background1"/>
            <w:vAlign w:val="center"/>
          </w:tcPr>
          <w:p w:rsidR="00A31312" w:rsidRPr="002F17B5" w:rsidRDefault="00C87BDD" w:rsidP="00F149C0">
            <w:pPr>
              <w:tabs>
                <w:tab w:val="decimal" w:pos="942"/>
              </w:tabs>
              <w:spacing w:before="100" w:beforeAutospacing="1" w:after="140"/>
              <w:jc w:val="right"/>
              <w:rPr>
                <w:b/>
              </w:rPr>
            </w:pPr>
            <w:r w:rsidRPr="002F17B5">
              <w:rPr>
                <w:b/>
              </w:rPr>
              <w:t>(97.6)</w:t>
            </w:r>
          </w:p>
        </w:tc>
        <w:tc>
          <w:tcPr>
            <w:tcW w:w="1559" w:type="dxa"/>
            <w:shd w:val="clear" w:color="auto" w:fill="FFFFFF" w:themeFill="background1"/>
            <w:vAlign w:val="center"/>
          </w:tcPr>
          <w:p w:rsidR="00A31312" w:rsidRPr="002F17B5" w:rsidRDefault="00C87BDD" w:rsidP="00F149C0">
            <w:pPr>
              <w:tabs>
                <w:tab w:val="decimal" w:pos="918"/>
              </w:tabs>
              <w:spacing w:before="100" w:beforeAutospacing="1" w:after="140"/>
              <w:jc w:val="right"/>
              <w:rPr>
                <w:b/>
              </w:rPr>
            </w:pPr>
            <w:r w:rsidRPr="002F17B5">
              <w:rPr>
                <w:b/>
              </w:rPr>
              <w:t>97.1</w:t>
            </w:r>
          </w:p>
        </w:tc>
        <w:tc>
          <w:tcPr>
            <w:tcW w:w="1701" w:type="dxa"/>
            <w:shd w:val="clear" w:color="auto" w:fill="FFFFFF" w:themeFill="background1"/>
            <w:vAlign w:val="center"/>
          </w:tcPr>
          <w:p w:rsidR="00A31312" w:rsidRPr="002F17B5" w:rsidRDefault="00C87BDD" w:rsidP="00F149C0">
            <w:pPr>
              <w:tabs>
                <w:tab w:val="decimal" w:pos="803"/>
              </w:tabs>
              <w:spacing w:before="100" w:beforeAutospacing="1" w:after="140"/>
              <w:jc w:val="right"/>
              <w:rPr>
                <w:b/>
              </w:rPr>
            </w:pPr>
            <w:r w:rsidRPr="002F17B5">
              <w:rPr>
                <w:b/>
              </w:rPr>
              <w:t>(0.5</w:t>
            </w:r>
            <w:r w:rsidR="00445FDE" w:rsidRPr="002F17B5">
              <w:rPr>
                <w:b/>
              </w:rPr>
              <w:t>)</w:t>
            </w:r>
          </w:p>
        </w:tc>
        <w:tc>
          <w:tcPr>
            <w:tcW w:w="1814" w:type="dxa"/>
            <w:shd w:val="clear" w:color="auto" w:fill="FFFFFF" w:themeFill="background1"/>
            <w:vAlign w:val="center"/>
          </w:tcPr>
          <w:p w:rsidR="00A31312" w:rsidRPr="002F17B5" w:rsidRDefault="00A9597D" w:rsidP="00F149C0">
            <w:pPr>
              <w:tabs>
                <w:tab w:val="decimal" w:pos="803"/>
              </w:tabs>
              <w:spacing w:before="100" w:beforeAutospacing="1" w:after="140"/>
              <w:jc w:val="right"/>
              <w:rPr>
                <w:b/>
              </w:rPr>
            </w:pPr>
            <w:r w:rsidRPr="002F17B5">
              <w:rPr>
                <w:b/>
              </w:rPr>
              <w:t>(0.6)</w:t>
            </w:r>
          </w:p>
        </w:tc>
      </w:tr>
    </w:tbl>
    <w:p w:rsidR="00F149C0" w:rsidRPr="002F17B5" w:rsidRDefault="00F149C0" w:rsidP="00A31312">
      <w:pPr>
        <w:spacing w:after="240"/>
      </w:pPr>
    </w:p>
    <w:p w:rsidR="00A31312" w:rsidRPr="002F17B5" w:rsidRDefault="00A31312" w:rsidP="00A31312">
      <w:pPr>
        <w:spacing w:after="240"/>
      </w:pPr>
      <w:r w:rsidRPr="002F17B5">
        <w:t xml:space="preserve">More information on our major trading operations’ services for </w:t>
      </w:r>
      <w:r w:rsidR="00CD4CF3" w:rsidRPr="002F17B5">
        <w:t>2013/14</w:t>
      </w:r>
      <w:r w:rsidRPr="002F17B5">
        <w:t xml:space="preserve"> is given below. </w:t>
      </w:r>
    </w:p>
    <w:p w:rsidR="00A31312" w:rsidRPr="002F17B5" w:rsidRDefault="00675319" w:rsidP="00A31312">
      <w:pPr>
        <w:spacing w:after="240"/>
        <w:rPr>
          <w:b/>
        </w:rPr>
      </w:pPr>
      <w:r w:rsidRPr="002F17B5">
        <w:rPr>
          <w:b/>
        </w:rPr>
        <w:t>C</w:t>
      </w:r>
      <w:r w:rsidR="00A31312" w:rsidRPr="002F17B5">
        <w:rPr>
          <w:b/>
        </w:rPr>
        <w:t>are Services</w:t>
      </w:r>
    </w:p>
    <w:p w:rsidR="00A31312" w:rsidRPr="002F17B5" w:rsidRDefault="00AB7DDB" w:rsidP="00A31312">
      <w:pPr>
        <w:spacing w:after="240"/>
      </w:pPr>
      <w:r w:rsidRPr="002F17B5">
        <w:t>At the 31 March</w:t>
      </w:r>
      <w:r w:rsidR="00445FDE" w:rsidRPr="002F17B5">
        <w:t xml:space="preserve"> 2014</w:t>
      </w:r>
      <w:r w:rsidR="00A31312" w:rsidRPr="002F17B5">
        <w:t xml:space="preserve"> Care Services was providing:</w:t>
      </w:r>
    </w:p>
    <w:p w:rsidR="00A31312" w:rsidRPr="002F17B5" w:rsidRDefault="00A31312" w:rsidP="00A92FC8">
      <w:pPr>
        <w:numPr>
          <w:ilvl w:val="0"/>
          <w:numId w:val="41"/>
        </w:numPr>
        <w:tabs>
          <w:tab w:val="clear" w:pos="1440"/>
          <w:tab w:val="num" w:pos="851"/>
        </w:tabs>
        <w:autoSpaceDE/>
        <w:autoSpaceDN/>
        <w:adjustRightInd/>
        <w:spacing w:before="0" w:after="40"/>
        <w:ind w:left="284" w:firstLine="0"/>
      </w:pPr>
      <w:r w:rsidRPr="002F17B5">
        <w:t xml:space="preserve">residential services from 17 homes for older people; </w:t>
      </w:r>
    </w:p>
    <w:p w:rsidR="00A31312" w:rsidRPr="002F17B5" w:rsidRDefault="00A31312" w:rsidP="00A92FC8">
      <w:pPr>
        <w:numPr>
          <w:ilvl w:val="0"/>
          <w:numId w:val="41"/>
        </w:numPr>
        <w:tabs>
          <w:tab w:val="clear" w:pos="1440"/>
          <w:tab w:val="num" w:pos="851"/>
        </w:tabs>
        <w:autoSpaceDE/>
        <w:autoSpaceDN/>
        <w:adjustRightInd/>
        <w:spacing w:before="0" w:after="40"/>
        <w:ind w:left="284" w:firstLine="0"/>
      </w:pPr>
      <w:r w:rsidRPr="002F17B5">
        <w:t xml:space="preserve">rehabilitation services from 9 of these homes; </w:t>
      </w:r>
    </w:p>
    <w:p w:rsidR="00A92FC8" w:rsidRPr="002F17B5" w:rsidRDefault="00A31312" w:rsidP="00A92FC8">
      <w:pPr>
        <w:numPr>
          <w:ilvl w:val="0"/>
          <w:numId w:val="41"/>
        </w:numPr>
        <w:tabs>
          <w:tab w:val="clear" w:pos="1440"/>
          <w:tab w:val="num" w:pos="851"/>
        </w:tabs>
        <w:autoSpaceDE/>
        <w:autoSpaceDN/>
        <w:adjustRightInd/>
        <w:spacing w:before="0" w:after="40"/>
        <w:ind w:left="284" w:firstLine="0"/>
      </w:pPr>
      <w:r w:rsidRPr="002F17B5">
        <w:t>day care from 14 day centres</w:t>
      </w:r>
    </w:p>
    <w:p w:rsidR="00A31312" w:rsidRPr="002F17B5" w:rsidRDefault="00A31312" w:rsidP="00A92FC8">
      <w:pPr>
        <w:autoSpaceDE/>
        <w:autoSpaceDN/>
        <w:adjustRightInd/>
        <w:spacing w:before="0" w:after="40"/>
        <w:ind w:left="284" w:firstLine="436"/>
      </w:pPr>
      <w:r w:rsidRPr="002F17B5">
        <w:t xml:space="preserve"> and</w:t>
      </w:r>
      <w:r w:rsidR="00A92FC8" w:rsidRPr="002F17B5">
        <w:t>;</w:t>
      </w:r>
      <w:r w:rsidRPr="002F17B5">
        <w:t xml:space="preserve"> </w:t>
      </w:r>
    </w:p>
    <w:p w:rsidR="00A31312" w:rsidRDefault="00A31312" w:rsidP="00A92FC8">
      <w:pPr>
        <w:numPr>
          <w:ilvl w:val="0"/>
          <w:numId w:val="41"/>
        </w:numPr>
        <w:tabs>
          <w:tab w:val="clear" w:pos="1440"/>
          <w:tab w:val="num" w:pos="851"/>
        </w:tabs>
        <w:autoSpaceDE/>
        <w:autoSpaceDN/>
        <w:adjustRightInd/>
        <w:spacing w:before="0" w:after="40"/>
        <w:ind w:left="851" w:hanging="567"/>
      </w:pPr>
      <w:r w:rsidRPr="002F17B5">
        <w:t xml:space="preserve">an assessment and </w:t>
      </w:r>
      <w:proofErr w:type="spellStart"/>
      <w:r w:rsidRPr="002F17B5">
        <w:t>reablement</w:t>
      </w:r>
      <w:proofErr w:type="spellEnd"/>
      <w:r w:rsidRPr="002F17B5">
        <w:t xml:space="preserve"> service providing assessment, practical and personal care to help people who have been ill or injured live independently at home for as long as possible.</w:t>
      </w:r>
    </w:p>
    <w:p w:rsidR="00AD5D5C" w:rsidRPr="00AD5D5C" w:rsidRDefault="00AD5D5C" w:rsidP="00AD5D5C">
      <w:pPr>
        <w:autoSpaceDE/>
        <w:autoSpaceDN/>
        <w:adjustRightInd/>
        <w:spacing w:before="0" w:after="40"/>
        <w:ind w:left="851"/>
        <w:rPr>
          <w:sz w:val="12"/>
        </w:rPr>
      </w:pPr>
    </w:p>
    <w:p w:rsidR="00B5048A" w:rsidRDefault="00B5048A" w:rsidP="00A92FC8">
      <w:pPr>
        <w:autoSpaceDE/>
        <w:autoSpaceDN/>
        <w:adjustRightInd/>
        <w:spacing w:before="0" w:after="40"/>
        <w:ind w:left="284"/>
        <w:rPr>
          <w:sz w:val="14"/>
        </w:rPr>
      </w:pPr>
    </w:p>
    <w:p w:rsidR="00BF4F52" w:rsidRPr="002F17B5" w:rsidRDefault="00BF4F52" w:rsidP="00A92FC8">
      <w:pPr>
        <w:autoSpaceDE/>
        <w:autoSpaceDN/>
        <w:adjustRightInd/>
        <w:spacing w:before="0" w:after="40"/>
        <w:ind w:left="284"/>
        <w:rPr>
          <w:sz w:val="14"/>
        </w:rPr>
      </w:pPr>
    </w:p>
    <w:p w:rsidR="00A31312" w:rsidRPr="002F17B5" w:rsidRDefault="00A31312" w:rsidP="00785E69">
      <w:pPr>
        <w:rPr>
          <w:b/>
        </w:rPr>
      </w:pPr>
      <w:r w:rsidRPr="002F17B5">
        <w:rPr>
          <w:b/>
        </w:rPr>
        <w:t>Catering Services provided:</w:t>
      </w:r>
    </w:p>
    <w:p w:rsidR="00A31312" w:rsidRPr="002F17B5" w:rsidRDefault="00A31312" w:rsidP="00A92FC8">
      <w:pPr>
        <w:numPr>
          <w:ilvl w:val="0"/>
          <w:numId w:val="55"/>
        </w:numPr>
        <w:tabs>
          <w:tab w:val="clear" w:pos="1080"/>
          <w:tab w:val="num" w:pos="851"/>
        </w:tabs>
        <w:autoSpaceDE/>
        <w:autoSpaceDN/>
        <w:adjustRightInd/>
        <w:spacing w:before="0" w:after="40"/>
        <w:ind w:left="284" w:firstLine="0"/>
        <w:jc w:val="left"/>
      </w:pPr>
      <w:r w:rsidRPr="002F17B5">
        <w:t>school catering services for approximately 560 schools; and</w:t>
      </w:r>
    </w:p>
    <w:p w:rsidR="00A31312" w:rsidRPr="002F17B5" w:rsidRDefault="00A31312" w:rsidP="00A92FC8">
      <w:pPr>
        <w:numPr>
          <w:ilvl w:val="0"/>
          <w:numId w:val="55"/>
        </w:numPr>
        <w:tabs>
          <w:tab w:val="clear" w:pos="1080"/>
          <w:tab w:val="num" w:pos="851"/>
        </w:tabs>
        <w:autoSpaceDE/>
        <w:autoSpaceDN/>
        <w:adjustRightInd/>
        <w:spacing w:before="0" w:after="40"/>
        <w:ind w:left="284" w:firstLine="0"/>
        <w:jc w:val="left"/>
      </w:pPr>
      <w:r w:rsidRPr="002F17B5">
        <w:t>staff and civic catering from four outlets</w:t>
      </w:r>
    </w:p>
    <w:p w:rsidR="00B5048A" w:rsidRDefault="00B5048A" w:rsidP="00B5048A">
      <w:pPr>
        <w:autoSpaceDE/>
        <w:autoSpaceDN/>
        <w:adjustRightInd/>
        <w:spacing w:before="0" w:after="220"/>
        <w:ind w:left="284"/>
        <w:jc w:val="left"/>
        <w:rPr>
          <w:sz w:val="20"/>
        </w:rPr>
      </w:pPr>
    </w:p>
    <w:p w:rsidR="00BF4F52" w:rsidRPr="00BF4F52" w:rsidRDefault="00BF4F52" w:rsidP="00B5048A">
      <w:pPr>
        <w:autoSpaceDE/>
        <w:autoSpaceDN/>
        <w:adjustRightInd/>
        <w:spacing w:before="0" w:after="220"/>
        <w:ind w:left="284"/>
        <w:jc w:val="left"/>
        <w:rPr>
          <w:sz w:val="16"/>
        </w:rPr>
      </w:pPr>
    </w:p>
    <w:p w:rsidR="00A31312" w:rsidRPr="002F17B5" w:rsidRDefault="00A31312" w:rsidP="00785E69">
      <w:pPr>
        <w:rPr>
          <w:b/>
        </w:rPr>
      </w:pPr>
      <w:r w:rsidRPr="002F17B5">
        <w:rPr>
          <w:b/>
        </w:rPr>
        <w:t>Operational Services provides:</w:t>
      </w:r>
    </w:p>
    <w:p w:rsidR="00A31312" w:rsidRPr="002F17B5" w:rsidRDefault="00A31312" w:rsidP="00A92FC8">
      <w:pPr>
        <w:numPr>
          <w:ilvl w:val="0"/>
          <w:numId w:val="42"/>
        </w:numPr>
        <w:tabs>
          <w:tab w:val="clear" w:pos="360"/>
          <w:tab w:val="num" w:pos="709"/>
        </w:tabs>
        <w:autoSpaceDE/>
        <w:autoSpaceDN/>
        <w:adjustRightInd/>
        <w:spacing w:before="0" w:after="40"/>
        <w:ind w:left="709" w:hanging="425"/>
      </w:pPr>
      <w:r w:rsidRPr="002F17B5">
        <w:t>Fleet Services – purchase, disposal, management, maintenance and repair of county council vehicles  and  repair and maintenance of Lancashire Fire and Rescue vehicles;</w:t>
      </w:r>
    </w:p>
    <w:p w:rsidR="00A31312" w:rsidRPr="002F17B5" w:rsidRDefault="00A31312" w:rsidP="00A92FC8">
      <w:pPr>
        <w:numPr>
          <w:ilvl w:val="0"/>
          <w:numId w:val="42"/>
        </w:numPr>
        <w:tabs>
          <w:tab w:val="clear" w:pos="360"/>
          <w:tab w:val="num" w:pos="709"/>
        </w:tabs>
        <w:autoSpaceDE/>
        <w:autoSpaceDN/>
        <w:adjustRightInd/>
        <w:spacing w:before="0" w:after="40"/>
        <w:ind w:left="709" w:hanging="425"/>
      </w:pPr>
      <w:r w:rsidRPr="002F17B5">
        <w:t>Travel Care – caring and accessible bus services</w:t>
      </w:r>
    </w:p>
    <w:p w:rsidR="00A31312" w:rsidRPr="002F17B5" w:rsidRDefault="00A31312" w:rsidP="00A92FC8">
      <w:pPr>
        <w:numPr>
          <w:ilvl w:val="0"/>
          <w:numId w:val="42"/>
        </w:numPr>
        <w:tabs>
          <w:tab w:val="clear" w:pos="360"/>
          <w:tab w:val="num" w:pos="709"/>
        </w:tabs>
        <w:autoSpaceDE/>
        <w:autoSpaceDN/>
        <w:adjustRightInd/>
        <w:spacing w:before="0" w:after="40"/>
        <w:ind w:left="709" w:hanging="425"/>
      </w:pPr>
      <w:r w:rsidRPr="002F17B5">
        <w:t>Building Cleaning services;</w:t>
      </w:r>
    </w:p>
    <w:p w:rsidR="00A92FC8" w:rsidRPr="002F17B5" w:rsidRDefault="00A92FC8" w:rsidP="00A92FC8">
      <w:pPr>
        <w:numPr>
          <w:ilvl w:val="0"/>
          <w:numId w:val="42"/>
        </w:numPr>
        <w:tabs>
          <w:tab w:val="clear" w:pos="360"/>
          <w:tab w:val="num" w:pos="709"/>
        </w:tabs>
        <w:autoSpaceDE/>
        <w:autoSpaceDN/>
        <w:adjustRightInd/>
        <w:spacing w:before="0" w:after="40"/>
        <w:ind w:left="709" w:hanging="425"/>
      </w:pPr>
      <w:r w:rsidRPr="002F17B5">
        <w:t>School Crossing Patrol services</w:t>
      </w:r>
    </w:p>
    <w:p w:rsidR="00A31312" w:rsidRPr="002F17B5" w:rsidRDefault="00675319" w:rsidP="00A92FC8">
      <w:pPr>
        <w:autoSpaceDE/>
        <w:autoSpaceDN/>
        <w:adjustRightInd/>
        <w:spacing w:before="0" w:after="40"/>
        <w:ind w:left="709"/>
      </w:pPr>
      <w:r w:rsidRPr="002F17B5">
        <w:t>a</w:t>
      </w:r>
      <w:r w:rsidR="00A31312" w:rsidRPr="002F17B5">
        <w:t>nd</w:t>
      </w:r>
      <w:r w:rsidR="00A92FC8" w:rsidRPr="002F17B5">
        <w:t>;</w:t>
      </w:r>
    </w:p>
    <w:p w:rsidR="00A31312" w:rsidRPr="002F17B5" w:rsidRDefault="00A31312" w:rsidP="00A92FC8">
      <w:pPr>
        <w:numPr>
          <w:ilvl w:val="0"/>
          <w:numId w:val="42"/>
        </w:numPr>
        <w:tabs>
          <w:tab w:val="clear" w:pos="360"/>
          <w:tab w:val="num" w:pos="709"/>
        </w:tabs>
        <w:autoSpaceDE/>
        <w:autoSpaceDN/>
        <w:adjustRightInd/>
        <w:spacing w:before="0" w:after="40"/>
        <w:ind w:left="709" w:hanging="425"/>
      </w:pPr>
      <w:r w:rsidRPr="002F17B5">
        <w:t>Passenger Assistant services</w:t>
      </w:r>
    </w:p>
    <w:p w:rsidR="00B5048A" w:rsidRDefault="00B5048A" w:rsidP="00B5048A">
      <w:pPr>
        <w:autoSpaceDE/>
        <w:autoSpaceDN/>
        <w:adjustRightInd/>
        <w:spacing w:before="0" w:after="220"/>
        <w:ind w:left="709"/>
        <w:rPr>
          <w:sz w:val="28"/>
        </w:rPr>
      </w:pPr>
    </w:p>
    <w:p w:rsidR="00AD5D5C" w:rsidRPr="00AD5D5C" w:rsidRDefault="00AD5D5C" w:rsidP="00B5048A">
      <w:pPr>
        <w:autoSpaceDE/>
        <w:autoSpaceDN/>
        <w:adjustRightInd/>
        <w:spacing w:before="0" w:after="220"/>
        <w:ind w:left="709"/>
        <w:rPr>
          <w:sz w:val="16"/>
        </w:rPr>
      </w:pPr>
    </w:p>
    <w:p w:rsidR="00C46A78" w:rsidRPr="002F17B5" w:rsidRDefault="00C46A78">
      <w:pPr>
        <w:autoSpaceDE/>
        <w:autoSpaceDN/>
        <w:adjustRightInd/>
        <w:spacing w:after="20"/>
        <w:jc w:val="right"/>
        <w:rPr>
          <w:rFonts w:eastAsia="Times New Roman"/>
          <w:color w:val="auto"/>
          <w:lang w:eastAsia="en-GB"/>
        </w:rPr>
      </w:pPr>
      <w:r w:rsidRPr="002F17B5">
        <w:br w:type="page"/>
      </w:r>
    </w:p>
    <w:p w:rsidR="00FD5388" w:rsidRDefault="00024017" w:rsidP="00FD5388">
      <w:pPr>
        <w:pStyle w:val="Heading3-numbered"/>
        <w:rPr>
          <w:i w:val="0"/>
        </w:rPr>
      </w:pPr>
      <w:r w:rsidRPr="002F17B5">
        <w:rPr>
          <w:i w:val="0"/>
        </w:rPr>
        <w:lastRenderedPageBreak/>
        <w:t xml:space="preserve">  </w:t>
      </w:r>
      <w:r w:rsidR="00FD5388" w:rsidRPr="002F17B5">
        <w:rPr>
          <w:i w:val="0"/>
        </w:rPr>
        <w:t>Property, Plant and Equipment</w:t>
      </w:r>
    </w:p>
    <w:p w:rsidR="00495D89" w:rsidRPr="002F17B5" w:rsidRDefault="00495D89" w:rsidP="00495D89">
      <w:pPr>
        <w:pStyle w:val="Heading3-numbered"/>
        <w:numPr>
          <w:ilvl w:val="0"/>
          <w:numId w:val="0"/>
        </w:numPr>
        <w:ind w:left="360"/>
        <w:rPr>
          <w:i w:val="0"/>
        </w:rPr>
      </w:pPr>
    </w:p>
    <w:p w:rsidR="00FD5388" w:rsidRPr="002F17B5" w:rsidRDefault="00FD5388" w:rsidP="00FD5388">
      <w:pPr>
        <w:tabs>
          <w:tab w:val="num" w:pos="0"/>
        </w:tabs>
        <w:spacing w:after="0"/>
      </w:pPr>
      <w:r w:rsidRPr="002F17B5">
        <w:t>The fixed assets figure includes properties valued at some £</w:t>
      </w:r>
      <w:r w:rsidR="00D0122A" w:rsidRPr="002F17B5">
        <w:t>589</w:t>
      </w:r>
      <w:r w:rsidRPr="002F17B5">
        <w:t xml:space="preserve">million which are not owned by the county council.  These are principally voluntary aided schools which form approximately 50% of schools in Lancashire.  These schools and the use of the buildings are essential for the county council to fulfil its statutory duties for the provision of education.  It is therefore considered appropriate to include these assets within the county council’s </w:t>
      </w:r>
      <w:r w:rsidR="003E0ABD" w:rsidRPr="002F17B5">
        <w:t>b</w:t>
      </w:r>
      <w:r w:rsidRPr="002F17B5">
        <w:t xml:space="preserve">alance </w:t>
      </w:r>
      <w:r w:rsidR="003E0ABD" w:rsidRPr="002F17B5">
        <w:t>s</w:t>
      </w:r>
      <w:r w:rsidRPr="002F17B5">
        <w:t>heet to fairly reflect the value of the assets used in providing the service.</w:t>
      </w:r>
    </w:p>
    <w:p w:rsidR="00FD5388" w:rsidRPr="002F17B5" w:rsidRDefault="00FD5388" w:rsidP="00FD5388">
      <w:pPr>
        <w:tabs>
          <w:tab w:val="num" w:pos="0"/>
        </w:tabs>
        <w:spacing w:after="0"/>
        <w:rPr>
          <w:sz w:val="18"/>
        </w:rPr>
      </w:pPr>
    </w:p>
    <w:p w:rsidR="00FD5388" w:rsidRPr="002F17B5" w:rsidRDefault="00FD5388" w:rsidP="00FD5388">
      <w:pPr>
        <w:tabs>
          <w:tab w:val="num" w:pos="0"/>
        </w:tabs>
        <w:spacing w:after="0"/>
      </w:pPr>
      <w:r w:rsidRPr="002F17B5">
        <w:t>With the recent economic downturn consideration was made with respect to the value of the fixed assets. After taking into account various factors it was decided that the fixed assets figure in the balance sheet represents the value of the assets held.</w:t>
      </w:r>
    </w:p>
    <w:p w:rsidR="00FD5388" w:rsidRPr="00AD5D5C" w:rsidRDefault="00FD5388" w:rsidP="00FD5388">
      <w:pPr>
        <w:tabs>
          <w:tab w:val="num" w:pos="0"/>
        </w:tabs>
        <w:spacing w:after="0"/>
        <w:rPr>
          <w:sz w:val="20"/>
        </w:rPr>
      </w:pPr>
    </w:p>
    <w:tbl>
      <w:tblPr>
        <w:tblW w:w="4911" w:type="pct"/>
        <w:jc w:val="center"/>
        <w:tblLayout w:type="fixed"/>
        <w:tblLook w:val="04A0" w:firstRow="1" w:lastRow="0" w:firstColumn="1" w:lastColumn="0" w:noHBand="0" w:noVBand="1"/>
      </w:tblPr>
      <w:tblGrid>
        <w:gridCol w:w="3841"/>
        <w:gridCol w:w="1264"/>
        <w:gridCol w:w="1278"/>
        <w:gridCol w:w="1416"/>
        <w:gridCol w:w="1421"/>
        <w:gridCol w:w="1272"/>
      </w:tblGrid>
      <w:tr w:rsidR="00FD5388" w:rsidRPr="002F17B5" w:rsidTr="00785E69">
        <w:trPr>
          <w:trHeight w:val="1218"/>
          <w:jc w:val="center"/>
        </w:trPr>
        <w:tc>
          <w:tcPr>
            <w:tcW w:w="1830" w:type="pct"/>
            <w:tcBorders>
              <w:bottom w:val="nil"/>
              <w:right w:val="nil"/>
            </w:tcBorders>
            <w:shd w:val="clear" w:color="auto" w:fill="FFFFFF" w:themeFill="background1"/>
            <w:noWrap/>
            <w:vAlign w:val="bottom"/>
            <w:hideMark/>
          </w:tcPr>
          <w:p w:rsidR="00FD5388" w:rsidRPr="002F17B5" w:rsidRDefault="00FD5388" w:rsidP="00006736">
            <w:pPr>
              <w:rPr>
                <w:b/>
                <w:szCs w:val="18"/>
                <w:u w:val="single"/>
              </w:rPr>
            </w:pPr>
          </w:p>
        </w:tc>
        <w:tc>
          <w:tcPr>
            <w:tcW w:w="602" w:type="pct"/>
            <w:tcBorders>
              <w:left w:val="nil"/>
              <w:bottom w:val="nil"/>
              <w:right w:val="nil"/>
            </w:tcBorders>
            <w:shd w:val="clear" w:color="auto" w:fill="FFFFFF" w:themeFill="background1"/>
            <w:vAlign w:val="center"/>
            <w:hideMark/>
          </w:tcPr>
          <w:p w:rsidR="00FD5388" w:rsidRPr="002F17B5" w:rsidRDefault="00FD5388" w:rsidP="00006736">
            <w:pPr>
              <w:jc w:val="right"/>
              <w:rPr>
                <w:sz w:val="20"/>
                <w:szCs w:val="18"/>
              </w:rPr>
            </w:pPr>
            <w:r w:rsidRPr="002F17B5">
              <w:rPr>
                <w:sz w:val="20"/>
                <w:szCs w:val="18"/>
              </w:rPr>
              <w:t>Land and Buildings</w:t>
            </w:r>
          </w:p>
        </w:tc>
        <w:tc>
          <w:tcPr>
            <w:tcW w:w="609" w:type="pct"/>
            <w:tcBorders>
              <w:left w:val="nil"/>
              <w:bottom w:val="nil"/>
              <w:right w:val="nil"/>
            </w:tcBorders>
            <w:shd w:val="clear" w:color="auto" w:fill="FFFFFF" w:themeFill="background1"/>
            <w:vAlign w:val="center"/>
            <w:hideMark/>
          </w:tcPr>
          <w:p w:rsidR="00FD5388" w:rsidRPr="002F17B5" w:rsidRDefault="00FD5388" w:rsidP="00006736">
            <w:pPr>
              <w:jc w:val="right"/>
              <w:rPr>
                <w:sz w:val="20"/>
                <w:szCs w:val="18"/>
              </w:rPr>
            </w:pPr>
            <w:r w:rsidRPr="002F17B5">
              <w:rPr>
                <w:sz w:val="20"/>
                <w:szCs w:val="18"/>
              </w:rPr>
              <w:t>Vehicles, Plant, Furniture &amp; Equipment</w:t>
            </w:r>
          </w:p>
        </w:tc>
        <w:tc>
          <w:tcPr>
            <w:tcW w:w="675" w:type="pct"/>
            <w:tcBorders>
              <w:left w:val="nil"/>
              <w:bottom w:val="nil"/>
              <w:right w:val="nil"/>
            </w:tcBorders>
            <w:shd w:val="clear" w:color="auto" w:fill="FFFFFF" w:themeFill="background1"/>
            <w:vAlign w:val="center"/>
            <w:hideMark/>
          </w:tcPr>
          <w:p w:rsidR="00FD5388" w:rsidRPr="002F17B5" w:rsidRDefault="00FD5388" w:rsidP="00006736">
            <w:pPr>
              <w:jc w:val="right"/>
              <w:rPr>
                <w:sz w:val="20"/>
                <w:szCs w:val="18"/>
              </w:rPr>
            </w:pPr>
            <w:r w:rsidRPr="002F17B5">
              <w:rPr>
                <w:sz w:val="20"/>
                <w:szCs w:val="18"/>
              </w:rPr>
              <w:t>Infrastructure Assets</w:t>
            </w:r>
          </w:p>
        </w:tc>
        <w:tc>
          <w:tcPr>
            <w:tcW w:w="677" w:type="pct"/>
            <w:tcBorders>
              <w:left w:val="nil"/>
              <w:bottom w:val="nil"/>
              <w:right w:val="nil"/>
            </w:tcBorders>
            <w:shd w:val="clear" w:color="auto" w:fill="FFFFFF" w:themeFill="background1"/>
            <w:vAlign w:val="center"/>
            <w:hideMark/>
          </w:tcPr>
          <w:p w:rsidR="00FD5388" w:rsidRPr="002F17B5" w:rsidRDefault="00FD5388" w:rsidP="00006736">
            <w:pPr>
              <w:jc w:val="right"/>
              <w:rPr>
                <w:sz w:val="20"/>
                <w:szCs w:val="18"/>
              </w:rPr>
            </w:pPr>
            <w:r w:rsidRPr="002F17B5">
              <w:rPr>
                <w:sz w:val="20"/>
                <w:szCs w:val="18"/>
              </w:rPr>
              <w:t>Assets Under Construction</w:t>
            </w:r>
          </w:p>
        </w:tc>
        <w:tc>
          <w:tcPr>
            <w:tcW w:w="606" w:type="pct"/>
            <w:tcBorders>
              <w:left w:val="nil"/>
              <w:bottom w:val="nil"/>
            </w:tcBorders>
            <w:shd w:val="clear" w:color="auto" w:fill="FFFFFF" w:themeFill="background1"/>
            <w:vAlign w:val="center"/>
            <w:hideMark/>
          </w:tcPr>
          <w:p w:rsidR="00FD5388" w:rsidRPr="002F17B5" w:rsidRDefault="00FD5388" w:rsidP="00006736">
            <w:pPr>
              <w:jc w:val="right"/>
              <w:rPr>
                <w:b/>
                <w:bCs/>
                <w:sz w:val="20"/>
                <w:szCs w:val="18"/>
              </w:rPr>
            </w:pPr>
            <w:r w:rsidRPr="002F17B5">
              <w:rPr>
                <w:b/>
                <w:bCs/>
                <w:sz w:val="20"/>
                <w:szCs w:val="18"/>
              </w:rPr>
              <w:t>Total Property, Plant &amp; Equipment</w:t>
            </w:r>
          </w:p>
        </w:tc>
      </w:tr>
      <w:tr w:rsidR="00FD5388" w:rsidRPr="002F17B5" w:rsidTr="00785E69">
        <w:trPr>
          <w:trHeight w:val="304"/>
          <w:jc w:val="center"/>
        </w:trPr>
        <w:tc>
          <w:tcPr>
            <w:tcW w:w="1830" w:type="pct"/>
            <w:tcBorders>
              <w:top w:val="nil"/>
              <w:bottom w:val="nil"/>
              <w:right w:val="nil"/>
            </w:tcBorders>
            <w:shd w:val="clear" w:color="auto" w:fill="FFFFFF" w:themeFill="background1"/>
            <w:noWrap/>
            <w:vAlign w:val="bottom"/>
            <w:hideMark/>
          </w:tcPr>
          <w:p w:rsidR="00FF079C" w:rsidRPr="002F17B5" w:rsidRDefault="00FF079C" w:rsidP="00006736">
            <w:pPr>
              <w:rPr>
                <w:sz w:val="20"/>
                <w:szCs w:val="18"/>
              </w:rPr>
            </w:pPr>
          </w:p>
        </w:tc>
        <w:tc>
          <w:tcPr>
            <w:tcW w:w="602" w:type="pct"/>
            <w:tcBorders>
              <w:top w:val="nil"/>
              <w:left w:val="nil"/>
              <w:bottom w:val="nil"/>
              <w:right w:val="nil"/>
            </w:tcBorders>
            <w:shd w:val="clear" w:color="auto" w:fill="FFFFFF" w:themeFill="background1"/>
            <w:noWrap/>
            <w:vAlign w:val="bottom"/>
            <w:hideMark/>
          </w:tcPr>
          <w:p w:rsidR="00FD5388" w:rsidRPr="002F17B5" w:rsidRDefault="00FD5388" w:rsidP="00006736">
            <w:pPr>
              <w:jc w:val="right"/>
              <w:rPr>
                <w:sz w:val="20"/>
                <w:szCs w:val="18"/>
              </w:rPr>
            </w:pPr>
            <w:r w:rsidRPr="002F17B5">
              <w:rPr>
                <w:sz w:val="20"/>
                <w:szCs w:val="18"/>
              </w:rPr>
              <w:t>£m</w:t>
            </w:r>
          </w:p>
        </w:tc>
        <w:tc>
          <w:tcPr>
            <w:tcW w:w="609" w:type="pct"/>
            <w:tcBorders>
              <w:top w:val="nil"/>
              <w:left w:val="nil"/>
              <w:bottom w:val="nil"/>
              <w:right w:val="nil"/>
            </w:tcBorders>
            <w:shd w:val="clear" w:color="auto" w:fill="FFFFFF" w:themeFill="background1"/>
            <w:noWrap/>
            <w:vAlign w:val="bottom"/>
            <w:hideMark/>
          </w:tcPr>
          <w:p w:rsidR="00FD5388" w:rsidRPr="002F17B5" w:rsidRDefault="00FD5388" w:rsidP="00006736">
            <w:pPr>
              <w:jc w:val="right"/>
              <w:rPr>
                <w:sz w:val="20"/>
                <w:szCs w:val="18"/>
              </w:rPr>
            </w:pPr>
            <w:r w:rsidRPr="002F17B5">
              <w:rPr>
                <w:sz w:val="20"/>
                <w:szCs w:val="18"/>
              </w:rPr>
              <w:t>£m</w:t>
            </w:r>
          </w:p>
        </w:tc>
        <w:tc>
          <w:tcPr>
            <w:tcW w:w="675" w:type="pct"/>
            <w:tcBorders>
              <w:top w:val="nil"/>
              <w:left w:val="nil"/>
              <w:bottom w:val="nil"/>
              <w:right w:val="nil"/>
            </w:tcBorders>
            <w:shd w:val="clear" w:color="auto" w:fill="FFFFFF" w:themeFill="background1"/>
            <w:noWrap/>
            <w:vAlign w:val="bottom"/>
            <w:hideMark/>
          </w:tcPr>
          <w:p w:rsidR="00FD5388" w:rsidRPr="002F17B5" w:rsidRDefault="00FD5388" w:rsidP="00006736">
            <w:pPr>
              <w:jc w:val="right"/>
              <w:rPr>
                <w:sz w:val="20"/>
                <w:szCs w:val="18"/>
              </w:rPr>
            </w:pPr>
            <w:r w:rsidRPr="002F17B5">
              <w:rPr>
                <w:sz w:val="20"/>
                <w:szCs w:val="18"/>
              </w:rPr>
              <w:t>£m</w:t>
            </w:r>
          </w:p>
        </w:tc>
        <w:tc>
          <w:tcPr>
            <w:tcW w:w="677" w:type="pct"/>
            <w:tcBorders>
              <w:top w:val="nil"/>
              <w:left w:val="nil"/>
              <w:bottom w:val="nil"/>
              <w:right w:val="nil"/>
            </w:tcBorders>
            <w:shd w:val="clear" w:color="auto" w:fill="FFFFFF" w:themeFill="background1"/>
            <w:noWrap/>
            <w:vAlign w:val="bottom"/>
            <w:hideMark/>
          </w:tcPr>
          <w:p w:rsidR="00FD5388" w:rsidRPr="002F17B5" w:rsidRDefault="00FD5388" w:rsidP="00006736">
            <w:pPr>
              <w:jc w:val="right"/>
              <w:rPr>
                <w:sz w:val="20"/>
                <w:szCs w:val="18"/>
              </w:rPr>
            </w:pPr>
            <w:r w:rsidRPr="002F17B5">
              <w:rPr>
                <w:sz w:val="20"/>
                <w:szCs w:val="18"/>
              </w:rPr>
              <w:t>£m</w:t>
            </w:r>
          </w:p>
        </w:tc>
        <w:tc>
          <w:tcPr>
            <w:tcW w:w="606" w:type="pct"/>
            <w:tcBorders>
              <w:top w:val="nil"/>
              <w:left w:val="nil"/>
              <w:bottom w:val="nil"/>
            </w:tcBorders>
            <w:shd w:val="clear" w:color="auto" w:fill="FFFFFF" w:themeFill="background1"/>
            <w:noWrap/>
            <w:vAlign w:val="bottom"/>
            <w:hideMark/>
          </w:tcPr>
          <w:p w:rsidR="00FD5388" w:rsidRPr="002F17B5" w:rsidRDefault="00FD5388" w:rsidP="00006736">
            <w:pPr>
              <w:jc w:val="right"/>
              <w:rPr>
                <w:b/>
                <w:bCs/>
                <w:sz w:val="20"/>
                <w:szCs w:val="18"/>
              </w:rPr>
            </w:pPr>
            <w:r w:rsidRPr="002F17B5">
              <w:rPr>
                <w:b/>
                <w:bCs/>
                <w:sz w:val="20"/>
                <w:szCs w:val="18"/>
              </w:rPr>
              <w:t>£m</w:t>
            </w:r>
          </w:p>
        </w:tc>
      </w:tr>
      <w:tr w:rsidR="00FD5388" w:rsidRPr="002F17B5" w:rsidTr="00785E69">
        <w:trPr>
          <w:trHeight w:val="323"/>
          <w:jc w:val="center"/>
        </w:trPr>
        <w:tc>
          <w:tcPr>
            <w:tcW w:w="1830" w:type="pct"/>
            <w:tcBorders>
              <w:bottom w:val="nil"/>
              <w:right w:val="nil"/>
            </w:tcBorders>
            <w:shd w:val="clear" w:color="auto" w:fill="FFFFFF" w:themeFill="background1"/>
            <w:noWrap/>
            <w:vAlign w:val="bottom"/>
            <w:hideMark/>
          </w:tcPr>
          <w:p w:rsidR="00FF079C" w:rsidRPr="002F17B5" w:rsidRDefault="00FD5388" w:rsidP="00006736">
            <w:pPr>
              <w:jc w:val="left"/>
              <w:rPr>
                <w:b/>
                <w:bCs/>
                <w:sz w:val="22"/>
                <w:szCs w:val="20"/>
              </w:rPr>
            </w:pPr>
            <w:r w:rsidRPr="002F17B5">
              <w:rPr>
                <w:b/>
                <w:bCs/>
                <w:sz w:val="22"/>
                <w:szCs w:val="20"/>
              </w:rPr>
              <w:t xml:space="preserve">Cost or valuation </w:t>
            </w:r>
          </w:p>
        </w:tc>
        <w:tc>
          <w:tcPr>
            <w:tcW w:w="602" w:type="pct"/>
            <w:tcBorders>
              <w:left w:val="nil"/>
              <w:bottom w:val="nil"/>
              <w:right w:val="nil"/>
            </w:tcBorders>
            <w:shd w:val="clear" w:color="auto" w:fill="FFFFFF" w:themeFill="background1"/>
            <w:noWrap/>
            <w:vAlign w:val="center"/>
            <w:hideMark/>
          </w:tcPr>
          <w:p w:rsidR="00FD5388" w:rsidRPr="002F17B5" w:rsidRDefault="00FD5388" w:rsidP="00006736">
            <w:pPr>
              <w:jc w:val="right"/>
              <w:rPr>
                <w:sz w:val="20"/>
                <w:szCs w:val="18"/>
              </w:rPr>
            </w:pPr>
            <w:r w:rsidRPr="002F17B5">
              <w:rPr>
                <w:sz w:val="20"/>
                <w:szCs w:val="18"/>
              </w:rPr>
              <w:t> </w:t>
            </w:r>
          </w:p>
        </w:tc>
        <w:tc>
          <w:tcPr>
            <w:tcW w:w="609" w:type="pct"/>
            <w:tcBorders>
              <w:left w:val="nil"/>
              <w:bottom w:val="nil"/>
              <w:right w:val="nil"/>
            </w:tcBorders>
            <w:shd w:val="clear" w:color="auto" w:fill="FFFFFF" w:themeFill="background1"/>
            <w:noWrap/>
            <w:vAlign w:val="center"/>
            <w:hideMark/>
          </w:tcPr>
          <w:p w:rsidR="00FD5388" w:rsidRPr="002F17B5" w:rsidRDefault="00FD5388" w:rsidP="00006736">
            <w:pPr>
              <w:jc w:val="right"/>
              <w:rPr>
                <w:sz w:val="20"/>
                <w:szCs w:val="18"/>
              </w:rPr>
            </w:pPr>
            <w:r w:rsidRPr="002F17B5">
              <w:rPr>
                <w:sz w:val="20"/>
                <w:szCs w:val="18"/>
              </w:rPr>
              <w:t> </w:t>
            </w:r>
          </w:p>
        </w:tc>
        <w:tc>
          <w:tcPr>
            <w:tcW w:w="675" w:type="pct"/>
            <w:tcBorders>
              <w:left w:val="nil"/>
              <w:bottom w:val="nil"/>
              <w:right w:val="nil"/>
            </w:tcBorders>
            <w:shd w:val="clear" w:color="auto" w:fill="FFFFFF" w:themeFill="background1"/>
            <w:noWrap/>
            <w:vAlign w:val="center"/>
            <w:hideMark/>
          </w:tcPr>
          <w:p w:rsidR="00FD5388" w:rsidRPr="002F17B5" w:rsidRDefault="00FD5388" w:rsidP="00006736">
            <w:pPr>
              <w:jc w:val="right"/>
              <w:rPr>
                <w:sz w:val="20"/>
                <w:szCs w:val="18"/>
              </w:rPr>
            </w:pPr>
            <w:r w:rsidRPr="002F17B5">
              <w:rPr>
                <w:sz w:val="20"/>
                <w:szCs w:val="18"/>
              </w:rPr>
              <w:t> </w:t>
            </w:r>
          </w:p>
        </w:tc>
        <w:tc>
          <w:tcPr>
            <w:tcW w:w="677" w:type="pct"/>
            <w:tcBorders>
              <w:left w:val="nil"/>
              <w:bottom w:val="nil"/>
              <w:right w:val="nil"/>
            </w:tcBorders>
            <w:shd w:val="clear" w:color="auto" w:fill="FFFFFF" w:themeFill="background1"/>
            <w:noWrap/>
            <w:vAlign w:val="center"/>
            <w:hideMark/>
          </w:tcPr>
          <w:p w:rsidR="00FD5388" w:rsidRPr="002F17B5" w:rsidRDefault="00FD5388" w:rsidP="00006736">
            <w:pPr>
              <w:jc w:val="right"/>
              <w:rPr>
                <w:sz w:val="20"/>
                <w:szCs w:val="18"/>
              </w:rPr>
            </w:pPr>
            <w:r w:rsidRPr="002F17B5">
              <w:rPr>
                <w:sz w:val="20"/>
                <w:szCs w:val="18"/>
              </w:rPr>
              <w:t> </w:t>
            </w:r>
          </w:p>
        </w:tc>
        <w:tc>
          <w:tcPr>
            <w:tcW w:w="606" w:type="pct"/>
            <w:tcBorders>
              <w:left w:val="nil"/>
              <w:bottom w:val="nil"/>
            </w:tcBorders>
            <w:shd w:val="clear" w:color="auto" w:fill="FFFFFF" w:themeFill="background1"/>
            <w:noWrap/>
            <w:vAlign w:val="center"/>
            <w:hideMark/>
          </w:tcPr>
          <w:p w:rsidR="00FD5388" w:rsidRPr="002F17B5" w:rsidRDefault="00FD5388" w:rsidP="00006736">
            <w:pPr>
              <w:jc w:val="right"/>
              <w:rPr>
                <w:b/>
                <w:bCs/>
                <w:color w:val="0000FF"/>
                <w:sz w:val="20"/>
                <w:szCs w:val="18"/>
              </w:rPr>
            </w:pPr>
            <w:r w:rsidRPr="002F17B5">
              <w:rPr>
                <w:b/>
                <w:bCs/>
                <w:color w:val="0000FF"/>
                <w:sz w:val="20"/>
                <w:szCs w:val="18"/>
              </w:rPr>
              <w:t> </w:t>
            </w:r>
          </w:p>
        </w:tc>
      </w:tr>
      <w:tr w:rsidR="004B284D" w:rsidRPr="002F17B5" w:rsidTr="00785E69">
        <w:trPr>
          <w:trHeight w:val="304"/>
          <w:jc w:val="center"/>
        </w:trPr>
        <w:tc>
          <w:tcPr>
            <w:tcW w:w="1830" w:type="pct"/>
            <w:tcBorders>
              <w:top w:val="nil"/>
              <w:bottom w:val="nil"/>
              <w:right w:val="nil"/>
            </w:tcBorders>
            <w:shd w:val="clear" w:color="auto" w:fill="FFFFFF" w:themeFill="background1"/>
            <w:noWrap/>
            <w:vAlign w:val="bottom"/>
            <w:hideMark/>
          </w:tcPr>
          <w:p w:rsidR="004B284D" w:rsidRPr="002F17B5" w:rsidRDefault="004B284D" w:rsidP="00006736">
            <w:pPr>
              <w:jc w:val="left"/>
              <w:rPr>
                <w:b/>
                <w:bCs/>
                <w:sz w:val="20"/>
                <w:szCs w:val="18"/>
              </w:rPr>
            </w:pPr>
            <w:r w:rsidRPr="002F17B5">
              <w:rPr>
                <w:b/>
                <w:bCs/>
                <w:sz w:val="20"/>
                <w:szCs w:val="18"/>
              </w:rPr>
              <w:t>At 1 April 2013</w:t>
            </w:r>
          </w:p>
        </w:tc>
        <w:tc>
          <w:tcPr>
            <w:tcW w:w="602" w:type="pct"/>
            <w:tcBorders>
              <w:top w:val="nil"/>
              <w:left w:val="nil"/>
              <w:bottom w:val="nil"/>
              <w:right w:val="nil"/>
            </w:tcBorders>
            <w:shd w:val="clear" w:color="auto" w:fill="FFFFFF" w:themeFill="background1"/>
            <w:noWrap/>
            <w:vAlign w:val="center"/>
            <w:hideMark/>
          </w:tcPr>
          <w:p w:rsidR="004B284D" w:rsidRPr="002F17B5" w:rsidRDefault="005D3E0E">
            <w:pPr>
              <w:jc w:val="right"/>
              <w:rPr>
                <w:rFonts w:cs="Arial"/>
                <w:sz w:val="22"/>
                <w:szCs w:val="22"/>
              </w:rPr>
            </w:pPr>
            <w:r w:rsidRPr="002F17B5">
              <w:rPr>
                <w:rFonts w:cs="Arial"/>
                <w:sz w:val="22"/>
                <w:szCs w:val="22"/>
              </w:rPr>
              <w:t>2,109.4</w:t>
            </w:r>
          </w:p>
        </w:tc>
        <w:tc>
          <w:tcPr>
            <w:tcW w:w="609"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71.3</w:t>
            </w:r>
          </w:p>
        </w:tc>
        <w:tc>
          <w:tcPr>
            <w:tcW w:w="675"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623.1</w:t>
            </w:r>
          </w:p>
        </w:tc>
        <w:tc>
          <w:tcPr>
            <w:tcW w:w="677"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0.7</w:t>
            </w:r>
          </w:p>
        </w:tc>
        <w:tc>
          <w:tcPr>
            <w:tcW w:w="606" w:type="pct"/>
            <w:tcBorders>
              <w:top w:val="nil"/>
              <w:left w:val="nil"/>
              <w:bottom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2,80</w:t>
            </w:r>
            <w:r w:rsidR="00056286" w:rsidRPr="002F17B5">
              <w:rPr>
                <w:rFonts w:cs="Arial"/>
                <w:b/>
                <w:bCs/>
                <w:sz w:val="22"/>
                <w:szCs w:val="22"/>
              </w:rPr>
              <w:t>4.5</w:t>
            </w:r>
          </w:p>
        </w:tc>
      </w:tr>
      <w:tr w:rsidR="004B284D" w:rsidRPr="002F17B5" w:rsidTr="00785E69">
        <w:trPr>
          <w:trHeight w:val="304"/>
          <w:jc w:val="center"/>
        </w:trPr>
        <w:tc>
          <w:tcPr>
            <w:tcW w:w="1830" w:type="pct"/>
            <w:tcBorders>
              <w:top w:val="nil"/>
              <w:bottom w:val="nil"/>
              <w:right w:val="nil"/>
            </w:tcBorders>
            <w:shd w:val="clear" w:color="auto" w:fill="FFFFFF" w:themeFill="background1"/>
            <w:noWrap/>
            <w:vAlign w:val="bottom"/>
            <w:hideMark/>
          </w:tcPr>
          <w:p w:rsidR="004B284D" w:rsidRPr="002F17B5" w:rsidRDefault="004B284D" w:rsidP="00006736">
            <w:pPr>
              <w:jc w:val="left"/>
              <w:rPr>
                <w:sz w:val="20"/>
                <w:szCs w:val="18"/>
              </w:rPr>
            </w:pPr>
            <w:r w:rsidRPr="002F17B5">
              <w:rPr>
                <w:sz w:val="20"/>
                <w:szCs w:val="18"/>
              </w:rPr>
              <w:t>Additions</w:t>
            </w:r>
          </w:p>
        </w:tc>
        <w:tc>
          <w:tcPr>
            <w:tcW w:w="602"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37.6</w:t>
            </w:r>
          </w:p>
        </w:tc>
        <w:tc>
          <w:tcPr>
            <w:tcW w:w="609"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5.9</w:t>
            </w:r>
          </w:p>
        </w:tc>
        <w:tc>
          <w:tcPr>
            <w:tcW w:w="675"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64.7</w:t>
            </w:r>
          </w:p>
        </w:tc>
        <w:tc>
          <w:tcPr>
            <w:tcW w:w="677"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28.2</w:t>
            </w:r>
          </w:p>
        </w:tc>
        <w:tc>
          <w:tcPr>
            <w:tcW w:w="606" w:type="pct"/>
            <w:tcBorders>
              <w:top w:val="nil"/>
              <w:left w:val="nil"/>
              <w:bottom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136.4</w:t>
            </w:r>
          </w:p>
        </w:tc>
      </w:tr>
      <w:tr w:rsidR="004B284D" w:rsidRPr="002F17B5" w:rsidTr="00785E69">
        <w:trPr>
          <w:trHeight w:val="361"/>
          <w:jc w:val="center"/>
        </w:trPr>
        <w:tc>
          <w:tcPr>
            <w:tcW w:w="1830" w:type="pct"/>
            <w:tcBorders>
              <w:top w:val="nil"/>
              <w:bottom w:val="nil"/>
              <w:right w:val="nil"/>
            </w:tcBorders>
            <w:shd w:val="clear" w:color="auto" w:fill="FFFFFF" w:themeFill="background1"/>
            <w:vAlign w:val="bottom"/>
            <w:hideMark/>
          </w:tcPr>
          <w:p w:rsidR="004B284D" w:rsidRPr="002F17B5" w:rsidRDefault="004B284D" w:rsidP="00006736">
            <w:pPr>
              <w:jc w:val="left"/>
              <w:rPr>
                <w:sz w:val="20"/>
                <w:szCs w:val="18"/>
              </w:rPr>
            </w:pPr>
            <w:r w:rsidRPr="002F17B5">
              <w:rPr>
                <w:sz w:val="20"/>
                <w:szCs w:val="18"/>
              </w:rPr>
              <w:t>De-recognition – disposals</w:t>
            </w:r>
          </w:p>
        </w:tc>
        <w:tc>
          <w:tcPr>
            <w:tcW w:w="602"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(39.1)</w:t>
            </w:r>
          </w:p>
        </w:tc>
        <w:tc>
          <w:tcPr>
            <w:tcW w:w="609"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5"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7"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(39.1)</w:t>
            </w:r>
          </w:p>
        </w:tc>
      </w:tr>
      <w:tr w:rsidR="004B284D" w:rsidRPr="002F17B5" w:rsidTr="00785E69">
        <w:trPr>
          <w:trHeight w:val="409"/>
          <w:jc w:val="center"/>
        </w:trPr>
        <w:tc>
          <w:tcPr>
            <w:tcW w:w="1830" w:type="pct"/>
            <w:tcBorders>
              <w:top w:val="nil"/>
              <w:bottom w:val="nil"/>
              <w:right w:val="nil"/>
            </w:tcBorders>
            <w:shd w:val="clear" w:color="auto" w:fill="FFFFFF" w:themeFill="background1"/>
            <w:vAlign w:val="bottom"/>
            <w:hideMark/>
          </w:tcPr>
          <w:p w:rsidR="004B284D" w:rsidRPr="002F17B5" w:rsidRDefault="004B284D" w:rsidP="00006736">
            <w:pPr>
              <w:jc w:val="left"/>
              <w:rPr>
                <w:sz w:val="20"/>
                <w:szCs w:val="18"/>
              </w:rPr>
            </w:pPr>
            <w:r w:rsidRPr="002F17B5">
              <w:rPr>
                <w:sz w:val="20"/>
                <w:szCs w:val="18"/>
              </w:rPr>
              <w:t>De-recognition – others</w:t>
            </w:r>
          </w:p>
        </w:tc>
        <w:tc>
          <w:tcPr>
            <w:tcW w:w="602" w:type="pct"/>
            <w:tcBorders>
              <w:top w:val="nil"/>
              <w:left w:val="nil"/>
              <w:bottom w:val="nil"/>
              <w:right w:val="nil"/>
            </w:tcBorders>
            <w:shd w:val="clear" w:color="auto" w:fill="FFFFFF" w:themeFill="background1"/>
            <w:noWrap/>
            <w:vAlign w:val="center"/>
            <w:hideMark/>
          </w:tcPr>
          <w:p w:rsidR="004B284D" w:rsidRPr="002F17B5" w:rsidRDefault="00A90E0E">
            <w:pPr>
              <w:jc w:val="right"/>
              <w:rPr>
                <w:rFonts w:cs="Arial"/>
                <w:sz w:val="22"/>
                <w:szCs w:val="22"/>
              </w:rPr>
            </w:pPr>
            <w:r w:rsidRPr="002F17B5">
              <w:rPr>
                <w:rFonts w:cs="Arial"/>
                <w:sz w:val="22"/>
                <w:szCs w:val="22"/>
              </w:rPr>
              <w:t>2.1</w:t>
            </w:r>
          </w:p>
        </w:tc>
        <w:tc>
          <w:tcPr>
            <w:tcW w:w="609"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(1.8)</w:t>
            </w:r>
          </w:p>
        </w:tc>
        <w:tc>
          <w:tcPr>
            <w:tcW w:w="675"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7"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nil"/>
            </w:tcBorders>
            <w:shd w:val="clear" w:color="auto" w:fill="FFFFFF" w:themeFill="background1"/>
            <w:noWrap/>
            <w:vAlign w:val="center"/>
            <w:hideMark/>
          </w:tcPr>
          <w:p w:rsidR="004B284D" w:rsidRPr="002F17B5" w:rsidRDefault="00A90E0E">
            <w:pPr>
              <w:jc w:val="right"/>
              <w:rPr>
                <w:rFonts w:cs="Arial"/>
                <w:b/>
                <w:bCs/>
                <w:sz w:val="22"/>
                <w:szCs w:val="22"/>
              </w:rPr>
            </w:pPr>
            <w:r w:rsidRPr="002F17B5">
              <w:rPr>
                <w:rFonts w:cs="Arial"/>
                <w:b/>
                <w:bCs/>
                <w:sz w:val="22"/>
                <w:szCs w:val="22"/>
              </w:rPr>
              <w:t>0.3</w:t>
            </w:r>
          </w:p>
        </w:tc>
      </w:tr>
      <w:tr w:rsidR="004B284D" w:rsidRPr="002F17B5" w:rsidTr="00785E69">
        <w:trPr>
          <w:trHeight w:val="609"/>
          <w:jc w:val="center"/>
        </w:trPr>
        <w:tc>
          <w:tcPr>
            <w:tcW w:w="1830" w:type="pct"/>
            <w:tcBorders>
              <w:top w:val="nil"/>
              <w:bottom w:val="nil"/>
              <w:right w:val="nil"/>
            </w:tcBorders>
            <w:shd w:val="clear" w:color="auto" w:fill="FFFFFF" w:themeFill="background1"/>
            <w:vAlign w:val="bottom"/>
            <w:hideMark/>
          </w:tcPr>
          <w:p w:rsidR="004B284D" w:rsidRPr="002F17B5" w:rsidRDefault="004B284D" w:rsidP="00006736">
            <w:pPr>
              <w:jc w:val="left"/>
              <w:rPr>
                <w:sz w:val="20"/>
                <w:szCs w:val="18"/>
              </w:rPr>
            </w:pPr>
            <w:r w:rsidRPr="002F17B5">
              <w:rPr>
                <w:sz w:val="20"/>
                <w:szCs w:val="18"/>
              </w:rPr>
              <w:t>Revaluations increases/(decreases) recognised in Revaluation Reserve</w:t>
            </w:r>
          </w:p>
        </w:tc>
        <w:tc>
          <w:tcPr>
            <w:tcW w:w="602"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14.7</w:t>
            </w:r>
          </w:p>
        </w:tc>
        <w:tc>
          <w:tcPr>
            <w:tcW w:w="609"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5"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7"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14.7</w:t>
            </w:r>
          </w:p>
        </w:tc>
      </w:tr>
      <w:tr w:rsidR="004B284D" w:rsidRPr="002F17B5" w:rsidTr="00785E69">
        <w:trPr>
          <w:trHeight w:val="572"/>
          <w:jc w:val="center"/>
        </w:trPr>
        <w:tc>
          <w:tcPr>
            <w:tcW w:w="1830" w:type="pct"/>
            <w:tcBorders>
              <w:top w:val="nil"/>
              <w:bottom w:val="nil"/>
              <w:right w:val="nil"/>
            </w:tcBorders>
            <w:shd w:val="clear" w:color="auto" w:fill="FFFFFF" w:themeFill="background1"/>
            <w:vAlign w:val="bottom"/>
            <w:hideMark/>
          </w:tcPr>
          <w:p w:rsidR="004B284D" w:rsidRPr="002F17B5" w:rsidRDefault="004B284D" w:rsidP="00006736">
            <w:pPr>
              <w:jc w:val="left"/>
              <w:rPr>
                <w:sz w:val="20"/>
                <w:szCs w:val="18"/>
              </w:rPr>
            </w:pPr>
            <w:r w:rsidRPr="002F17B5">
              <w:rPr>
                <w:sz w:val="20"/>
                <w:szCs w:val="18"/>
              </w:rPr>
              <w:t>Revaluations increases/(decreases) recognised in Surplus/Deficit on Provision of Services</w:t>
            </w:r>
          </w:p>
        </w:tc>
        <w:tc>
          <w:tcPr>
            <w:tcW w:w="602"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(37.6)</w:t>
            </w:r>
          </w:p>
        </w:tc>
        <w:tc>
          <w:tcPr>
            <w:tcW w:w="609"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5"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7" w:type="pct"/>
            <w:tcBorders>
              <w:top w:val="nil"/>
              <w:left w:val="nil"/>
              <w:bottom w:val="nil"/>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(37.6)</w:t>
            </w:r>
          </w:p>
        </w:tc>
      </w:tr>
      <w:tr w:rsidR="004B284D" w:rsidRPr="002F17B5" w:rsidTr="00785E69">
        <w:trPr>
          <w:trHeight w:val="283"/>
          <w:jc w:val="center"/>
        </w:trPr>
        <w:tc>
          <w:tcPr>
            <w:tcW w:w="1830" w:type="pct"/>
            <w:tcBorders>
              <w:top w:val="nil"/>
              <w:bottom w:val="nil"/>
              <w:right w:val="nil"/>
            </w:tcBorders>
            <w:shd w:val="clear" w:color="auto" w:fill="FFFFFF" w:themeFill="background1"/>
            <w:vAlign w:val="bottom"/>
            <w:hideMark/>
          </w:tcPr>
          <w:p w:rsidR="004B284D" w:rsidRPr="002F17B5" w:rsidRDefault="004B284D" w:rsidP="00006736">
            <w:pPr>
              <w:jc w:val="left"/>
              <w:rPr>
                <w:sz w:val="20"/>
                <w:szCs w:val="18"/>
              </w:rPr>
            </w:pPr>
            <w:r w:rsidRPr="002F17B5">
              <w:rPr>
                <w:sz w:val="20"/>
                <w:szCs w:val="18"/>
              </w:rPr>
              <w:t xml:space="preserve">Assets reclassified </w:t>
            </w:r>
          </w:p>
        </w:tc>
        <w:tc>
          <w:tcPr>
            <w:tcW w:w="602" w:type="pct"/>
            <w:tcBorders>
              <w:top w:val="nil"/>
              <w:left w:val="nil"/>
              <w:bottom w:val="single" w:sz="4" w:space="0" w:color="auto"/>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(5.8)</w:t>
            </w:r>
          </w:p>
        </w:tc>
        <w:tc>
          <w:tcPr>
            <w:tcW w:w="609" w:type="pct"/>
            <w:tcBorders>
              <w:top w:val="nil"/>
              <w:left w:val="nil"/>
              <w:bottom w:val="single" w:sz="4" w:space="0" w:color="auto"/>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5" w:type="pct"/>
            <w:tcBorders>
              <w:top w:val="nil"/>
              <w:left w:val="nil"/>
              <w:bottom w:val="single" w:sz="4" w:space="0" w:color="auto"/>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77" w:type="pct"/>
            <w:tcBorders>
              <w:top w:val="nil"/>
              <w:left w:val="nil"/>
              <w:bottom w:val="single" w:sz="4" w:space="0" w:color="auto"/>
              <w:right w:val="nil"/>
            </w:tcBorders>
            <w:shd w:val="clear" w:color="auto" w:fill="FFFFFF" w:themeFill="background1"/>
            <w:noWrap/>
            <w:vAlign w:val="center"/>
            <w:hideMark/>
          </w:tcPr>
          <w:p w:rsidR="004B284D"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single" w:sz="4" w:space="0" w:color="auto"/>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(5.8)</w:t>
            </w:r>
          </w:p>
        </w:tc>
      </w:tr>
      <w:tr w:rsidR="004B284D" w:rsidRPr="002F17B5" w:rsidTr="00785E69">
        <w:trPr>
          <w:trHeight w:val="304"/>
          <w:jc w:val="center"/>
        </w:trPr>
        <w:tc>
          <w:tcPr>
            <w:tcW w:w="1830" w:type="pct"/>
            <w:tcBorders>
              <w:right w:val="nil"/>
            </w:tcBorders>
            <w:shd w:val="clear" w:color="auto" w:fill="FFFFFF" w:themeFill="background1"/>
            <w:noWrap/>
            <w:vAlign w:val="bottom"/>
            <w:hideMark/>
          </w:tcPr>
          <w:p w:rsidR="004B284D" w:rsidRPr="002F17B5" w:rsidRDefault="004B284D" w:rsidP="00006736">
            <w:pPr>
              <w:jc w:val="left"/>
              <w:rPr>
                <w:b/>
                <w:bCs/>
                <w:sz w:val="20"/>
                <w:szCs w:val="18"/>
              </w:rPr>
            </w:pPr>
            <w:r w:rsidRPr="002F17B5">
              <w:rPr>
                <w:b/>
                <w:bCs/>
                <w:sz w:val="20"/>
                <w:szCs w:val="18"/>
              </w:rPr>
              <w:t>At 31 March 2014</w:t>
            </w:r>
          </w:p>
        </w:tc>
        <w:tc>
          <w:tcPr>
            <w:tcW w:w="602" w:type="pct"/>
            <w:tcBorders>
              <w:top w:val="single" w:sz="4" w:space="0" w:color="auto"/>
              <w:left w:val="nil"/>
              <w:bottom w:val="single" w:sz="4" w:space="0" w:color="auto"/>
              <w:right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2,</w:t>
            </w:r>
            <w:r w:rsidR="00A90E0E" w:rsidRPr="002F17B5">
              <w:rPr>
                <w:rFonts w:cs="Arial"/>
                <w:b/>
                <w:bCs/>
                <w:sz w:val="22"/>
                <w:szCs w:val="22"/>
              </w:rPr>
              <w:t>081</w:t>
            </w:r>
            <w:r w:rsidR="00056286" w:rsidRPr="002F17B5">
              <w:rPr>
                <w:rFonts w:cs="Arial"/>
                <w:b/>
                <w:bCs/>
                <w:sz w:val="22"/>
                <w:szCs w:val="22"/>
              </w:rPr>
              <w:t>.</w:t>
            </w:r>
            <w:r w:rsidR="00A90E0E" w:rsidRPr="002F17B5">
              <w:rPr>
                <w:rFonts w:cs="Arial"/>
                <w:b/>
                <w:bCs/>
                <w:sz w:val="22"/>
                <w:szCs w:val="22"/>
              </w:rPr>
              <w:t>3</w:t>
            </w:r>
          </w:p>
        </w:tc>
        <w:tc>
          <w:tcPr>
            <w:tcW w:w="609" w:type="pct"/>
            <w:tcBorders>
              <w:top w:val="single" w:sz="4" w:space="0" w:color="auto"/>
              <w:left w:val="nil"/>
              <w:bottom w:val="single" w:sz="4" w:space="0" w:color="auto"/>
              <w:right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75.4</w:t>
            </w:r>
          </w:p>
        </w:tc>
        <w:tc>
          <w:tcPr>
            <w:tcW w:w="675" w:type="pct"/>
            <w:tcBorders>
              <w:top w:val="single" w:sz="4" w:space="0" w:color="auto"/>
              <w:left w:val="nil"/>
              <w:bottom w:val="single" w:sz="4" w:space="0" w:color="auto"/>
              <w:right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687.8</w:t>
            </w:r>
          </w:p>
        </w:tc>
        <w:tc>
          <w:tcPr>
            <w:tcW w:w="677" w:type="pct"/>
            <w:tcBorders>
              <w:top w:val="single" w:sz="4" w:space="0" w:color="auto"/>
              <w:left w:val="nil"/>
              <w:bottom w:val="single" w:sz="4" w:space="0" w:color="auto"/>
              <w:right w:val="nil"/>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28.9</w:t>
            </w:r>
          </w:p>
        </w:tc>
        <w:tc>
          <w:tcPr>
            <w:tcW w:w="606" w:type="pct"/>
            <w:tcBorders>
              <w:top w:val="single" w:sz="4" w:space="0" w:color="auto"/>
              <w:left w:val="nil"/>
              <w:bottom w:val="single" w:sz="4" w:space="0" w:color="auto"/>
            </w:tcBorders>
            <w:shd w:val="clear" w:color="auto" w:fill="FFFFFF" w:themeFill="background1"/>
            <w:noWrap/>
            <w:vAlign w:val="center"/>
            <w:hideMark/>
          </w:tcPr>
          <w:p w:rsidR="004B284D" w:rsidRPr="002F17B5" w:rsidRDefault="004B284D">
            <w:pPr>
              <w:jc w:val="right"/>
              <w:rPr>
                <w:rFonts w:cs="Arial"/>
                <w:b/>
                <w:bCs/>
                <w:sz w:val="22"/>
                <w:szCs w:val="22"/>
              </w:rPr>
            </w:pPr>
            <w:r w:rsidRPr="002F17B5">
              <w:rPr>
                <w:rFonts w:cs="Arial"/>
                <w:b/>
                <w:bCs/>
                <w:sz w:val="22"/>
                <w:szCs w:val="22"/>
              </w:rPr>
              <w:t>2,87</w:t>
            </w:r>
            <w:r w:rsidR="0090481B" w:rsidRPr="002F17B5">
              <w:rPr>
                <w:rFonts w:cs="Arial"/>
                <w:b/>
                <w:bCs/>
                <w:sz w:val="22"/>
                <w:szCs w:val="22"/>
              </w:rPr>
              <w:t>3</w:t>
            </w:r>
            <w:r w:rsidR="00056286" w:rsidRPr="002F17B5">
              <w:rPr>
                <w:rFonts w:cs="Arial"/>
                <w:b/>
                <w:bCs/>
                <w:sz w:val="22"/>
                <w:szCs w:val="22"/>
              </w:rPr>
              <w:t>.</w:t>
            </w:r>
            <w:r w:rsidR="0090481B" w:rsidRPr="002F17B5">
              <w:rPr>
                <w:rFonts w:cs="Arial"/>
                <w:b/>
                <w:bCs/>
                <w:sz w:val="22"/>
                <w:szCs w:val="22"/>
              </w:rPr>
              <w:t>4</w:t>
            </w:r>
          </w:p>
        </w:tc>
      </w:tr>
      <w:tr w:rsidR="00FD5388" w:rsidRPr="002F17B5" w:rsidTr="00785E69">
        <w:trPr>
          <w:trHeight w:val="522"/>
          <w:jc w:val="center"/>
        </w:trPr>
        <w:tc>
          <w:tcPr>
            <w:tcW w:w="1830" w:type="pct"/>
            <w:tcBorders>
              <w:top w:val="nil"/>
              <w:bottom w:val="nil"/>
              <w:right w:val="nil"/>
            </w:tcBorders>
            <w:shd w:val="clear" w:color="auto" w:fill="FFFFFF" w:themeFill="background1"/>
            <w:vAlign w:val="bottom"/>
            <w:hideMark/>
          </w:tcPr>
          <w:p w:rsidR="00C46A78" w:rsidRPr="002F17B5" w:rsidRDefault="00C46A78" w:rsidP="00006736">
            <w:pPr>
              <w:jc w:val="left"/>
              <w:rPr>
                <w:b/>
                <w:bCs/>
                <w:sz w:val="22"/>
                <w:szCs w:val="20"/>
              </w:rPr>
            </w:pPr>
          </w:p>
          <w:p w:rsidR="00FF079C" w:rsidRPr="002F17B5" w:rsidRDefault="00785E69" w:rsidP="00006736">
            <w:pPr>
              <w:jc w:val="left"/>
              <w:rPr>
                <w:b/>
                <w:bCs/>
                <w:sz w:val="22"/>
                <w:szCs w:val="20"/>
              </w:rPr>
            </w:pPr>
            <w:r w:rsidRPr="002F17B5">
              <w:rPr>
                <w:b/>
                <w:bCs/>
                <w:sz w:val="22"/>
                <w:szCs w:val="20"/>
              </w:rPr>
              <w:t>Depreciation and Impairments</w:t>
            </w:r>
          </w:p>
        </w:tc>
        <w:tc>
          <w:tcPr>
            <w:tcW w:w="602" w:type="pct"/>
            <w:tcBorders>
              <w:top w:val="single" w:sz="4" w:space="0" w:color="auto"/>
              <w:left w:val="nil"/>
              <w:bottom w:val="nil"/>
              <w:right w:val="nil"/>
            </w:tcBorders>
            <w:shd w:val="clear" w:color="auto" w:fill="FFFFFF" w:themeFill="background1"/>
            <w:noWrap/>
            <w:vAlign w:val="center"/>
            <w:hideMark/>
          </w:tcPr>
          <w:p w:rsidR="00FD5388" w:rsidRPr="002F17B5" w:rsidRDefault="00FD5388" w:rsidP="00006736">
            <w:pPr>
              <w:jc w:val="right"/>
              <w:rPr>
                <w:sz w:val="22"/>
                <w:szCs w:val="22"/>
              </w:rPr>
            </w:pPr>
          </w:p>
        </w:tc>
        <w:tc>
          <w:tcPr>
            <w:tcW w:w="609" w:type="pct"/>
            <w:tcBorders>
              <w:top w:val="single" w:sz="4" w:space="0" w:color="auto"/>
              <w:left w:val="nil"/>
              <w:bottom w:val="nil"/>
              <w:right w:val="nil"/>
            </w:tcBorders>
            <w:shd w:val="clear" w:color="auto" w:fill="FFFFFF" w:themeFill="background1"/>
            <w:noWrap/>
            <w:vAlign w:val="center"/>
            <w:hideMark/>
          </w:tcPr>
          <w:p w:rsidR="00FD5388" w:rsidRPr="002F17B5" w:rsidRDefault="00FD5388" w:rsidP="00006736">
            <w:pPr>
              <w:jc w:val="right"/>
              <w:rPr>
                <w:sz w:val="22"/>
                <w:szCs w:val="22"/>
              </w:rPr>
            </w:pPr>
          </w:p>
        </w:tc>
        <w:tc>
          <w:tcPr>
            <w:tcW w:w="675" w:type="pct"/>
            <w:tcBorders>
              <w:top w:val="single" w:sz="4" w:space="0" w:color="auto"/>
              <w:left w:val="nil"/>
              <w:bottom w:val="nil"/>
              <w:right w:val="nil"/>
            </w:tcBorders>
            <w:shd w:val="clear" w:color="auto" w:fill="FFFFFF" w:themeFill="background1"/>
            <w:noWrap/>
            <w:vAlign w:val="center"/>
            <w:hideMark/>
          </w:tcPr>
          <w:p w:rsidR="00FD5388" w:rsidRPr="002F17B5" w:rsidRDefault="00FD5388" w:rsidP="00006736">
            <w:pPr>
              <w:jc w:val="right"/>
              <w:rPr>
                <w:sz w:val="22"/>
                <w:szCs w:val="22"/>
              </w:rPr>
            </w:pPr>
          </w:p>
        </w:tc>
        <w:tc>
          <w:tcPr>
            <w:tcW w:w="677" w:type="pct"/>
            <w:tcBorders>
              <w:top w:val="single" w:sz="4" w:space="0" w:color="auto"/>
              <w:left w:val="nil"/>
              <w:bottom w:val="nil"/>
              <w:right w:val="nil"/>
            </w:tcBorders>
            <w:shd w:val="clear" w:color="auto" w:fill="FFFFFF" w:themeFill="background1"/>
            <w:noWrap/>
            <w:vAlign w:val="center"/>
            <w:hideMark/>
          </w:tcPr>
          <w:p w:rsidR="00FD5388" w:rsidRPr="002F17B5" w:rsidRDefault="00FD5388" w:rsidP="00006736">
            <w:pPr>
              <w:jc w:val="right"/>
              <w:rPr>
                <w:sz w:val="22"/>
                <w:szCs w:val="22"/>
              </w:rPr>
            </w:pPr>
          </w:p>
        </w:tc>
        <w:tc>
          <w:tcPr>
            <w:tcW w:w="606" w:type="pct"/>
            <w:tcBorders>
              <w:top w:val="single" w:sz="4" w:space="0" w:color="auto"/>
              <w:left w:val="nil"/>
              <w:bottom w:val="nil"/>
            </w:tcBorders>
            <w:shd w:val="clear" w:color="auto" w:fill="FFFFFF" w:themeFill="background1"/>
            <w:noWrap/>
            <w:vAlign w:val="center"/>
            <w:hideMark/>
          </w:tcPr>
          <w:p w:rsidR="00FD5388" w:rsidRPr="002F17B5" w:rsidRDefault="00FD5388" w:rsidP="00006736">
            <w:pPr>
              <w:jc w:val="right"/>
              <w:rPr>
                <w:b/>
                <w:bCs/>
                <w:color w:val="0000FF"/>
                <w:sz w:val="22"/>
                <w:szCs w:val="22"/>
              </w:rPr>
            </w:pPr>
          </w:p>
        </w:tc>
      </w:tr>
      <w:tr w:rsidR="004B284D" w:rsidRPr="002F17B5" w:rsidTr="00785E69">
        <w:trPr>
          <w:trHeight w:val="304"/>
          <w:jc w:val="center"/>
        </w:trPr>
        <w:tc>
          <w:tcPr>
            <w:tcW w:w="1830" w:type="pct"/>
            <w:tcBorders>
              <w:top w:val="nil"/>
              <w:bottom w:val="nil"/>
              <w:right w:val="nil"/>
            </w:tcBorders>
            <w:shd w:val="clear" w:color="auto" w:fill="FFFFFF" w:themeFill="background1"/>
            <w:noWrap/>
            <w:vAlign w:val="bottom"/>
            <w:hideMark/>
          </w:tcPr>
          <w:p w:rsidR="004B284D" w:rsidRPr="002F17B5" w:rsidRDefault="004B284D" w:rsidP="00006736">
            <w:pPr>
              <w:jc w:val="left"/>
              <w:rPr>
                <w:b/>
                <w:bCs/>
                <w:sz w:val="20"/>
                <w:szCs w:val="18"/>
              </w:rPr>
            </w:pPr>
            <w:r w:rsidRPr="002F17B5">
              <w:rPr>
                <w:b/>
                <w:bCs/>
                <w:sz w:val="20"/>
                <w:szCs w:val="18"/>
              </w:rPr>
              <w:t>At 1 April 2013</w:t>
            </w:r>
          </w:p>
        </w:tc>
        <w:tc>
          <w:tcPr>
            <w:tcW w:w="602" w:type="pct"/>
            <w:tcBorders>
              <w:top w:val="nil"/>
              <w:left w:val="nil"/>
              <w:bottom w:val="nil"/>
              <w:right w:val="nil"/>
            </w:tcBorders>
            <w:shd w:val="clear" w:color="auto" w:fill="FFFFFF" w:themeFill="background1"/>
            <w:noWrap/>
            <w:vAlign w:val="center"/>
            <w:hideMark/>
          </w:tcPr>
          <w:p w:rsidR="004B284D" w:rsidRPr="002F17B5" w:rsidRDefault="005D3E0E" w:rsidP="00782000">
            <w:pPr>
              <w:jc w:val="right"/>
              <w:rPr>
                <w:rFonts w:cs="Arial"/>
                <w:sz w:val="22"/>
                <w:szCs w:val="22"/>
              </w:rPr>
            </w:pPr>
            <w:r w:rsidRPr="002F17B5">
              <w:rPr>
                <w:rFonts w:cs="Arial"/>
                <w:sz w:val="22"/>
                <w:szCs w:val="22"/>
              </w:rPr>
              <w:t>90.8</w:t>
            </w:r>
          </w:p>
        </w:tc>
        <w:tc>
          <w:tcPr>
            <w:tcW w:w="609"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35.8</w:t>
            </w:r>
          </w:p>
        </w:tc>
        <w:tc>
          <w:tcPr>
            <w:tcW w:w="675"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65.6</w:t>
            </w:r>
          </w:p>
        </w:tc>
        <w:tc>
          <w:tcPr>
            <w:tcW w:w="677"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19</w:t>
            </w:r>
            <w:r w:rsidR="00056286" w:rsidRPr="002F17B5">
              <w:rPr>
                <w:rFonts w:cs="Arial"/>
                <w:b/>
                <w:bCs/>
                <w:sz w:val="22"/>
                <w:szCs w:val="22"/>
              </w:rPr>
              <w:t>2.2</w:t>
            </w:r>
          </w:p>
        </w:tc>
      </w:tr>
      <w:tr w:rsidR="004B284D" w:rsidRPr="002F17B5" w:rsidTr="00785E69">
        <w:trPr>
          <w:trHeight w:val="422"/>
          <w:jc w:val="center"/>
        </w:trPr>
        <w:tc>
          <w:tcPr>
            <w:tcW w:w="1830" w:type="pct"/>
            <w:tcBorders>
              <w:top w:val="nil"/>
              <w:bottom w:val="nil"/>
              <w:right w:val="nil"/>
            </w:tcBorders>
            <w:shd w:val="clear" w:color="auto" w:fill="FFFFFF" w:themeFill="background1"/>
            <w:vAlign w:val="bottom"/>
            <w:hideMark/>
          </w:tcPr>
          <w:p w:rsidR="004B284D" w:rsidRPr="0086593E" w:rsidRDefault="0086593E" w:rsidP="00006736">
            <w:pPr>
              <w:jc w:val="left"/>
              <w:rPr>
                <w:sz w:val="20"/>
                <w:szCs w:val="18"/>
              </w:rPr>
            </w:pPr>
            <w:r w:rsidRPr="00AA5305">
              <w:rPr>
                <w:sz w:val="20"/>
                <w:szCs w:val="18"/>
              </w:rPr>
              <w:t>Depreciation charge for 2013/14</w:t>
            </w:r>
          </w:p>
        </w:tc>
        <w:tc>
          <w:tcPr>
            <w:tcW w:w="602" w:type="pct"/>
            <w:tcBorders>
              <w:top w:val="nil"/>
              <w:left w:val="nil"/>
              <w:bottom w:val="nil"/>
              <w:right w:val="nil"/>
            </w:tcBorders>
            <w:shd w:val="clear" w:color="auto" w:fill="FFFFFF" w:themeFill="background1"/>
            <w:noWrap/>
            <w:vAlign w:val="center"/>
            <w:hideMark/>
          </w:tcPr>
          <w:p w:rsidR="004B284D" w:rsidRPr="002F17B5" w:rsidRDefault="004B284D" w:rsidP="00782000">
            <w:pPr>
              <w:jc w:val="right"/>
              <w:rPr>
                <w:rFonts w:cs="Arial"/>
                <w:sz w:val="22"/>
                <w:szCs w:val="22"/>
              </w:rPr>
            </w:pPr>
            <w:r w:rsidRPr="002F17B5">
              <w:rPr>
                <w:rFonts w:cs="Arial"/>
                <w:sz w:val="22"/>
                <w:szCs w:val="22"/>
              </w:rPr>
              <w:t>24.7</w:t>
            </w:r>
          </w:p>
        </w:tc>
        <w:tc>
          <w:tcPr>
            <w:tcW w:w="609"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7.6</w:t>
            </w:r>
          </w:p>
        </w:tc>
        <w:tc>
          <w:tcPr>
            <w:tcW w:w="675"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14.9</w:t>
            </w:r>
          </w:p>
        </w:tc>
        <w:tc>
          <w:tcPr>
            <w:tcW w:w="677"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47.2</w:t>
            </w:r>
          </w:p>
        </w:tc>
      </w:tr>
      <w:tr w:rsidR="004B284D" w:rsidRPr="002F17B5" w:rsidTr="00785E69">
        <w:trPr>
          <w:trHeight w:val="353"/>
          <w:jc w:val="center"/>
        </w:trPr>
        <w:tc>
          <w:tcPr>
            <w:tcW w:w="1830" w:type="pct"/>
            <w:tcBorders>
              <w:top w:val="nil"/>
              <w:bottom w:val="nil"/>
              <w:right w:val="nil"/>
            </w:tcBorders>
            <w:shd w:val="clear" w:color="auto" w:fill="FFFFFF" w:themeFill="background1"/>
            <w:vAlign w:val="bottom"/>
            <w:hideMark/>
          </w:tcPr>
          <w:p w:rsidR="004B284D" w:rsidRPr="002F17B5" w:rsidRDefault="004B284D" w:rsidP="00006736">
            <w:pPr>
              <w:jc w:val="left"/>
              <w:rPr>
                <w:sz w:val="20"/>
                <w:szCs w:val="18"/>
              </w:rPr>
            </w:pPr>
            <w:r w:rsidRPr="002F17B5">
              <w:rPr>
                <w:sz w:val="20"/>
                <w:szCs w:val="18"/>
              </w:rPr>
              <w:t>De-recognition – disposals</w:t>
            </w:r>
          </w:p>
        </w:tc>
        <w:tc>
          <w:tcPr>
            <w:tcW w:w="602" w:type="pct"/>
            <w:tcBorders>
              <w:top w:val="nil"/>
              <w:left w:val="nil"/>
              <w:bottom w:val="nil"/>
              <w:right w:val="nil"/>
            </w:tcBorders>
            <w:shd w:val="clear" w:color="auto" w:fill="FFFFFF" w:themeFill="background1"/>
            <w:noWrap/>
            <w:vAlign w:val="center"/>
            <w:hideMark/>
          </w:tcPr>
          <w:p w:rsidR="004B284D" w:rsidRPr="002F17B5" w:rsidRDefault="004B284D" w:rsidP="00782000">
            <w:pPr>
              <w:jc w:val="right"/>
              <w:rPr>
                <w:rFonts w:cs="Arial"/>
                <w:sz w:val="22"/>
                <w:szCs w:val="22"/>
              </w:rPr>
            </w:pPr>
            <w:r w:rsidRPr="002F17B5">
              <w:rPr>
                <w:rFonts w:cs="Arial"/>
                <w:sz w:val="22"/>
                <w:szCs w:val="22"/>
              </w:rPr>
              <w:t>(3.1)</w:t>
            </w:r>
          </w:p>
        </w:tc>
        <w:tc>
          <w:tcPr>
            <w:tcW w:w="609"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w:t>
            </w:r>
          </w:p>
        </w:tc>
        <w:tc>
          <w:tcPr>
            <w:tcW w:w="675"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w:t>
            </w:r>
          </w:p>
        </w:tc>
        <w:tc>
          <w:tcPr>
            <w:tcW w:w="677" w:type="pct"/>
            <w:tcBorders>
              <w:top w:val="nil"/>
              <w:left w:val="nil"/>
              <w:bottom w:val="nil"/>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(3.1)</w:t>
            </w:r>
          </w:p>
        </w:tc>
      </w:tr>
      <w:tr w:rsidR="004B284D" w:rsidRPr="002F17B5" w:rsidTr="00785E69">
        <w:trPr>
          <w:trHeight w:val="288"/>
          <w:jc w:val="center"/>
        </w:trPr>
        <w:tc>
          <w:tcPr>
            <w:tcW w:w="1830" w:type="pct"/>
            <w:tcBorders>
              <w:top w:val="nil"/>
              <w:bottom w:val="nil"/>
              <w:right w:val="nil"/>
            </w:tcBorders>
            <w:shd w:val="clear" w:color="auto" w:fill="FFFFFF" w:themeFill="background1"/>
            <w:vAlign w:val="bottom"/>
            <w:hideMark/>
          </w:tcPr>
          <w:p w:rsidR="004B284D" w:rsidRPr="002F17B5" w:rsidRDefault="004B284D" w:rsidP="00006736">
            <w:pPr>
              <w:jc w:val="left"/>
              <w:rPr>
                <w:sz w:val="20"/>
                <w:szCs w:val="18"/>
              </w:rPr>
            </w:pPr>
            <w:r w:rsidRPr="002F17B5">
              <w:rPr>
                <w:sz w:val="20"/>
                <w:szCs w:val="18"/>
              </w:rPr>
              <w:t>De-recognitions – others</w:t>
            </w:r>
          </w:p>
        </w:tc>
        <w:tc>
          <w:tcPr>
            <w:tcW w:w="602" w:type="pct"/>
            <w:tcBorders>
              <w:top w:val="nil"/>
              <w:left w:val="nil"/>
              <w:bottom w:val="single" w:sz="4" w:space="0" w:color="auto"/>
              <w:right w:val="nil"/>
            </w:tcBorders>
            <w:shd w:val="clear" w:color="auto" w:fill="FFFFFF" w:themeFill="background1"/>
            <w:noWrap/>
            <w:vAlign w:val="center"/>
            <w:hideMark/>
          </w:tcPr>
          <w:p w:rsidR="004B284D" w:rsidRPr="002F17B5" w:rsidRDefault="004B284D" w:rsidP="00782000">
            <w:pPr>
              <w:jc w:val="right"/>
              <w:rPr>
                <w:rFonts w:cs="Arial"/>
                <w:sz w:val="22"/>
                <w:szCs w:val="22"/>
              </w:rPr>
            </w:pPr>
            <w:r w:rsidRPr="002F17B5">
              <w:rPr>
                <w:rFonts w:cs="Arial"/>
                <w:sz w:val="22"/>
                <w:szCs w:val="22"/>
              </w:rPr>
              <w:t>(</w:t>
            </w:r>
            <w:r w:rsidR="00A90E0E" w:rsidRPr="002F17B5">
              <w:rPr>
                <w:rFonts w:cs="Arial"/>
                <w:sz w:val="22"/>
                <w:szCs w:val="22"/>
              </w:rPr>
              <w:t>1</w:t>
            </w:r>
            <w:r w:rsidRPr="002F17B5">
              <w:rPr>
                <w:rFonts w:cs="Arial"/>
                <w:sz w:val="22"/>
                <w:szCs w:val="22"/>
              </w:rPr>
              <w:t>.</w:t>
            </w:r>
            <w:r w:rsidR="00A90E0E" w:rsidRPr="002F17B5">
              <w:rPr>
                <w:rFonts w:cs="Arial"/>
                <w:sz w:val="22"/>
                <w:szCs w:val="22"/>
              </w:rPr>
              <w:t>9</w:t>
            </w:r>
            <w:r w:rsidRPr="002F17B5">
              <w:rPr>
                <w:rFonts w:cs="Arial"/>
                <w:sz w:val="22"/>
                <w:szCs w:val="22"/>
              </w:rPr>
              <w:t>)</w:t>
            </w:r>
          </w:p>
        </w:tc>
        <w:tc>
          <w:tcPr>
            <w:tcW w:w="609" w:type="pct"/>
            <w:tcBorders>
              <w:top w:val="nil"/>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(1.0)</w:t>
            </w:r>
          </w:p>
        </w:tc>
        <w:tc>
          <w:tcPr>
            <w:tcW w:w="675" w:type="pct"/>
            <w:tcBorders>
              <w:top w:val="nil"/>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w:t>
            </w:r>
          </w:p>
        </w:tc>
        <w:tc>
          <w:tcPr>
            <w:tcW w:w="677" w:type="pct"/>
            <w:tcBorders>
              <w:top w:val="nil"/>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sz w:val="22"/>
                <w:szCs w:val="22"/>
              </w:rPr>
            </w:pPr>
            <w:r w:rsidRPr="002F17B5">
              <w:rPr>
                <w:rFonts w:cs="Arial"/>
                <w:sz w:val="22"/>
                <w:szCs w:val="22"/>
              </w:rPr>
              <w:t>-</w:t>
            </w:r>
          </w:p>
        </w:tc>
        <w:tc>
          <w:tcPr>
            <w:tcW w:w="606" w:type="pct"/>
            <w:tcBorders>
              <w:top w:val="nil"/>
              <w:left w:val="nil"/>
              <w:bottom w:val="single" w:sz="4" w:space="0" w:color="auto"/>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w:t>
            </w:r>
            <w:r w:rsidR="00A90E0E" w:rsidRPr="002F17B5">
              <w:rPr>
                <w:rFonts w:cs="Arial"/>
                <w:b/>
                <w:bCs/>
                <w:sz w:val="22"/>
                <w:szCs w:val="22"/>
              </w:rPr>
              <w:t>2</w:t>
            </w:r>
            <w:r w:rsidRPr="002F17B5">
              <w:rPr>
                <w:rFonts w:cs="Arial"/>
                <w:b/>
                <w:bCs/>
                <w:sz w:val="22"/>
                <w:szCs w:val="22"/>
              </w:rPr>
              <w:t>.</w:t>
            </w:r>
            <w:r w:rsidR="00A90E0E" w:rsidRPr="002F17B5">
              <w:rPr>
                <w:rFonts w:cs="Arial"/>
                <w:b/>
                <w:bCs/>
                <w:sz w:val="22"/>
                <w:szCs w:val="22"/>
              </w:rPr>
              <w:t>9</w:t>
            </w:r>
            <w:r w:rsidRPr="002F17B5">
              <w:rPr>
                <w:rFonts w:cs="Arial"/>
                <w:b/>
                <w:bCs/>
                <w:sz w:val="22"/>
                <w:szCs w:val="22"/>
              </w:rPr>
              <w:t>)</w:t>
            </w:r>
          </w:p>
        </w:tc>
      </w:tr>
      <w:tr w:rsidR="004B284D" w:rsidRPr="002F17B5" w:rsidTr="00785E69">
        <w:trPr>
          <w:trHeight w:val="304"/>
          <w:jc w:val="center"/>
        </w:trPr>
        <w:tc>
          <w:tcPr>
            <w:tcW w:w="1830" w:type="pct"/>
            <w:tcBorders>
              <w:right w:val="nil"/>
            </w:tcBorders>
            <w:shd w:val="clear" w:color="auto" w:fill="FFFFFF" w:themeFill="background1"/>
            <w:noWrap/>
            <w:vAlign w:val="bottom"/>
            <w:hideMark/>
          </w:tcPr>
          <w:p w:rsidR="004B284D" w:rsidRPr="002F17B5" w:rsidRDefault="004B284D" w:rsidP="00006736">
            <w:pPr>
              <w:jc w:val="left"/>
              <w:rPr>
                <w:b/>
                <w:bCs/>
                <w:sz w:val="20"/>
                <w:szCs w:val="18"/>
              </w:rPr>
            </w:pPr>
            <w:r w:rsidRPr="002F17B5">
              <w:rPr>
                <w:b/>
                <w:bCs/>
                <w:sz w:val="20"/>
                <w:szCs w:val="18"/>
              </w:rPr>
              <w:t>At 31 March 2014</w:t>
            </w:r>
          </w:p>
        </w:tc>
        <w:tc>
          <w:tcPr>
            <w:tcW w:w="602" w:type="pct"/>
            <w:tcBorders>
              <w:top w:val="single" w:sz="4" w:space="0" w:color="auto"/>
              <w:left w:val="nil"/>
              <w:bottom w:val="single" w:sz="4" w:space="0" w:color="auto"/>
              <w:right w:val="nil"/>
            </w:tcBorders>
            <w:shd w:val="clear" w:color="auto" w:fill="FFFFFF" w:themeFill="background1"/>
            <w:noWrap/>
            <w:vAlign w:val="center"/>
            <w:hideMark/>
          </w:tcPr>
          <w:p w:rsidR="004B284D" w:rsidRPr="002F17B5" w:rsidRDefault="004B284D" w:rsidP="00782000">
            <w:pPr>
              <w:jc w:val="right"/>
              <w:rPr>
                <w:rFonts w:cs="Arial"/>
                <w:b/>
                <w:bCs/>
                <w:sz w:val="22"/>
                <w:szCs w:val="22"/>
              </w:rPr>
            </w:pPr>
            <w:r w:rsidRPr="002F17B5">
              <w:rPr>
                <w:rFonts w:cs="Arial"/>
                <w:b/>
                <w:bCs/>
                <w:sz w:val="22"/>
                <w:szCs w:val="22"/>
              </w:rPr>
              <w:t>1</w:t>
            </w:r>
            <w:r w:rsidR="00A90E0E" w:rsidRPr="002F17B5">
              <w:rPr>
                <w:rFonts w:cs="Arial"/>
                <w:b/>
                <w:bCs/>
                <w:sz w:val="22"/>
                <w:szCs w:val="22"/>
              </w:rPr>
              <w:t>10</w:t>
            </w:r>
            <w:r w:rsidR="00056286" w:rsidRPr="002F17B5">
              <w:rPr>
                <w:rFonts w:cs="Arial"/>
                <w:b/>
                <w:bCs/>
                <w:sz w:val="22"/>
                <w:szCs w:val="22"/>
              </w:rPr>
              <w:t>.</w:t>
            </w:r>
            <w:r w:rsidR="00A90E0E" w:rsidRPr="002F17B5">
              <w:rPr>
                <w:rFonts w:cs="Arial"/>
                <w:b/>
                <w:bCs/>
                <w:sz w:val="22"/>
                <w:szCs w:val="22"/>
              </w:rPr>
              <w:t>5</w:t>
            </w:r>
          </w:p>
        </w:tc>
        <w:tc>
          <w:tcPr>
            <w:tcW w:w="609" w:type="pct"/>
            <w:tcBorders>
              <w:top w:val="single" w:sz="4" w:space="0" w:color="auto"/>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42.4</w:t>
            </w:r>
          </w:p>
        </w:tc>
        <w:tc>
          <w:tcPr>
            <w:tcW w:w="675" w:type="pct"/>
            <w:tcBorders>
              <w:top w:val="single" w:sz="4" w:space="0" w:color="auto"/>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80.5</w:t>
            </w:r>
          </w:p>
        </w:tc>
        <w:tc>
          <w:tcPr>
            <w:tcW w:w="677" w:type="pct"/>
            <w:tcBorders>
              <w:top w:val="single" w:sz="4" w:space="0" w:color="auto"/>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w:t>
            </w:r>
          </w:p>
        </w:tc>
        <w:tc>
          <w:tcPr>
            <w:tcW w:w="606" w:type="pct"/>
            <w:tcBorders>
              <w:top w:val="single" w:sz="4" w:space="0" w:color="auto"/>
              <w:left w:val="nil"/>
              <w:bottom w:val="single" w:sz="4" w:space="0" w:color="auto"/>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233.4</w:t>
            </w:r>
          </w:p>
        </w:tc>
      </w:tr>
      <w:tr w:rsidR="004B284D" w:rsidRPr="002F17B5" w:rsidTr="00785E69">
        <w:trPr>
          <w:trHeight w:val="309"/>
          <w:jc w:val="center"/>
        </w:trPr>
        <w:tc>
          <w:tcPr>
            <w:tcW w:w="1830" w:type="pct"/>
            <w:tcBorders>
              <w:top w:val="nil"/>
              <w:right w:val="nil"/>
            </w:tcBorders>
            <w:shd w:val="clear" w:color="auto" w:fill="FFFFFF" w:themeFill="background1"/>
            <w:vAlign w:val="bottom"/>
            <w:hideMark/>
          </w:tcPr>
          <w:p w:rsidR="004B284D" w:rsidRPr="002F17B5" w:rsidRDefault="004B284D" w:rsidP="00006736">
            <w:pPr>
              <w:jc w:val="left"/>
              <w:rPr>
                <w:b/>
                <w:bCs/>
                <w:sz w:val="20"/>
                <w:szCs w:val="18"/>
              </w:rPr>
            </w:pPr>
            <w:r w:rsidRPr="002F17B5">
              <w:rPr>
                <w:b/>
                <w:bCs/>
                <w:sz w:val="20"/>
                <w:szCs w:val="18"/>
              </w:rPr>
              <w:t>Net Book Value at 31 March 2014</w:t>
            </w:r>
          </w:p>
        </w:tc>
        <w:tc>
          <w:tcPr>
            <w:tcW w:w="602" w:type="pct"/>
            <w:tcBorders>
              <w:top w:val="single" w:sz="4" w:space="0" w:color="auto"/>
              <w:left w:val="nil"/>
              <w:bottom w:val="single" w:sz="4" w:space="0" w:color="auto"/>
              <w:right w:val="nil"/>
            </w:tcBorders>
            <w:shd w:val="clear" w:color="auto" w:fill="FFFFFF" w:themeFill="background1"/>
            <w:noWrap/>
            <w:vAlign w:val="center"/>
            <w:hideMark/>
          </w:tcPr>
          <w:p w:rsidR="004B284D" w:rsidRPr="002F17B5" w:rsidRDefault="004B284D" w:rsidP="00782000">
            <w:pPr>
              <w:jc w:val="right"/>
              <w:rPr>
                <w:rFonts w:cs="Arial"/>
                <w:b/>
                <w:bCs/>
                <w:sz w:val="22"/>
                <w:szCs w:val="22"/>
              </w:rPr>
            </w:pPr>
            <w:r w:rsidRPr="002F17B5">
              <w:rPr>
                <w:rFonts w:cs="Arial"/>
                <w:b/>
                <w:bCs/>
                <w:sz w:val="22"/>
                <w:szCs w:val="22"/>
              </w:rPr>
              <w:t>1,970.8</w:t>
            </w:r>
          </w:p>
        </w:tc>
        <w:tc>
          <w:tcPr>
            <w:tcW w:w="609" w:type="pct"/>
            <w:tcBorders>
              <w:top w:val="single" w:sz="4" w:space="0" w:color="auto"/>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33.0</w:t>
            </w:r>
          </w:p>
        </w:tc>
        <w:tc>
          <w:tcPr>
            <w:tcW w:w="675" w:type="pct"/>
            <w:tcBorders>
              <w:top w:val="single" w:sz="4" w:space="0" w:color="auto"/>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607.3</w:t>
            </w:r>
          </w:p>
        </w:tc>
        <w:tc>
          <w:tcPr>
            <w:tcW w:w="677" w:type="pct"/>
            <w:tcBorders>
              <w:top w:val="single" w:sz="4" w:space="0" w:color="auto"/>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28.9</w:t>
            </w:r>
          </w:p>
        </w:tc>
        <w:tc>
          <w:tcPr>
            <w:tcW w:w="606" w:type="pct"/>
            <w:tcBorders>
              <w:top w:val="single" w:sz="4" w:space="0" w:color="auto"/>
              <w:left w:val="nil"/>
              <w:bottom w:val="single" w:sz="4" w:space="0" w:color="auto"/>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2,</w:t>
            </w:r>
            <w:r w:rsidR="0090481B" w:rsidRPr="002F17B5">
              <w:rPr>
                <w:rFonts w:cs="Arial"/>
                <w:b/>
                <w:bCs/>
                <w:sz w:val="22"/>
                <w:szCs w:val="22"/>
              </w:rPr>
              <w:t>640.0</w:t>
            </w:r>
          </w:p>
        </w:tc>
      </w:tr>
      <w:tr w:rsidR="004B284D" w:rsidRPr="002F17B5" w:rsidTr="00785E69">
        <w:trPr>
          <w:trHeight w:val="403"/>
          <w:jc w:val="center"/>
        </w:trPr>
        <w:tc>
          <w:tcPr>
            <w:tcW w:w="1830" w:type="pct"/>
            <w:tcBorders>
              <w:top w:val="nil"/>
              <w:right w:val="nil"/>
            </w:tcBorders>
            <w:shd w:val="clear" w:color="auto" w:fill="FFFFFF" w:themeFill="background1"/>
            <w:vAlign w:val="bottom"/>
            <w:hideMark/>
          </w:tcPr>
          <w:p w:rsidR="004B284D" w:rsidRPr="002F17B5" w:rsidRDefault="004B284D" w:rsidP="00006736">
            <w:pPr>
              <w:jc w:val="left"/>
              <w:rPr>
                <w:b/>
                <w:bCs/>
                <w:sz w:val="20"/>
                <w:szCs w:val="18"/>
              </w:rPr>
            </w:pPr>
            <w:r w:rsidRPr="002F17B5">
              <w:rPr>
                <w:b/>
                <w:bCs/>
                <w:sz w:val="20"/>
                <w:szCs w:val="18"/>
              </w:rPr>
              <w:t>Net Book Value at 31 March 2013</w:t>
            </w:r>
          </w:p>
        </w:tc>
        <w:tc>
          <w:tcPr>
            <w:tcW w:w="602" w:type="pct"/>
            <w:tcBorders>
              <w:top w:val="single" w:sz="4" w:space="0" w:color="auto"/>
              <w:left w:val="nil"/>
              <w:bottom w:val="single" w:sz="4" w:space="0" w:color="auto"/>
              <w:right w:val="nil"/>
            </w:tcBorders>
            <w:shd w:val="clear" w:color="auto" w:fill="FFFFFF" w:themeFill="background1"/>
            <w:noWrap/>
            <w:vAlign w:val="center"/>
            <w:hideMark/>
          </w:tcPr>
          <w:p w:rsidR="004B284D" w:rsidRPr="002F17B5" w:rsidRDefault="004B284D" w:rsidP="00782000">
            <w:pPr>
              <w:jc w:val="right"/>
              <w:rPr>
                <w:rFonts w:cs="Arial"/>
                <w:b/>
                <w:bCs/>
                <w:sz w:val="22"/>
                <w:szCs w:val="22"/>
              </w:rPr>
            </w:pPr>
            <w:r w:rsidRPr="002F17B5">
              <w:rPr>
                <w:rFonts w:cs="Arial"/>
                <w:b/>
                <w:bCs/>
                <w:sz w:val="22"/>
                <w:szCs w:val="22"/>
              </w:rPr>
              <w:t>2,018.6</w:t>
            </w:r>
          </w:p>
        </w:tc>
        <w:tc>
          <w:tcPr>
            <w:tcW w:w="609" w:type="pct"/>
            <w:tcBorders>
              <w:top w:val="single" w:sz="4" w:space="0" w:color="auto"/>
              <w:left w:val="nil"/>
              <w:bottom w:val="single" w:sz="4" w:space="0" w:color="auto"/>
              <w:right w:val="nil"/>
            </w:tcBorders>
            <w:shd w:val="clear" w:color="auto" w:fill="FFFFFF" w:themeFill="background1"/>
            <w:noWrap/>
            <w:vAlign w:val="center"/>
            <w:hideMark/>
          </w:tcPr>
          <w:p w:rsidR="004B284D" w:rsidRPr="002F17B5" w:rsidRDefault="004B284D" w:rsidP="00782000">
            <w:pPr>
              <w:jc w:val="right"/>
              <w:rPr>
                <w:rFonts w:cs="Arial"/>
                <w:b/>
                <w:bCs/>
                <w:sz w:val="22"/>
                <w:szCs w:val="22"/>
              </w:rPr>
            </w:pPr>
            <w:r w:rsidRPr="002F17B5">
              <w:rPr>
                <w:rFonts w:cs="Arial"/>
                <w:b/>
                <w:bCs/>
                <w:sz w:val="22"/>
                <w:szCs w:val="22"/>
              </w:rPr>
              <w:t>35.</w:t>
            </w:r>
            <w:r w:rsidR="0090481B" w:rsidRPr="002F17B5">
              <w:rPr>
                <w:rFonts w:cs="Arial"/>
                <w:b/>
                <w:bCs/>
                <w:sz w:val="22"/>
                <w:szCs w:val="22"/>
              </w:rPr>
              <w:t>6</w:t>
            </w:r>
          </w:p>
        </w:tc>
        <w:tc>
          <w:tcPr>
            <w:tcW w:w="675" w:type="pct"/>
            <w:tcBorders>
              <w:top w:val="single" w:sz="4" w:space="0" w:color="auto"/>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557.5</w:t>
            </w:r>
          </w:p>
        </w:tc>
        <w:tc>
          <w:tcPr>
            <w:tcW w:w="677" w:type="pct"/>
            <w:tcBorders>
              <w:top w:val="single" w:sz="4" w:space="0" w:color="auto"/>
              <w:left w:val="nil"/>
              <w:bottom w:val="single" w:sz="4" w:space="0" w:color="auto"/>
              <w:right w:val="nil"/>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0.7</w:t>
            </w:r>
          </w:p>
        </w:tc>
        <w:tc>
          <w:tcPr>
            <w:tcW w:w="606" w:type="pct"/>
            <w:tcBorders>
              <w:top w:val="single" w:sz="4" w:space="0" w:color="auto"/>
              <w:left w:val="nil"/>
              <w:bottom w:val="single" w:sz="4" w:space="0" w:color="auto"/>
            </w:tcBorders>
            <w:shd w:val="clear" w:color="auto" w:fill="FFFFFF" w:themeFill="background1"/>
            <w:noWrap/>
            <w:vAlign w:val="center"/>
            <w:hideMark/>
          </w:tcPr>
          <w:p w:rsidR="001D73DF" w:rsidRPr="002F17B5" w:rsidRDefault="004B284D">
            <w:pPr>
              <w:jc w:val="right"/>
              <w:rPr>
                <w:rFonts w:cs="Arial"/>
                <w:b/>
                <w:bCs/>
                <w:sz w:val="22"/>
                <w:szCs w:val="22"/>
              </w:rPr>
            </w:pPr>
            <w:r w:rsidRPr="002F17B5">
              <w:rPr>
                <w:rFonts w:cs="Arial"/>
                <w:b/>
                <w:bCs/>
                <w:sz w:val="22"/>
                <w:szCs w:val="22"/>
              </w:rPr>
              <w:t>2,612.</w:t>
            </w:r>
            <w:r w:rsidR="0090481B" w:rsidRPr="002F17B5">
              <w:rPr>
                <w:rFonts w:cs="Arial"/>
                <w:b/>
                <w:bCs/>
                <w:sz w:val="22"/>
                <w:szCs w:val="22"/>
              </w:rPr>
              <w:t>4</w:t>
            </w:r>
          </w:p>
        </w:tc>
      </w:tr>
    </w:tbl>
    <w:p w:rsidR="00FD5388" w:rsidRPr="002F17B5" w:rsidRDefault="00FD5388" w:rsidP="00FD5388">
      <w:r w:rsidRPr="002F17B5">
        <w:lastRenderedPageBreak/>
        <w:t>Within the land and buildings is included the waste treatment facilities. In addition to the land and the fabric of the building, the value includes an element for equipment which is considered to be integral to the overall facility rather than the separate items of loose equipment.</w:t>
      </w:r>
    </w:p>
    <w:p w:rsidR="00473E49" w:rsidRPr="00AD5D5C" w:rsidRDefault="00473E49" w:rsidP="00FD5388">
      <w:pPr>
        <w:autoSpaceDE/>
        <w:autoSpaceDN/>
        <w:adjustRightInd/>
        <w:spacing w:before="0" w:after="0"/>
        <w:jc w:val="left"/>
        <w:rPr>
          <w:b/>
          <w:sz w:val="20"/>
          <w:u w:val="single"/>
        </w:rPr>
      </w:pPr>
    </w:p>
    <w:tbl>
      <w:tblPr>
        <w:tblpPr w:leftFromText="180" w:rightFromText="180" w:vertAnchor="text" w:horzAnchor="margin" w:tblpXSpec="center" w:tblpY="1"/>
        <w:tblW w:w="4910" w:type="pct"/>
        <w:tblLook w:val="04A0" w:firstRow="1" w:lastRow="0" w:firstColumn="1" w:lastColumn="0" w:noHBand="0" w:noVBand="1"/>
      </w:tblPr>
      <w:tblGrid>
        <w:gridCol w:w="3704"/>
        <w:gridCol w:w="1182"/>
        <w:gridCol w:w="1272"/>
        <w:gridCol w:w="1519"/>
        <w:gridCol w:w="1456"/>
        <w:gridCol w:w="1357"/>
      </w:tblGrid>
      <w:tr w:rsidR="00FD5388" w:rsidRPr="002F17B5" w:rsidTr="00006736">
        <w:trPr>
          <w:trHeight w:val="715"/>
        </w:trPr>
        <w:tc>
          <w:tcPr>
            <w:tcW w:w="1765" w:type="pct"/>
            <w:shd w:val="clear" w:color="auto" w:fill="FFFFFF" w:themeFill="background1"/>
            <w:noWrap/>
            <w:vAlign w:val="bottom"/>
            <w:hideMark/>
          </w:tcPr>
          <w:p w:rsidR="00FD5388" w:rsidRPr="002F17B5" w:rsidRDefault="00FD5388" w:rsidP="00A85FE3">
            <w:pPr>
              <w:rPr>
                <w:sz w:val="20"/>
                <w:szCs w:val="18"/>
              </w:rPr>
            </w:pPr>
          </w:p>
        </w:tc>
        <w:tc>
          <w:tcPr>
            <w:tcW w:w="563" w:type="pct"/>
            <w:shd w:val="clear" w:color="auto" w:fill="FFFFFF" w:themeFill="background1"/>
            <w:vAlign w:val="center"/>
            <w:hideMark/>
          </w:tcPr>
          <w:p w:rsidR="00FD5388" w:rsidRPr="002F17B5" w:rsidRDefault="00286D86" w:rsidP="00A85FE3">
            <w:pPr>
              <w:jc w:val="right"/>
              <w:rPr>
                <w:sz w:val="22"/>
                <w:szCs w:val="18"/>
              </w:rPr>
            </w:pPr>
            <w:r w:rsidRPr="002F17B5">
              <w:rPr>
                <w:sz w:val="22"/>
                <w:szCs w:val="18"/>
              </w:rPr>
              <w:t>Land and Buildings</w:t>
            </w:r>
          </w:p>
        </w:tc>
        <w:tc>
          <w:tcPr>
            <w:tcW w:w="606" w:type="pct"/>
            <w:shd w:val="clear" w:color="auto" w:fill="FFFFFF" w:themeFill="background1"/>
            <w:vAlign w:val="center"/>
            <w:hideMark/>
          </w:tcPr>
          <w:p w:rsidR="00FD5388" w:rsidRPr="002F17B5" w:rsidRDefault="00286D86" w:rsidP="00A85FE3">
            <w:pPr>
              <w:jc w:val="right"/>
              <w:rPr>
                <w:sz w:val="22"/>
                <w:szCs w:val="18"/>
              </w:rPr>
            </w:pPr>
            <w:r w:rsidRPr="002F17B5">
              <w:rPr>
                <w:sz w:val="22"/>
                <w:szCs w:val="18"/>
              </w:rPr>
              <w:t>Vehicles, Plant, Furniture &amp; Equipment</w:t>
            </w:r>
          </w:p>
        </w:tc>
        <w:tc>
          <w:tcPr>
            <w:tcW w:w="724" w:type="pct"/>
            <w:shd w:val="clear" w:color="auto" w:fill="FFFFFF" w:themeFill="background1"/>
            <w:vAlign w:val="center"/>
            <w:hideMark/>
          </w:tcPr>
          <w:p w:rsidR="00FD5388" w:rsidRPr="002F17B5" w:rsidRDefault="00286D86" w:rsidP="00A85FE3">
            <w:pPr>
              <w:jc w:val="right"/>
              <w:rPr>
                <w:sz w:val="22"/>
                <w:szCs w:val="18"/>
              </w:rPr>
            </w:pPr>
            <w:r w:rsidRPr="002F17B5">
              <w:rPr>
                <w:sz w:val="22"/>
                <w:szCs w:val="18"/>
              </w:rPr>
              <w:t>Infrastructure Assets</w:t>
            </w:r>
          </w:p>
        </w:tc>
        <w:tc>
          <w:tcPr>
            <w:tcW w:w="694" w:type="pct"/>
            <w:shd w:val="clear" w:color="auto" w:fill="FFFFFF" w:themeFill="background1"/>
            <w:vAlign w:val="center"/>
            <w:hideMark/>
          </w:tcPr>
          <w:p w:rsidR="00FD5388" w:rsidRPr="002F17B5" w:rsidRDefault="00286D86" w:rsidP="00A85FE3">
            <w:pPr>
              <w:jc w:val="right"/>
              <w:rPr>
                <w:sz w:val="22"/>
                <w:szCs w:val="18"/>
              </w:rPr>
            </w:pPr>
            <w:r w:rsidRPr="002F17B5">
              <w:rPr>
                <w:sz w:val="22"/>
                <w:szCs w:val="18"/>
              </w:rPr>
              <w:t>Assets Under Construction</w:t>
            </w:r>
          </w:p>
        </w:tc>
        <w:tc>
          <w:tcPr>
            <w:tcW w:w="647" w:type="pct"/>
            <w:shd w:val="clear" w:color="auto" w:fill="FFFFFF" w:themeFill="background1"/>
            <w:vAlign w:val="center"/>
            <w:hideMark/>
          </w:tcPr>
          <w:p w:rsidR="00FD5388" w:rsidRPr="002F17B5" w:rsidRDefault="00286D86" w:rsidP="00A85FE3">
            <w:pPr>
              <w:jc w:val="right"/>
              <w:rPr>
                <w:b/>
                <w:bCs/>
                <w:sz w:val="22"/>
                <w:szCs w:val="18"/>
              </w:rPr>
            </w:pPr>
            <w:r w:rsidRPr="002F17B5">
              <w:rPr>
                <w:b/>
                <w:bCs/>
                <w:sz w:val="22"/>
                <w:szCs w:val="18"/>
              </w:rPr>
              <w:t>Total Property, Plant &amp; Equipment</w:t>
            </w:r>
          </w:p>
        </w:tc>
      </w:tr>
      <w:tr w:rsidR="00FD5388" w:rsidRPr="002F17B5" w:rsidTr="00006736">
        <w:trPr>
          <w:trHeight w:val="305"/>
        </w:trPr>
        <w:tc>
          <w:tcPr>
            <w:tcW w:w="1765" w:type="pct"/>
            <w:shd w:val="clear" w:color="auto" w:fill="FFFFFF" w:themeFill="background1"/>
            <w:noWrap/>
            <w:vAlign w:val="bottom"/>
            <w:hideMark/>
          </w:tcPr>
          <w:p w:rsidR="00FD5388" w:rsidRPr="002F17B5" w:rsidRDefault="00FD5388" w:rsidP="00A85FE3">
            <w:pPr>
              <w:rPr>
                <w:sz w:val="20"/>
                <w:szCs w:val="18"/>
              </w:rPr>
            </w:pPr>
          </w:p>
        </w:tc>
        <w:tc>
          <w:tcPr>
            <w:tcW w:w="563" w:type="pct"/>
            <w:shd w:val="clear" w:color="auto" w:fill="FFFFFF" w:themeFill="background1"/>
            <w:noWrap/>
            <w:vAlign w:val="bottom"/>
            <w:hideMark/>
          </w:tcPr>
          <w:p w:rsidR="00FD5388" w:rsidRPr="002F17B5" w:rsidRDefault="00FD5388" w:rsidP="00A85FE3">
            <w:pPr>
              <w:jc w:val="right"/>
              <w:rPr>
                <w:sz w:val="22"/>
                <w:szCs w:val="18"/>
              </w:rPr>
            </w:pPr>
            <w:r w:rsidRPr="002F17B5">
              <w:rPr>
                <w:sz w:val="22"/>
                <w:szCs w:val="18"/>
              </w:rPr>
              <w:t>£m</w:t>
            </w:r>
          </w:p>
        </w:tc>
        <w:tc>
          <w:tcPr>
            <w:tcW w:w="606" w:type="pct"/>
            <w:shd w:val="clear" w:color="auto" w:fill="FFFFFF" w:themeFill="background1"/>
            <w:noWrap/>
            <w:vAlign w:val="bottom"/>
            <w:hideMark/>
          </w:tcPr>
          <w:p w:rsidR="00FD5388" w:rsidRPr="002F17B5" w:rsidRDefault="00FD5388" w:rsidP="00A85FE3">
            <w:pPr>
              <w:jc w:val="right"/>
              <w:rPr>
                <w:sz w:val="22"/>
                <w:szCs w:val="18"/>
              </w:rPr>
            </w:pPr>
            <w:r w:rsidRPr="002F17B5">
              <w:rPr>
                <w:sz w:val="22"/>
                <w:szCs w:val="18"/>
              </w:rPr>
              <w:t>£m</w:t>
            </w:r>
          </w:p>
        </w:tc>
        <w:tc>
          <w:tcPr>
            <w:tcW w:w="724" w:type="pct"/>
            <w:shd w:val="clear" w:color="auto" w:fill="FFFFFF" w:themeFill="background1"/>
            <w:noWrap/>
            <w:vAlign w:val="bottom"/>
            <w:hideMark/>
          </w:tcPr>
          <w:p w:rsidR="00FD5388" w:rsidRPr="002F17B5" w:rsidRDefault="00FD5388" w:rsidP="00A85FE3">
            <w:pPr>
              <w:jc w:val="right"/>
              <w:rPr>
                <w:sz w:val="22"/>
                <w:szCs w:val="18"/>
              </w:rPr>
            </w:pPr>
            <w:r w:rsidRPr="002F17B5">
              <w:rPr>
                <w:sz w:val="22"/>
                <w:szCs w:val="18"/>
              </w:rPr>
              <w:t>£m</w:t>
            </w:r>
          </w:p>
        </w:tc>
        <w:tc>
          <w:tcPr>
            <w:tcW w:w="694" w:type="pct"/>
            <w:shd w:val="clear" w:color="auto" w:fill="FFFFFF" w:themeFill="background1"/>
            <w:noWrap/>
            <w:vAlign w:val="bottom"/>
            <w:hideMark/>
          </w:tcPr>
          <w:p w:rsidR="00FD5388" w:rsidRPr="002F17B5" w:rsidRDefault="00FD5388" w:rsidP="00A85FE3">
            <w:pPr>
              <w:jc w:val="right"/>
              <w:rPr>
                <w:sz w:val="22"/>
                <w:szCs w:val="18"/>
              </w:rPr>
            </w:pPr>
            <w:r w:rsidRPr="002F17B5">
              <w:rPr>
                <w:sz w:val="22"/>
                <w:szCs w:val="18"/>
              </w:rPr>
              <w:t>£m</w:t>
            </w:r>
          </w:p>
        </w:tc>
        <w:tc>
          <w:tcPr>
            <w:tcW w:w="647" w:type="pct"/>
            <w:shd w:val="clear" w:color="auto" w:fill="FFFFFF" w:themeFill="background1"/>
            <w:noWrap/>
            <w:vAlign w:val="bottom"/>
            <w:hideMark/>
          </w:tcPr>
          <w:p w:rsidR="00FD5388" w:rsidRPr="002F17B5" w:rsidRDefault="00FD5388" w:rsidP="00A85FE3">
            <w:pPr>
              <w:jc w:val="right"/>
              <w:rPr>
                <w:b/>
                <w:bCs/>
                <w:sz w:val="22"/>
                <w:szCs w:val="18"/>
              </w:rPr>
            </w:pPr>
            <w:r w:rsidRPr="002F17B5">
              <w:rPr>
                <w:b/>
                <w:bCs/>
                <w:sz w:val="22"/>
                <w:szCs w:val="18"/>
              </w:rPr>
              <w:t>£m</w:t>
            </w:r>
          </w:p>
        </w:tc>
      </w:tr>
      <w:tr w:rsidR="00FD5388" w:rsidRPr="002F17B5" w:rsidTr="00785E69">
        <w:trPr>
          <w:trHeight w:val="330"/>
        </w:trPr>
        <w:tc>
          <w:tcPr>
            <w:tcW w:w="1765" w:type="pct"/>
            <w:shd w:val="clear" w:color="auto" w:fill="FFFFFF" w:themeFill="background1"/>
            <w:noWrap/>
            <w:vAlign w:val="bottom"/>
            <w:hideMark/>
          </w:tcPr>
          <w:p w:rsidR="00FF079C" w:rsidRPr="002F17B5" w:rsidRDefault="00C46A78" w:rsidP="00B54507">
            <w:pPr>
              <w:spacing w:after="60"/>
              <w:jc w:val="left"/>
              <w:rPr>
                <w:b/>
                <w:bCs/>
                <w:sz w:val="22"/>
                <w:szCs w:val="20"/>
              </w:rPr>
            </w:pPr>
            <w:r w:rsidRPr="002F17B5">
              <w:rPr>
                <w:b/>
                <w:bCs/>
                <w:sz w:val="22"/>
                <w:szCs w:val="20"/>
              </w:rPr>
              <w:t xml:space="preserve">Cost or valuation </w:t>
            </w:r>
          </w:p>
        </w:tc>
        <w:tc>
          <w:tcPr>
            <w:tcW w:w="563" w:type="pct"/>
            <w:shd w:val="clear" w:color="auto" w:fill="FFFFFF" w:themeFill="background1"/>
            <w:noWrap/>
            <w:vAlign w:val="center"/>
            <w:hideMark/>
          </w:tcPr>
          <w:p w:rsidR="00FD5388" w:rsidRPr="002F17B5" w:rsidRDefault="00FD5388" w:rsidP="00B54507">
            <w:pPr>
              <w:spacing w:after="60"/>
              <w:jc w:val="right"/>
              <w:rPr>
                <w:sz w:val="20"/>
                <w:szCs w:val="18"/>
              </w:rPr>
            </w:pPr>
            <w:r w:rsidRPr="002F17B5">
              <w:rPr>
                <w:sz w:val="20"/>
                <w:szCs w:val="18"/>
              </w:rPr>
              <w:t> </w:t>
            </w:r>
          </w:p>
        </w:tc>
        <w:tc>
          <w:tcPr>
            <w:tcW w:w="606" w:type="pct"/>
            <w:shd w:val="clear" w:color="auto" w:fill="FFFFFF" w:themeFill="background1"/>
            <w:noWrap/>
            <w:vAlign w:val="center"/>
            <w:hideMark/>
          </w:tcPr>
          <w:p w:rsidR="00FD5388" w:rsidRPr="002F17B5" w:rsidRDefault="00FD5388" w:rsidP="00B54507">
            <w:pPr>
              <w:spacing w:after="60"/>
              <w:jc w:val="right"/>
              <w:rPr>
                <w:sz w:val="20"/>
                <w:szCs w:val="18"/>
              </w:rPr>
            </w:pPr>
            <w:r w:rsidRPr="002F17B5">
              <w:rPr>
                <w:sz w:val="20"/>
                <w:szCs w:val="18"/>
              </w:rPr>
              <w:t> </w:t>
            </w:r>
          </w:p>
        </w:tc>
        <w:tc>
          <w:tcPr>
            <w:tcW w:w="724" w:type="pct"/>
            <w:shd w:val="clear" w:color="auto" w:fill="FFFFFF" w:themeFill="background1"/>
            <w:noWrap/>
            <w:vAlign w:val="center"/>
            <w:hideMark/>
          </w:tcPr>
          <w:p w:rsidR="00FD5388" w:rsidRPr="002F17B5" w:rsidRDefault="00FD5388" w:rsidP="00B54507">
            <w:pPr>
              <w:spacing w:after="60"/>
              <w:jc w:val="right"/>
              <w:rPr>
                <w:sz w:val="20"/>
                <w:szCs w:val="18"/>
              </w:rPr>
            </w:pPr>
            <w:r w:rsidRPr="002F17B5">
              <w:rPr>
                <w:sz w:val="20"/>
                <w:szCs w:val="18"/>
              </w:rPr>
              <w:t> </w:t>
            </w:r>
          </w:p>
        </w:tc>
        <w:tc>
          <w:tcPr>
            <w:tcW w:w="694" w:type="pct"/>
            <w:shd w:val="clear" w:color="auto" w:fill="FFFFFF" w:themeFill="background1"/>
            <w:noWrap/>
            <w:vAlign w:val="center"/>
            <w:hideMark/>
          </w:tcPr>
          <w:p w:rsidR="00FD5388" w:rsidRPr="002F17B5" w:rsidRDefault="00FD5388" w:rsidP="00B54507">
            <w:pPr>
              <w:spacing w:after="60"/>
              <w:jc w:val="right"/>
              <w:rPr>
                <w:sz w:val="20"/>
                <w:szCs w:val="18"/>
              </w:rPr>
            </w:pPr>
            <w:r w:rsidRPr="002F17B5">
              <w:rPr>
                <w:sz w:val="20"/>
                <w:szCs w:val="18"/>
              </w:rPr>
              <w:t> </w:t>
            </w:r>
          </w:p>
        </w:tc>
        <w:tc>
          <w:tcPr>
            <w:tcW w:w="647" w:type="pct"/>
            <w:shd w:val="clear" w:color="auto" w:fill="FFFFFF" w:themeFill="background1"/>
            <w:noWrap/>
            <w:vAlign w:val="center"/>
            <w:hideMark/>
          </w:tcPr>
          <w:p w:rsidR="00FD5388" w:rsidRPr="002F17B5" w:rsidRDefault="00FD5388" w:rsidP="00B54507">
            <w:pPr>
              <w:spacing w:after="60"/>
              <w:jc w:val="right"/>
              <w:rPr>
                <w:b/>
                <w:bCs/>
                <w:color w:val="0000FF"/>
                <w:sz w:val="20"/>
                <w:szCs w:val="18"/>
              </w:rPr>
            </w:pPr>
            <w:r w:rsidRPr="002F17B5">
              <w:rPr>
                <w:b/>
                <w:bCs/>
                <w:color w:val="0000FF"/>
                <w:sz w:val="20"/>
                <w:szCs w:val="18"/>
              </w:rPr>
              <w:t> </w:t>
            </w:r>
          </w:p>
        </w:tc>
      </w:tr>
      <w:tr w:rsidR="00522C31" w:rsidRPr="002F17B5" w:rsidTr="00006736">
        <w:trPr>
          <w:trHeight w:val="305"/>
        </w:trPr>
        <w:tc>
          <w:tcPr>
            <w:tcW w:w="1765" w:type="pct"/>
            <w:shd w:val="clear" w:color="auto" w:fill="FFFFFF" w:themeFill="background1"/>
            <w:noWrap/>
            <w:vAlign w:val="bottom"/>
            <w:hideMark/>
          </w:tcPr>
          <w:p w:rsidR="00522C31" w:rsidRPr="002F17B5" w:rsidRDefault="00B54507" w:rsidP="00B54507">
            <w:pPr>
              <w:spacing w:after="60"/>
              <w:jc w:val="left"/>
              <w:rPr>
                <w:b/>
                <w:bCs/>
                <w:sz w:val="20"/>
                <w:szCs w:val="18"/>
              </w:rPr>
            </w:pPr>
            <w:r w:rsidRPr="002F17B5">
              <w:rPr>
                <w:b/>
                <w:bCs/>
                <w:sz w:val="20"/>
                <w:szCs w:val="18"/>
              </w:rPr>
              <w:t>At 1 April 2012</w:t>
            </w:r>
          </w:p>
        </w:tc>
        <w:tc>
          <w:tcPr>
            <w:tcW w:w="563"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2,152.5</w:t>
            </w:r>
          </w:p>
        </w:tc>
        <w:tc>
          <w:tcPr>
            <w:tcW w:w="606"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65.9</w:t>
            </w:r>
          </w:p>
        </w:tc>
        <w:tc>
          <w:tcPr>
            <w:tcW w:w="724"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572.3</w:t>
            </w:r>
          </w:p>
        </w:tc>
        <w:tc>
          <w:tcPr>
            <w:tcW w:w="694"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12.8</w:t>
            </w:r>
          </w:p>
        </w:tc>
        <w:tc>
          <w:tcPr>
            <w:tcW w:w="647" w:type="pct"/>
            <w:shd w:val="clear" w:color="auto" w:fill="FFFFFF" w:themeFill="background1"/>
            <w:noWrap/>
            <w:vAlign w:val="center"/>
            <w:hideMark/>
          </w:tcPr>
          <w:p w:rsidR="00522C31" w:rsidRPr="002F17B5" w:rsidRDefault="00522C31" w:rsidP="00B54507">
            <w:pPr>
              <w:spacing w:after="60"/>
              <w:jc w:val="right"/>
              <w:rPr>
                <w:b/>
                <w:bCs/>
                <w:sz w:val="22"/>
                <w:szCs w:val="20"/>
              </w:rPr>
            </w:pPr>
            <w:r w:rsidRPr="002F17B5">
              <w:rPr>
                <w:b/>
                <w:bCs/>
                <w:sz w:val="22"/>
                <w:szCs w:val="20"/>
              </w:rPr>
              <w:t>2,803.5</w:t>
            </w:r>
          </w:p>
        </w:tc>
      </w:tr>
      <w:tr w:rsidR="00522C31" w:rsidRPr="002F17B5" w:rsidTr="00B54507">
        <w:trPr>
          <w:trHeight w:val="263"/>
        </w:trPr>
        <w:tc>
          <w:tcPr>
            <w:tcW w:w="1765" w:type="pct"/>
            <w:shd w:val="clear" w:color="auto" w:fill="FFFFFF" w:themeFill="background1"/>
            <w:noWrap/>
            <w:vAlign w:val="bottom"/>
            <w:hideMark/>
          </w:tcPr>
          <w:p w:rsidR="00522C31" w:rsidRPr="002F17B5" w:rsidRDefault="00522C31" w:rsidP="00B54507">
            <w:pPr>
              <w:spacing w:after="60"/>
              <w:jc w:val="left"/>
              <w:rPr>
                <w:sz w:val="22"/>
                <w:szCs w:val="18"/>
              </w:rPr>
            </w:pPr>
            <w:r w:rsidRPr="002F17B5">
              <w:rPr>
                <w:sz w:val="22"/>
                <w:szCs w:val="18"/>
              </w:rPr>
              <w:t>Additions</w:t>
            </w:r>
          </w:p>
        </w:tc>
        <w:tc>
          <w:tcPr>
            <w:tcW w:w="563"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58.6</w:t>
            </w:r>
          </w:p>
        </w:tc>
        <w:tc>
          <w:tcPr>
            <w:tcW w:w="606"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5.5</w:t>
            </w:r>
          </w:p>
        </w:tc>
        <w:tc>
          <w:tcPr>
            <w:tcW w:w="724"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50.9</w:t>
            </w:r>
          </w:p>
        </w:tc>
        <w:tc>
          <w:tcPr>
            <w:tcW w:w="694"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w:t>
            </w:r>
          </w:p>
        </w:tc>
        <w:tc>
          <w:tcPr>
            <w:tcW w:w="647" w:type="pct"/>
            <w:shd w:val="clear" w:color="auto" w:fill="FFFFFF" w:themeFill="background1"/>
            <w:noWrap/>
            <w:vAlign w:val="center"/>
            <w:hideMark/>
          </w:tcPr>
          <w:p w:rsidR="00522C31" w:rsidRPr="002F17B5" w:rsidRDefault="00522C31" w:rsidP="00B54507">
            <w:pPr>
              <w:spacing w:after="60"/>
              <w:jc w:val="right"/>
              <w:rPr>
                <w:b/>
                <w:bCs/>
                <w:sz w:val="22"/>
                <w:szCs w:val="20"/>
              </w:rPr>
            </w:pPr>
            <w:r w:rsidRPr="002F17B5">
              <w:rPr>
                <w:b/>
                <w:bCs/>
                <w:sz w:val="22"/>
                <w:szCs w:val="20"/>
              </w:rPr>
              <w:t>115.0</w:t>
            </w:r>
          </w:p>
        </w:tc>
      </w:tr>
      <w:tr w:rsidR="00522C31" w:rsidRPr="002F17B5" w:rsidTr="00522C31">
        <w:trPr>
          <w:trHeight w:val="362"/>
        </w:trPr>
        <w:tc>
          <w:tcPr>
            <w:tcW w:w="1765" w:type="pct"/>
            <w:shd w:val="clear" w:color="auto" w:fill="FFFFFF" w:themeFill="background1"/>
            <w:vAlign w:val="bottom"/>
            <w:hideMark/>
          </w:tcPr>
          <w:p w:rsidR="00522C31" w:rsidRPr="002F17B5" w:rsidRDefault="00522C31" w:rsidP="00B54507">
            <w:pPr>
              <w:spacing w:after="60"/>
              <w:jc w:val="left"/>
              <w:rPr>
                <w:sz w:val="22"/>
                <w:szCs w:val="18"/>
              </w:rPr>
            </w:pPr>
            <w:r w:rsidRPr="002F17B5">
              <w:rPr>
                <w:sz w:val="22"/>
                <w:szCs w:val="18"/>
              </w:rPr>
              <w:t>De-recognition – disposals</w:t>
            </w:r>
          </w:p>
        </w:tc>
        <w:tc>
          <w:tcPr>
            <w:tcW w:w="563"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(51.1)</w:t>
            </w:r>
          </w:p>
        </w:tc>
        <w:tc>
          <w:tcPr>
            <w:tcW w:w="606"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(0.1)</w:t>
            </w:r>
          </w:p>
        </w:tc>
        <w:tc>
          <w:tcPr>
            <w:tcW w:w="724"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(0.1)</w:t>
            </w:r>
          </w:p>
        </w:tc>
        <w:tc>
          <w:tcPr>
            <w:tcW w:w="694"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w:t>
            </w:r>
          </w:p>
        </w:tc>
        <w:tc>
          <w:tcPr>
            <w:tcW w:w="647" w:type="pct"/>
            <w:shd w:val="clear" w:color="auto" w:fill="FFFFFF" w:themeFill="background1"/>
            <w:noWrap/>
            <w:vAlign w:val="bottom"/>
            <w:hideMark/>
          </w:tcPr>
          <w:p w:rsidR="00522C31" w:rsidRPr="002F17B5" w:rsidRDefault="00522C31" w:rsidP="00B54507">
            <w:pPr>
              <w:spacing w:after="60"/>
              <w:jc w:val="right"/>
              <w:rPr>
                <w:b/>
                <w:sz w:val="22"/>
                <w:szCs w:val="20"/>
              </w:rPr>
            </w:pPr>
            <w:r w:rsidRPr="002F17B5">
              <w:rPr>
                <w:b/>
                <w:sz w:val="22"/>
                <w:szCs w:val="20"/>
              </w:rPr>
              <w:t>(51.3)</w:t>
            </w:r>
          </w:p>
        </w:tc>
      </w:tr>
      <w:tr w:rsidR="00522C31" w:rsidRPr="002F17B5" w:rsidTr="00522C31">
        <w:trPr>
          <w:trHeight w:val="410"/>
        </w:trPr>
        <w:tc>
          <w:tcPr>
            <w:tcW w:w="1765" w:type="pct"/>
            <w:shd w:val="clear" w:color="auto" w:fill="FFFFFF" w:themeFill="background1"/>
            <w:vAlign w:val="bottom"/>
            <w:hideMark/>
          </w:tcPr>
          <w:p w:rsidR="00522C31" w:rsidRPr="002F17B5" w:rsidRDefault="00522C31" w:rsidP="00B54507">
            <w:pPr>
              <w:spacing w:after="60"/>
              <w:jc w:val="left"/>
              <w:rPr>
                <w:sz w:val="22"/>
                <w:szCs w:val="18"/>
              </w:rPr>
            </w:pPr>
            <w:r w:rsidRPr="002F17B5">
              <w:rPr>
                <w:sz w:val="22"/>
                <w:szCs w:val="18"/>
              </w:rPr>
              <w:t>De-recognition – others</w:t>
            </w:r>
          </w:p>
        </w:tc>
        <w:tc>
          <w:tcPr>
            <w:tcW w:w="563"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(16.5)</w:t>
            </w:r>
          </w:p>
        </w:tc>
        <w:tc>
          <w:tcPr>
            <w:tcW w:w="606"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w:t>
            </w:r>
          </w:p>
        </w:tc>
        <w:tc>
          <w:tcPr>
            <w:tcW w:w="724"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w:t>
            </w:r>
          </w:p>
        </w:tc>
        <w:tc>
          <w:tcPr>
            <w:tcW w:w="694"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(7.1)</w:t>
            </w:r>
          </w:p>
        </w:tc>
        <w:tc>
          <w:tcPr>
            <w:tcW w:w="647" w:type="pct"/>
            <w:shd w:val="clear" w:color="auto" w:fill="FFFFFF" w:themeFill="background1"/>
            <w:noWrap/>
            <w:vAlign w:val="bottom"/>
            <w:hideMark/>
          </w:tcPr>
          <w:p w:rsidR="00522C31" w:rsidRPr="002F17B5" w:rsidRDefault="00522C31" w:rsidP="00B54507">
            <w:pPr>
              <w:spacing w:after="60"/>
              <w:jc w:val="right"/>
              <w:rPr>
                <w:b/>
                <w:sz w:val="22"/>
                <w:szCs w:val="20"/>
              </w:rPr>
            </w:pPr>
            <w:r w:rsidRPr="002F17B5">
              <w:rPr>
                <w:b/>
                <w:sz w:val="22"/>
                <w:szCs w:val="20"/>
              </w:rPr>
              <w:t>(23.6)</w:t>
            </w:r>
          </w:p>
        </w:tc>
      </w:tr>
      <w:tr w:rsidR="00522C31" w:rsidRPr="002F17B5" w:rsidTr="00522C31">
        <w:trPr>
          <w:trHeight w:val="611"/>
        </w:trPr>
        <w:tc>
          <w:tcPr>
            <w:tcW w:w="1765" w:type="pct"/>
            <w:shd w:val="clear" w:color="auto" w:fill="FFFFFF" w:themeFill="background1"/>
            <w:vAlign w:val="bottom"/>
            <w:hideMark/>
          </w:tcPr>
          <w:p w:rsidR="00522C31" w:rsidRPr="002F17B5" w:rsidRDefault="00522C31" w:rsidP="00B54507">
            <w:pPr>
              <w:spacing w:after="60"/>
              <w:jc w:val="left"/>
              <w:rPr>
                <w:sz w:val="22"/>
                <w:szCs w:val="18"/>
              </w:rPr>
            </w:pPr>
            <w:r w:rsidRPr="002F17B5">
              <w:rPr>
                <w:sz w:val="22"/>
                <w:szCs w:val="18"/>
              </w:rPr>
              <w:t>Revaluations increases/(decreases) recognised in Revaluation Reserve</w:t>
            </w:r>
          </w:p>
        </w:tc>
        <w:tc>
          <w:tcPr>
            <w:tcW w:w="563"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(23.8)</w:t>
            </w:r>
          </w:p>
        </w:tc>
        <w:tc>
          <w:tcPr>
            <w:tcW w:w="606"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w:t>
            </w:r>
          </w:p>
        </w:tc>
        <w:tc>
          <w:tcPr>
            <w:tcW w:w="724"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w:t>
            </w:r>
          </w:p>
        </w:tc>
        <w:tc>
          <w:tcPr>
            <w:tcW w:w="694" w:type="pct"/>
            <w:shd w:val="clear" w:color="auto" w:fill="FFFFFF" w:themeFill="background1"/>
            <w:noWrap/>
            <w:vAlign w:val="bottom"/>
            <w:hideMark/>
          </w:tcPr>
          <w:p w:rsidR="00522C31" w:rsidRPr="002F17B5" w:rsidRDefault="00522C31" w:rsidP="00B54507">
            <w:pPr>
              <w:spacing w:after="60"/>
              <w:jc w:val="right"/>
              <w:rPr>
                <w:sz w:val="22"/>
                <w:szCs w:val="20"/>
              </w:rPr>
            </w:pPr>
            <w:r w:rsidRPr="002F17B5">
              <w:rPr>
                <w:sz w:val="22"/>
                <w:szCs w:val="20"/>
              </w:rPr>
              <w:t>-</w:t>
            </w:r>
          </w:p>
        </w:tc>
        <w:tc>
          <w:tcPr>
            <w:tcW w:w="647" w:type="pct"/>
            <w:shd w:val="clear" w:color="auto" w:fill="FFFFFF" w:themeFill="background1"/>
            <w:noWrap/>
            <w:vAlign w:val="bottom"/>
            <w:hideMark/>
          </w:tcPr>
          <w:p w:rsidR="00522C31" w:rsidRPr="002F17B5" w:rsidRDefault="00522C31" w:rsidP="00B54507">
            <w:pPr>
              <w:spacing w:after="60"/>
              <w:jc w:val="right"/>
              <w:rPr>
                <w:b/>
                <w:bCs/>
                <w:sz w:val="22"/>
                <w:szCs w:val="20"/>
              </w:rPr>
            </w:pPr>
            <w:r w:rsidRPr="002F17B5">
              <w:rPr>
                <w:b/>
                <w:bCs/>
                <w:sz w:val="22"/>
                <w:szCs w:val="20"/>
              </w:rPr>
              <w:t>(23.8)</w:t>
            </w:r>
          </w:p>
        </w:tc>
      </w:tr>
      <w:tr w:rsidR="00522C31" w:rsidRPr="002F17B5" w:rsidTr="00006736">
        <w:trPr>
          <w:trHeight w:val="573"/>
        </w:trPr>
        <w:tc>
          <w:tcPr>
            <w:tcW w:w="1765" w:type="pct"/>
            <w:shd w:val="clear" w:color="auto" w:fill="FFFFFF" w:themeFill="background1"/>
            <w:vAlign w:val="bottom"/>
            <w:hideMark/>
          </w:tcPr>
          <w:p w:rsidR="00522C31" w:rsidRPr="002F17B5" w:rsidRDefault="00522C31" w:rsidP="00B54507">
            <w:pPr>
              <w:spacing w:after="60"/>
              <w:jc w:val="left"/>
              <w:rPr>
                <w:sz w:val="22"/>
                <w:szCs w:val="18"/>
              </w:rPr>
            </w:pPr>
            <w:r w:rsidRPr="002F17B5">
              <w:rPr>
                <w:sz w:val="22"/>
                <w:szCs w:val="18"/>
              </w:rPr>
              <w:t>Revaluations increases/(decreases) recognised in Surplus/Deficit on Provision of Services</w:t>
            </w:r>
          </w:p>
        </w:tc>
        <w:tc>
          <w:tcPr>
            <w:tcW w:w="563"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(13.7)</w:t>
            </w:r>
          </w:p>
        </w:tc>
        <w:tc>
          <w:tcPr>
            <w:tcW w:w="606"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w:t>
            </w:r>
          </w:p>
        </w:tc>
        <w:tc>
          <w:tcPr>
            <w:tcW w:w="724"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w:t>
            </w:r>
          </w:p>
        </w:tc>
        <w:tc>
          <w:tcPr>
            <w:tcW w:w="694" w:type="pct"/>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w:t>
            </w:r>
          </w:p>
        </w:tc>
        <w:tc>
          <w:tcPr>
            <w:tcW w:w="647" w:type="pct"/>
            <w:shd w:val="clear" w:color="auto" w:fill="FFFFFF" w:themeFill="background1"/>
            <w:noWrap/>
            <w:vAlign w:val="center"/>
            <w:hideMark/>
          </w:tcPr>
          <w:p w:rsidR="00522C31" w:rsidRPr="002F17B5" w:rsidRDefault="00522C31" w:rsidP="00B54507">
            <w:pPr>
              <w:spacing w:after="60"/>
              <w:jc w:val="right"/>
              <w:rPr>
                <w:b/>
                <w:bCs/>
                <w:sz w:val="22"/>
                <w:szCs w:val="20"/>
              </w:rPr>
            </w:pPr>
            <w:r w:rsidRPr="002F17B5">
              <w:rPr>
                <w:b/>
                <w:bCs/>
                <w:sz w:val="22"/>
                <w:szCs w:val="20"/>
              </w:rPr>
              <w:t>(13.7)</w:t>
            </w:r>
          </w:p>
        </w:tc>
      </w:tr>
      <w:tr w:rsidR="00522C31" w:rsidRPr="002F17B5" w:rsidTr="00982A2E">
        <w:trPr>
          <w:trHeight w:val="284"/>
        </w:trPr>
        <w:tc>
          <w:tcPr>
            <w:tcW w:w="1765" w:type="pct"/>
            <w:shd w:val="clear" w:color="auto" w:fill="FFFFFF" w:themeFill="background1"/>
            <w:vAlign w:val="bottom"/>
            <w:hideMark/>
          </w:tcPr>
          <w:p w:rsidR="00522C31" w:rsidRPr="002F17B5" w:rsidRDefault="00E6494C" w:rsidP="00B54507">
            <w:pPr>
              <w:spacing w:after="60"/>
              <w:jc w:val="left"/>
              <w:rPr>
                <w:sz w:val="22"/>
                <w:szCs w:val="18"/>
              </w:rPr>
            </w:pPr>
            <w:r>
              <w:rPr>
                <w:sz w:val="22"/>
                <w:szCs w:val="18"/>
              </w:rPr>
              <w:t>Assets reclassified</w:t>
            </w:r>
          </w:p>
        </w:tc>
        <w:tc>
          <w:tcPr>
            <w:tcW w:w="563" w:type="pct"/>
            <w:tcBorders>
              <w:bottom w:val="single" w:sz="4" w:space="0" w:color="auto"/>
            </w:tcBorders>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3.4</w:t>
            </w:r>
          </w:p>
        </w:tc>
        <w:tc>
          <w:tcPr>
            <w:tcW w:w="606" w:type="pct"/>
            <w:tcBorders>
              <w:bottom w:val="single" w:sz="4" w:space="0" w:color="auto"/>
            </w:tcBorders>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w:t>
            </w:r>
          </w:p>
        </w:tc>
        <w:tc>
          <w:tcPr>
            <w:tcW w:w="724" w:type="pct"/>
            <w:tcBorders>
              <w:bottom w:val="single" w:sz="4" w:space="0" w:color="auto"/>
            </w:tcBorders>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w:t>
            </w:r>
          </w:p>
        </w:tc>
        <w:tc>
          <w:tcPr>
            <w:tcW w:w="694" w:type="pct"/>
            <w:tcBorders>
              <w:bottom w:val="single" w:sz="4" w:space="0" w:color="auto"/>
            </w:tcBorders>
            <w:shd w:val="clear" w:color="auto" w:fill="FFFFFF" w:themeFill="background1"/>
            <w:noWrap/>
            <w:vAlign w:val="center"/>
            <w:hideMark/>
          </w:tcPr>
          <w:p w:rsidR="00522C31" w:rsidRPr="002F17B5" w:rsidRDefault="00522C31" w:rsidP="00B54507">
            <w:pPr>
              <w:spacing w:after="60"/>
              <w:jc w:val="right"/>
              <w:rPr>
                <w:sz w:val="22"/>
                <w:szCs w:val="20"/>
              </w:rPr>
            </w:pPr>
            <w:r w:rsidRPr="002F17B5">
              <w:rPr>
                <w:sz w:val="22"/>
                <w:szCs w:val="20"/>
              </w:rPr>
              <w:t>(5.0)</w:t>
            </w:r>
          </w:p>
        </w:tc>
        <w:tc>
          <w:tcPr>
            <w:tcW w:w="647" w:type="pct"/>
            <w:tcBorders>
              <w:bottom w:val="single" w:sz="4" w:space="0" w:color="auto"/>
            </w:tcBorders>
            <w:shd w:val="clear" w:color="auto" w:fill="FFFFFF" w:themeFill="background1"/>
            <w:noWrap/>
            <w:vAlign w:val="center"/>
            <w:hideMark/>
          </w:tcPr>
          <w:p w:rsidR="00522C31" w:rsidRPr="002F17B5" w:rsidRDefault="00522C31" w:rsidP="00B54507">
            <w:pPr>
              <w:spacing w:after="60"/>
              <w:jc w:val="right"/>
              <w:rPr>
                <w:b/>
                <w:bCs/>
                <w:sz w:val="22"/>
                <w:szCs w:val="20"/>
              </w:rPr>
            </w:pPr>
            <w:r w:rsidRPr="002F17B5">
              <w:rPr>
                <w:b/>
                <w:bCs/>
                <w:sz w:val="22"/>
                <w:szCs w:val="20"/>
              </w:rPr>
              <w:t>(1.6)</w:t>
            </w:r>
          </w:p>
        </w:tc>
      </w:tr>
      <w:tr w:rsidR="00522C31" w:rsidRPr="002F17B5" w:rsidTr="00982A2E">
        <w:trPr>
          <w:trHeight w:val="305"/>
        </w:trPr>
        <w:tc>
          <w:tcPr>
            <w:tcW w:w="1765" w:type="pct"/>
            <w:shd w:val="clear" w:color="auto" w:fill="FFFFFF" w:themeFill="background1"/>
            <w:noWrap/>
            <w:vAlign w:val="bottom"/>
            <w:hideMark/>
          </w:tcPr>
          <w:p w:rsidR="00522C31" w:rsidRPr="002F17B5" w:rsidRDefault="00522C31" w:rsidP="00B54507">
            <w:pPr>
              <w:spacing w:after="60"/>
              <w:jc w:val="left"/>
              <w:rPr>
                <w:b/>
                <w:bCs/>
                <w:sz w:val="20"/>
                <w:szCs w:val="18"/>
              </w:rPr>
            </w:pPr>
            <w:r w:rsidRPr="002F17B5">
              <w:rPr>
                <w:b/>
                <w:bCs/>
                <w:sz w:val="20"/>
                <w:szCs w:val="18"/>
              </w:rPr>
              <w:t>At 31 March 2013</w:t>
            </w:r>
          </w:p>
        </w:tc>
        <w:tc>
          <w:tcPr>
            <w:tcW w:w="563"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AD5D5C">
            <w:pPr>
              <w:jc w:val="right"/>
              <w:rPr>
                <w:b/>
                <w:bCs/>
                <w:sz w:val="22"/>
                <w:szCs w:val="20"/>
              </w:rPr>
            </w:pPr>
            <w:r w:rsidRPr="002F17B5">
              <w:rPr>
                <w:b/>
                <w:bCs/>
                <w:sz w:val="22"/>
                <w:szCs w:val="20"/>
              </w:rPr>
              <w:t>2,109.4</w:t>
            </w:r>
          </w:p>
        </w:tc>
        <w:tc>
          <w:tcPr>
            <w:tcW w:w="606"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AD5D5C">
            <w:pPr>
              <w:jc w:val="right"/>
              <w:rPr>
                <w:b/>
                <w:bCs/>
                <w:sz w:val="22"/>
                <w:szCs w:val="20"/>
              </w:rPr>
            </w:pPr>
            <w:r w:rsidRPr="002F17B5">
              <w:rPr>
                <w:b/>
                <w:bCs/>
                <w:sz w:val="22"/>
                <w:szCs w:val="20"/>
              </w:rPr>
              <w:t>71.3</w:t>
            </w:r>
          </w:p>
        </w:tc>
        <w:tc>
          <w:tcPr>
            <w:tcW w:w="724"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AD5D5C">
            <w:pPr>
              <w:jc w:val="right"/>
              <w:rPr>
                <w:b/>
                <w:bCs/>
                <w:sz w:val="22"/>
                <w:szCs w:val="20"/>
              </w:rPr>
            </w:pPr>
            <w:r w:rsidRPr="002F17B5">
              <w:rPr>
                <w:b/>
                <w:bCs/>
                <w:sz w:val="22"/>
                <w:szCs w:val="20"/>
              </w:rPr>
              <w:t>623.1</w:t>
            </w:r>
          </w:p>
        </w:tc>
        <w:tc>
          <w:tcPr>
            <w:tcW w:w="694"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AD5D5C">
            <w:pPr>
              <w:jc w:val="right"/>
              <w:rPr>
                <w:b/>
                <w:bCs/>
                <w:sz w:val="22"/>
                <w:szCs w:val="20"/>
              </w:rPr>
            </w:pPr>
            <w:r w:rsidRPr="002F17B5">
              <w:rPr>
                <w:b/>
                <w:bCs/>
                <w:sz w:val="22"/>
                <w:szCs w:val="20"/>
              </w:rPr>
              <w:t>0.7</w:t>
            </w:r>
          </w:p>
        </w:tc>
        <w:tc>
          <w:tcPr>
            <w:tcW w:w="647"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AD5D5C">
            <w:pPr>
              <w:jc w:val="right"/>
              <w:rPr>
                <w:b/>
                <w:bCs/>
                <w:sz w:val="22"/>
                <w:szCs w:val="20"/>
              </w:rPr>
            </w:pPr>
            <w:r w:rsidRPr="002F17B5">
              <w:rPr>
                <w:b/>
                <w:bCs/>
                <w:sz w:val="22"/>
                <w:szCs w:val="20"/>
              </w:rPr>
              <w:t>2,804.5</w:t>
            </w:r>
          </w:p>
        </w:tc>
      </w:tr>
      <w:tr w:rsidR="00522C31" w:rsidRPr="002F17B5" w:rsidTr="00982A2E">
        <w:trPr>
          <w:trHeight w:val="523"/>
        </w:trPr>
        <w:tc>
          <w:tcPr>
            <w:tcW w:w="1765" w:type="pct"/>
            <w:shd w:val="clear" w:color="auto" w:fill="FFFFFF" w:themeFill="background1"/>
            <w:vAlign w:val="bottom"/>
            <w:hideMark/>
          </w:tcPr>
          <w:p w:rsidR="00522C31" w:rsidRPr="00AD5D5C" w:rsidRDefault="00522C31" w:rsidP="00B54507">
            <w:pPr>
              <w:spacing w:after="60"/>
              <w:jc w:val="left"/>
              <w:rPr>
                <w:b/>
                <w:bCs/>
                <w:sz w:val="16"/>
                <w:szCs w:val="20"/>
              </w:rPr>
            </w:pPr>
          </w:p>
          <w:p w:rsidR="00522C31" w:rsidRPr="002F17B5" w:rsidRDefault="00785E69" w:rsidP="00B54507">
            <w:pPr>
              <w:spacing w:after="60"/>
              <w:jc w:val="left"/>
              <w:rPr>
                <w:b/>
                <w:bCs/>
                <w:sz w:val="22"/>
                <w:szCs w:val="20"/>
              </w:rPr>
            </w:pPr>
            <w:r w:rsidRPr="002F17B5">
              <w:rPr>
                <w:b/>
                <w:bCs/>
                <w:sz w:val="22"/>
                <w:szCs w:val="20"/>
              </w:rPr>
              <w:t>Depreciation and Impairments</w:t>
            </w:r>
          </w:p>
        </w:tc>
        <w:tc>
          <w:tcPr>
            <w:tcW w:w="563" w:type="pct"/>
            <w:tcBorders>
              <w:top w:val="single" w:sz="4" w:space="0" w:color="auto"/>
            </w:tcBorders>
            <w:shd w:val="clear" w:color="auto" w:fill="FFFFFF" w:themeFill="background1"/>
            <w:noWrap/>
            <w:vAlign w:val="center"/>
            <w:hideMark/>
          </w:tcPr>
          <w:p w:rsidR="00522C31" w:rsidRPr="002F17B5" w:rsidRDefault="00522C31" w:rsidP="00B54507">
            <w:pPr>
              <w:spacing w:after="60"/>
              <w:jc w:val="right"/>
              <w:rPr>
                <w:sz w:val="22"/>
                <w:szCs w:val="18"/>
              </w:rPr>
            </w:pPr>
          </w:p>
        </w:tc>
        <w:tc>
          <w:tcPr>
            <w:tcW w:w="606" w:type="pct"/>
            <w:tcBorders>
              <w:top w:val="single" w:sz="4" w:space="0" w:color="auto"/>
            </w:tcBorders>
            <w:shd w:val="clear" w:color="auto" w:fill="FFFFFF" w:themeFill="background1"/>
            <w:noWrap/>
            <w:vAlign w:val="center"/>
            <w:hideMark/>
          </w:tcPr>
          <w:p w:rsidR="00522C31" w:rsidRPr="002F17B5" w:rsidRDefault="00522C31" w:rsidP="00B54507">
            <w:pPr>
              <w:spacing w:after="60"/>
              <w:jc w:val="right"/>
              <w:rPr>
                <w:sz w:val="22"/>
                <w:szCs w:val="18"/>
              </w:rPr>
            </w:pPr>
          </w:p>
        </w:tc>
        <w:tc>
          <w:tcPr>
            <w:tcW w:w="724" w:type="pct"/>
            <w:tcBorders>
              <w:top w:val="single" w:sz="4" w:space="0" w:color="auto"/>
            </w:tcBorders>
            <w:shd w:val="clear" w:color="auto" w:fill="FFFFFF" w:themeFill="background1"/>
            <w:noWrap/>
            <w:vAlign w:val="center"/>
            <w:hideMark/>
          </w:tcPr>
          <w:p w:rsidR="00522C31" w:rsidRPr="002F17B5" w:rsidRDefault="00522C31" w:rsidP="00B54507">
            <w:pPr>
              <w:spacing w:after="60"/>
              <w:jc w:val="right"/>
              <w:rPr>
                <w:sz w:val="22"/>
                <w:szCs w:val="18"/>
              </w:rPr>
            </w:pPr>
          </w:p>
        </w:tc>
        <w:tc>
          <w:tcPr>
            <w:tcW w:w="694" w:type="pct"/>
            <w:tcBorders>
              <w:top w:val="single" w:sz="4" w:space="0" w:color="auto"/>
            </w:tcBorders>
            <w:shd w:val="clear" w:color="auto" w:fill="FFFFFF" w:themeFill="background1"/>
            <w:noWrap/>
            <w:vAlign w:val="center"/>
            <w:hideMark/>
          </w:tcPr>
          <w:p w:rsidR="00522C31" w:rsidRPr="002F17B5" w:rsidRDefault="00522C31" w:rsidP="00B54507">
            <w:pPr>
              <w:spacing w:after="60"/>
              <w:jc w:val="right"/>
              <w:rPr>
                <w:sz w:val="22"/>
                <w:szCs w:val="18"/>
              </w:rPr>
            </w:pPr>
          </w:p>
        </w:tc>
        <w:tc>
          <w:tcPr>
            <w:tcW w:w="647" w:type="pct"/>
            <w:tcBorders>
              <w:top w:val="single" w:sz="4" w:space="0" w:color="auto"/>
            </w:tcBorders>
            <w:shd w:val="clear" w:color="auto" w:fill="FFFFFF" w:themeFill="background1"/>
            <w:noWrap/>
            <w:vAlign w:val="center"/>
            <w:hideMark/>
          </w:tcPr>
          <w:p w:rsidR="00522C31" w:rsidRPr="002F17B5" w:rsidRDefault="00522C31" w:rsidP="00B54507">
            <w:pPr>
              <w:spacing w:after="60"/>
              <w:jc w:val="right"/>
              <w:rPr>
                <w:b/>
                <w:bCs/>
                <w:color w:val="0000FF"/>
                <w:sz w:val="22"/>
                <w:szCs w:val="18"/>
              </w:rPr>
            </w:pPr>
          </w:p>
        </w:tc>
      </w:tr>
      <w:tr w:rsidR="00522C31" w:rsidRPr="002F17B5" w:rsidTr="00006736">
        <w:trPr>
          <w:trHeight w:val="305"/>
        </w:trPr>
        <w:tc>
          <w:tcPr>
            <w:tcW w:w="1765" w:type="pct"/>
            <w:shd w:val="clear" w:color="auto" w:fill="FFFFFF" w:themeFill="background1"/>
            <w:noWrap/>
            <w:vAlign w:val="bottom"/>
            <w:hideMark/>
          </w:tcPr>
          <w:p w:rsidR="00522C31" w:rsidRPr="002F17B5" w:rsidRDefault="00522C31" w:rsidP="00B54507">
            <w:pPr>
              <w:spacing w:after="60"/>
              <w:jc w:val="left"/>
              <w:rPr>
                <w:b/>
                <w:bCs/>
                <w:sz w:val="20"/>
                <w:szCs w:val="18"/>
              </w:rPr>
            </w:pPr>
            <w:r w:rsidRPr="002F17B5">
              <w:rPr>
                <w:b/>
                <w:bCs/>
                <w:sz w:val="20"/>
                <w:szCs w:val="18"/>
              </w:rPr>
              <w:t>At 1 April 2012</w:t>
            </w:r>
          </w:p>
        </w:tc>
        <w:tc>
          <w:tcPr>
            <w:tcW w:w="563" w:type="pct"/>
            <w:shd w:val="clear" w:color="auto" w:fill="FFFFFF" w:themeFill="background1"/>
            <w:noWrap/>
            <w:vAlign w:val="center"/>
            <w:hideMark/>
          </w:tcPr>
          <w:p w:rsidR="00522C31" w:rsidRPr="002F17B5" w:rsidRDefault="00522C31" w:rsidP="00B54507">
            <w:pPr>
              <w:spacing w:after="60"/>
              <w:jc w:val="right"/>
              <w:rPr>
                <w:sz w:val="22"/>
                <w:szCs w:val="18"/>
              </w:rPr>
            </w:pPr>
            <w:r w:rsidRPr="002F17B5">
              <w:rPr>
                <w:sz w:val="22"/>
                <w:szCs w:val="18"/>
              </w:rPr>
              <w:t>76.0</w:t>
            </w:r>
          </w:p>
        </w:tc>
        <w:tc>
          <w:tcPr>
            <w:tcW w:w="606" w:type="pct"/>
            <w:shd w:val="clear" w:color="auto" w:fill="FFFFFF" w:themeFill="background1"/>
            <w:noWrap/>
            <w:vAlign w:val="center"/>
            <w:hideMark/>
          </w:tcPr>
          <w:p w:rsidR="00522C31" w:rsidRPr="002F17B5" w:rsidRDefault="00522C31" w:rsidP="00B54507">
            <w:pPr>
              <w:spacing w:after="60"/>
              <w:jc w:val="right"/>
              <w:rPr>
                <w:sz w:val="22"/>
                <w:szCs w:val="18"/>
              </w:rPr>
            </w:pPr>
            <w:r w:rsidRPr="002F17B5">
              <w:rPr>
                <w:sz w:val="22"/>
                <w:szCs w:val="18"/>
              </w:rPr>
              <w:t>28.0</w:t>
            </w:r>
          </w:p>
        </w:tc>
        <w:tc>
          <w:tcPr>
            <w:tcW w:w="724" w:type="pct"/>
            <w:shd w:val="clear" w:color="auto" w:fill="FFFFFF" w:themeFill="background1"/>
            <w:noWrap/>
            <w:vAlign w:val="center"/>
            <w:hideMark/>
          </w:tcPr>
          <w:p w:rsidR="00522C31" w:rsidRPr="002F17B5" w:rsidRDefault="00522C31" w:rsidP="00B54507">
            <w:pPr>
              <w:spacing w:after="60"/>
              <w:jc w:val="right"/>
              <w:rPr>
                <w:sz w:val="22"/>
                <w:szCs w:val="18"/>
              </w:rPr>
            </w:pPr>
            <w:r w:rsidRPr="002F17B5">
              <w:rPr>
                <w:sz w:val="22"/>
                <w:szCs w:val="18"/>
              </w:rPr>
              <w:t>51.8</w:t>
            </w:r>
          </w:p>
        </w:tc>
        <w:tc>
          <w:tcPr>
            <w:tcW w:w="694" w:type="pct"/>
            <w:shd w:val="clear" w:color="auto" w:fill="FFFFFF" w:themeFill="background1"/>
            <w:noWrap/>
            <w:vAlign w:val="center"/>
            <w:hideMark/>
          </w:tcPr>
          <w:p w:rsidR="00522C31" w:rsidRPr="002F17B5" w:rsidRDefault="00522C31" w:rsidP="00B54507">
            <w:pPr>
              <w:spacing w:after="60"/>
              <w:jc w:val="right"/>
              <w:rPr>
                <w:sz w:val="22"/>
                <w:szCs w:val="18"/>
              </w:rPr>
            </w:pPr>
            <w:r w:rsidRPr="002F17B5">
              <w:rPr>
                <w:sz w:val="22"/>
                <w:szCs w:val="18"/>
              </w:rPr>
              <w:t>-</w:t>
            </w:r>
          </w:p>
        </w:tc>
        <w:tc>
          <w:tcPr>
            <w:tcW w:w="647" w:type="pct"/>
            <w:shd w:val="clear" w:color="auto" w:fill="FFFFFF" w:themeFill="background1"/>
            <w:noWrap/>
            <w:vAlign w:val="center"/>
            <w:hideMark/>
          </w:tcPr>
          <w:p w:rsidR="00522C31" w:rsidRPr="002F17B5" w:rsidRDefault="00522C31" w:rsidP="00B54507">
            <w:pPr>
              <w:spacing w:after="60"/>
              <w:jc w:val="right"/>
              <w:rPr>
                <w:b/>
                <w:bCs/>
                <w:sz w:val="22"/>
                <w:szCs w:val="18"/>
              </w:rPr>
            </w:pPr>
            <w:r w:rsidRPr="002F17B5">
              <w:rPr>
                <w:b/>
                <w:bCs/>
                <w:sz w:val="22"/>
                <w:szCs w:val="18"/>
              </w:rPr>
              <w:t>155.8</w:t>
            </w:r>
          </w:p>
        </w:tc>
      </w:tr>
      <w:tr w:rsidR="00522C31" w:rsidRPr="002F17B5" w:rsidTr="00006736">
        <w:trPr>
          <w:trHeight w:val="423"/>
        </w:trPr>
        <w:tc>
          <w:tcPr>
            <w:tcW w:w="1765" w:type="pct"/>
            <w:shd w:val="clear" w:color="auto" w:fill="FFFFFF" w:themeFill="background1"/>
            <w:vAlign w:val="bottom"/>
            <w:hideMark/>
          </w:tcPr>
          <w:p w:rsidR="00522C31" w:rsidRPr="002F17B5" w:rsidRDefault="0086593E" w:rsidP="00B54507">
            <w:pPr>
              <w:spacing w:after="60"/>
              <w:jc w:val="left"/>
              <w:rPr>
                <w:sz w:val="22"/>
                <w:szCs w:val="18"/>
              </w:rPr>
            </w:pPr>
            <w:r w:rsidRPr="00B47A3C">
              <w:rPr>
                <w:sz w:val="20"/>
                <w:szCs w:val="18"/>
              </w:rPr>
              <w:t>Depreciation charge for 2012/13</w:t>
            </w:r>
          </w:p>
        </w:tc>
        <w:tc>
          <w:tcPr>
            <w:tcW w:w="563" w:type="pct"/>
            <w:shd w:val="clear" w:color="auto" w:fill="FFFFFF" w:themeFill="background1"/>
            <w:noWrap/>
            <w:vAlign w:val="center"/>
            <w:hideMark/>
          </w:tcPr>
          <w:p w:rsidR="00522C31" w:rsidRPr="002F17B5" w:rsidRDefault="00522C31" w:rsidP="00B54507">
            <w:pPr>
              <w:spacing w:after="60"/>
              <w:jc w:val="right"/>
              <w:rPr>
                <w:sz w:val="22"/>
                <w:szCs w:val="18"/>
              </w:rPr>
            </w:pPr>
            <w:r w:rsidRPr="002F17B5">
              <w:rPr>
                <w:sz w:val="22"/>
                <w:szCs w:val="18"/>
              </w:rPr>
              <w:t>31.7</w:t>
            </w:r>
          </w:p>
        </w:tc>
        <w:tc>
          <w:tcPr>
            <w:tcW w:w="606" w:type="pct"/>
            <w:shd w:val="clear" w:color="auto" w:fill="FFFFFF" w:themeFill="background1"/>
            <w:noWrap/>
            <w:vAlign w:val="center"/>
            <w:hideMark/>
          </w:tcPr>
          <w:p w:rsidR="00522C31" w:rsidRPr="002F17B5" w:rsidRDefault="00522C31" w:rsidP="00B54507">
            <w:pPr>
              <w:spacing w:after="60"/>
              <w:jc w:val="right"/>
              <w:rPr>
                <w:sz w:val="22"/>
                <w:szCs w:val="18"/>
              </w:rPr>
            </w:pPr>
            <w:r w:rsidRPr="002F17B5">
              <w:rPr>
                <w:sz w:val="22"/>
                <w:szCs w:val="18"/>
              </w:rPr>
              <w:t>7.7</w:t>
            </w:r>
          </w:p>
        </w:tc>
        <w:tc>
          <w:tcPr>
            <w:tcW w:w="724" w:type="pct"/>
            <w:shd w:val="clear" w:color="auto" w:fill="FFFFFF" w:themeFill="background1"/>
            <w:noWrap/>
            <w:vAlign w:val="center"/>
            <w:hideMark/>
          </w:tcPr>
          <w:p w:rsidR="00522C31" w:rsidRPr="002F17B5" w:rsidRDefault="00522C31" w:rsidP="00B54507">
            <w:pPr>
              <w:spacing w:after="60"/>
              <w:jc w:val="right"/>
              <w:rPr>
                <w:sz w:val="22"/>
                <w:szCs w:val="18"/>
              </w:rPr>
            </w:pPr>
            <w:r w:rsidRPr="002F17B5">
              <w:rPr>
                <w:sz w:val="22"/>
                <w:szCs w:val="18"/>
              </w:rPr>
              <w:t>13.8</w:t>
            </w:r>
          </w:p>
        </w:tc>
        <w:tc>
          <w:tcPr>
            <w:tcW w:w="694" w:type="pct"/>
            <w:shd w:val="clear" w:color="auto" w:fill="FFFFFF" w:themeFill="background1"/>
            <w:noWrap/>
            <w:vAlign w:val="center"/>
            <w:hideMark/>
          </w:tcPr>
          <w:p w:rsidR="00522C31" w:rsidRPr="002F17B5" w:rsidRDefault="00522C31" w:rsidP="00B54507">
            <w:pPr>
              <w:spacing w:after="60"/>
              <w:jc w:val="right"/>
              <w:rPr>
                <w:sz w:val="22"/>
                <w:szCs w:val="18"/>
              </w:rPr>
            </w:pPr>
            <w:r w:rsidRPr="002F17B5">
              <w:rPr>
                <w:sz w:val="22"/>
                <w:szCs w:val="18"/>
              </w:rPr>
              <w:t>-</w:t>
            </w:r>
          </w:p>
        </w:tc>
        <w:tc>
          <w:tcPr>
            <w:tcW w:w="647" w:type="pct"/>
            <w:shd w:val="clear" w:color="auto" w:fill="FFFFFF" w:themeFill="background1"/>
            <w:noWrap/>
            <w:vAlign w:val="center"/>
            <w:hideMark/>
          </w:tcPr>
          <w:p w:rsidR="00522C31" w:rsidRPr="002F17B5" w:rsidRDefault="00522C31" w:rsidP="00B54507">
            <w:pPr>
              <w:spacing w:after="60"/>
              <w:jc w:val="right"/>
              <w:rPr>
                <w:b/>
                <w:bCs/>
                <w:sz w:val="22"/>
                <w:szCs w:val="18"/>
              </w:rPr>
            </w:pPr>
            <w:r w:rsidRPr="002F17B5">
              <w:rPr>
                <w:b/>
                <w:bCs/>
                <w:sz w:val="22"/>
                <w:szCs w:val="18"/>
              </w:rPr>
              <w:t>53.2</w:t>
            </w:r>
          </w:p>
        </w:tc>
      </w:tr>
      <w:tr w:rsidR="00522C31" w:rsidRPr="002F17B5" w:rsidTr="00006736">
        <w:trPr>
          <w:trHeight w:val="354"/>
        </w:trPr>
        <w:tc>
          <w:tcPr>
            <w:tcW w:w="1765" w:type="pct"/>
            <w:shd w:val="clear" w:color="auto" w:fill="FFFFFF" w:themeFill="background1"/>
            <w:vAlign w:val="bottom"/>
            <w:hideMark/>
          </w:tcPr>
          <w:p w:rsidR="00522C31" w:rsidRPr="002F17B5" w:rsidRDefault="00522C31" w:rsidP="00B54507">
            <w:pPr>
              <w:spacing w:after="60"/>
              <w:jc w:val="left"/>
              <w:rPr>
                <w:sz w:val="22"/>
                <w:szCs w:val="18"/>
              </w:rPr>
            </w:pPr>
            <w:r w:rsidRPr="002F17B5">
              <w:rPr>
                <w:sz w:val="22"/>
                <w:szCs w:val="18"/>
              </w:rPr>
              <w:t>De-recognition – disposals</w:t>
            </w:r>
          </w:p>
        </w:tc>
        <w:tc>
          <w:tcPr>
            <w:tcW w:w="563" w:type="pct"/>
            <w:shd w:val="clear" w:color="auto" w:fill="FFFFFF" w:themeFill="background1"/>
            <w:noWrap/>
            <w:vAlign w:val="bottom"/>
            <w:hideMark/>
          </w:tcPr>
          <w:p w:rsidR="00522C31" w:rsidRPr="002F17B5" w:rsidRDefault="00522C31" w:rsidP="00AD5D5C">
            <w:pPr>
              <w:spacing w:after="80"/>
              <w:jc w:val="right"/>
              <w:rPr>
                <w:sz w:val="22"/>
                <w:szCs w:val="18"/>
              </w:rPr>
            </w:pPr>
            <w:r w:rsidRPr="002F17B5">
              <w:rPr>
                <w:sz w:val="22"/>
                <w:szCs w:val="18"/>
              </w:rPr>
              <w:t>(2.1)</w:t>
            </w:r>
          </w:p>
        </w:tc>
        <w:tc>
          <w:tcPr>
            <w:tcW w:w="606" w:type="pct"/>
            <w:shd w:val="clear" w:color="auto" w:fill="FFFFFF" w:themeFill="background1"/>
            <w:noWrap/>
            <w:vAlign w:val="center"/>
            <w:hideMark/>
          </w:tcPr>
          <w:p w:rsidR="00522C31" w:rsidRPr="002F17B5" w:rsidRDefault="00522C31" w:rsidP="00AD5D5C">
            <w:pPr>
              <w:spacing w:after="80"/>
              <w:jc w:val="right"/>
              <w:rPr>
                <w:sz w:val="22"/>
                <w:szCs w:val="18"/>
              </w:rPr>
            </w:pPr>
            <w:r w:rsidRPr="002F17B5">
              <w:rPr>
                <w:sz w:val="22"/>
                <w:szCs w:val="18"/>
              </w:rPr>
              <w:t>-</w:t>
            </w:r>
          </w:p>
        </w:tc>
        <w:tc>
          <w:tcPr>
            <w:tcW w:w="724" w:type="pct"/>
            <w:shd w:val="clear" w:color="auto" w:fill="FFFFFF" w:themeFill="background1"/>
            <w:noWrap/>
            <w:vAlign w:val="center"/>
            <w:hideMark/>
          </w:tcPr>
          <w:p w:rsidR="00522C31" w:rsidRPr="002F17B5" w:rsidRDefault="00522C31" w:rsidP="00AD5D5C">
            <w:pPr>
              <w:spacing w:after="80"/>
              <w:jc w:val="right"/>
              <w:rPr>
                <w:sz w:val="22"/>
                <w:szCs w:val="18"/>
              </w:rPr>
            </w:pPr>
            <w:r w:rsidRPr="002F17B5">
              <w:rPr>
                <w:sz w:val="22"/>
                <w:szCs w:val="18"/>
              </w:rPr>
              <w:t>-</w:t>
            </w:r>
          </w:p>
        </w:tc>
        <w:tc>
          <w:tcPr>
            <w:tcW w:w="694" w:type="pct"/>
            <w:shd w:val="clear" w:color="auto" w:fill="FFFFFF" w:themeFill="background1"/>
            <w:noWrap/>
            <w:vAlign w:val="center"/>
            <w:hideMark/>
          </w:tcPr>
          <w:p w:rsidR="00522C31" w:rsidRPr="002F17B5" w:rsidRDefault="00522C31" w:rsidP="00AD5D5C">
            <w:pPr>
              <w:spacing w:after="80"/>
              <w:jc w:val="right"/>
              <w:rPr>
                <w:sz w:val="22"/>
                <w:szCs w:val="18"/>
              </w:rPr>
            </w:pPr>
            <w:r w:rsidRPr="002F17B5">
              <w:rPr>
                <w:sz w:val="22"/>
                <w:szCs w:val="18"/>
              </w:rPr>
              <w:t>-</w:t>
            </w:r>
          </w:p>
        </w:tc>
        <w:tc>
          <w:tcPr>
            <w:tcW w:w="647" w:type="pct"/>
            <w:shd w:val="clear" w:color="auto" w:fill="FFFFFF" w:themeFill="background1"/>
            <w:noWrap/>
            <w:vAlign w:val="bottom"/>
            <w:hideMark/>
          </w:tcPr>
          <w:p w:rsidR="00522C31" w:rsidRPr="002F17B5" w:rsidRDefault="00522C31" w:rsidP="00AD5D5C">
            <w:pPr>
              <w:spacing w:after="80"/>
              <w:jc w:val="right"/>
              <w:rPr>
                <w:b/>
                <w:bCs/>
                <w:sz w:val="22"/>
                <w:szCs w:val="18"/>
              </w:rPr>
            </w:pPr>
            <w:r w:rsidRPr="002F17B5">
              <w:rPr>
                <w:b/>
                <w:bCs/>
                <w:sz w:val="22"/>
                <w:szCs w:val="18"/>
              </w:rPr>
              <w:t>(2.1)</w:t>
            </w:r>
          </w:p>
        </w:tc>
      </w:tr>
      <w:tr w:rsidR="00522C31" w:rsidRPr="002F17B5" w:rsidTr="00982A2E">
        <w:trPr>
          <w:trHeight w:val="289"/>
        </w:trPr>
        <w:tc>
          <w:tcPr>
            <w:tcW w:w="1765" w:type="pct"/>
            <w:shd w:val="clear" w:color="auto" w:fill="FFFFFF" w:themeFill="background1"/>
            <w:vAlign w:val="bottom"/>
            <w:hideMark/>
          </w:tcPr>
          <w:p w:rsidR="00522C31" w:rsidRPr="002F17B5" w:rsidRDefault="00522C31" w:rsidP="00B54507">
            <w:pPr>
              <w:spacing w:after="60"/>
              <w:jc w:val="left"/>
              <w:rPr>
                <w:sz w:val="22"/>
                <w:szCs w:val="18"/>
              </w:rPr>
            </w:pPr>
            <w:r w:rsidRPr="002F17B5">
              <w:rPr>
                <w:sz w:val="22"/>
                <w:szCs w:val="18"/>
              </w:rPr>
              <w:t>De-recognitions – others</w:t>
            </w:r>
          </w:p>
        </w:tc>
        <w:tc>
          <w:tcPr>
            <w:tcW w:w="563" w:type="pct"/>
            <w:tcBorders>
              <w:bottom w:val="single" w:sz="4" w:space="0" w:color="auto"/>
            </w:tcBorders>
            <w:shd w:val="clear" w:color="auto" w:fill="FFFFFF" w:themeFill="background1"/>
            <w:noWrap/>
            <w:vAlign w:val="bottom"/>
            <w:hideMark/>
          </w:tcPr>
          <w:p w:rsidR="00522C31" w:rsidRPr="002F17B5" w:rsidRDefault="00522C31" w:rsidP="00AD5D5C">
            <w:pPr>
              <w:spacing w:after="80"/>
              <w:jc w:val="right"/>
              <w:rPr>
                <w:sz w:val="22"/>
                <w:szCs w:val="18"/>
              </w:rPr>
            </w:pPr>
            <w:r w:rsidRPr="002F17B5">
              <w:rPr>
                <w:sz w:val="22"/>
                <w:szCs w:val="18"/>
              </w:rPr>
              <w:t>(14.8)</w:t>
            </w:r>
          </w:p>
        </w:tc>
        <w:tc>
          <w:tcPr>
            <w:tcW w:w="606" w:type="pct"/>
            <w:tcBorders>
              <w:bottom w:val="single" w:sz="4" w:space="0" w:color="auto"/>
            </w:tcBorders>
            <w:shd w:val="clear" w:color="auto" w:fill="FFFFFF" w:themeFill="background1"/>
            <w:noWrap/>
            <w:vAlign w:val="center"/>
            <w:hideMark/>
          </w:tcPr>
          <w:p w:rsidR="00522C31" w:rsidRPr="002F17B5" w:rsidRDefault="00522C31" w:rsidP="00AD5D5C">
            <w:pPr>
              <w:spacing w:after="80"/>
              <w:jc w:val="right"/>
              <w:rPr>
                <w:sz w:val="22"/>
                <w:szCs w:val="18"/>
              </w:rPr>
            </w:pPr>
            <w:r w:rsidRPr="002F17B5">
              <w:rPr>
                <w:sz w:val="22"/>
                <w:szCs w:val="18"/>
              </w:rPr>
              <w:t>-</w:t>
            </w:r>
          </w:p>
        </w:tc>
        <w:tc>
          <w:tcPr>
            <w:tcW w:w="724" w:type="pct"/>
            <w:tcBorders>
              <w:bottom w:val="single" w:sz="4" w:space="0" w:color="auto"/>
            </w:tcBorders>
            <w:shd w:val="clear" w:color="auto" w:fill="FFFFFF" w:themeFill="background1"/>
            <w:noWrap/>
            <w:vAlign w:val="center"/>
            <w:hideMark/>
          </w:tcPr>
          <w:p w:rsidR="00522C31" w:rsidRPr="002F17B5" w:rsidRDefault="00522C31" w:rsidP="00AD5D5C">
            <w:pPr>
              <w:spacing w:after="80"/>
              <w:jc w:val="right"/>
              <w:rPr>
                <w:sz w:val="22"/>
                <w:szCs w:val="18"/>
              </w:rPr>
            </w:pPr>
            <w:r w:rsidRPr="002F17B5">
              <w:rPr>
                <w:sz w:val="22"/>
                <w:szCs w:val="18"/>
              </w:rPr>
              <w:t>-</w:t>
            </w:r>
          </w:p>
        </w:tc>
        <w:tc>
          <w:tcPr>
            <w:tcW w:w="694" w:type="pct"/>
            <w:tcBorders>
              <w:bottom w:val="single" w:sz="4" w:space="0" w:color="auto"/>
            </w:tcBorders>
            <w:shd w:val="clear" w:color="auto" w:fill="FFFFFF" w:themeFill="background1"/>
            <w:noWrap/>
            <w:vAlign w:val="center"/>
            <w:hideMark/>
          </w:tcPr>
          <w:p w:rsidR="00522C31" w:rsidRPr="002F17B5" w:rsidRDefault="00522C31" w:rsidP="00AD5D5C">
            <w:pPr>
              <w:spacing w:after="80"/>
              <w:jc w:val="right"/>
              <w:rPr>
                <w:sz w:val="22"/>
                <w:szCs w:val="18"/>
              </w:rPr>
            </w:pPr>
            <w:r w:rsidRPr="002F17B5">
              <w:rPr>
                <w:sz w:val="22"/>
                <w:szCs w:val="18"/>
              </w:rPr>
              <w:t>-</w:t>
            </w:r>
          </w:p>
        </w:tc>
        <w:tc>
          <w:tcPr>
            <w:tcW w:w="647" w:type="pct"/>
            <w:tcBorders>
              <w:bottom w:val="single" w:sz="4" w:space="0" w:color="auto"/>
            </w:tcBorders>
            <w:shd w:val="clear" w:color="auto" w:fill="FFFFFF" w:themeFill="background1"/>
            <w:noWrap/>
            <w:vAlign w:val="bottom"/>
            <w:hideMark/>
          </w:tcPr>
          <w:p w:rsidR="00522C31" w:rsidRPr="002F17B5" w:rsidRDefault="00522C31" w:rsidP="00AD5D5C">
            <w:pPr>
              <w:spacing w:after="80"/>
              <w:jc w:val="right"/>
              <w:rPr>
                <w:b/>
                <w:bCs/>
                <w:sz w:val="22"/>
                <w:szCs w:val="18"/>
              </w:rPr>
            </w:pPr>
            <w:r w:rsidRPr="002F17B5">
              <w:rPr>
                <w:b/>
                <w:bCs/>
                <w:sz w:val="22"/>
                <w:szCs w:val="18"/>
              </w:rPr>
              <w:t>(14.8)</w:t>
            </w:r>
          </w:p>
        </w:tc>
      </w:tr>
      <w:tr w:rsidR="00522C31" w:rsidRPr="002F17B5" w:rsidTr="00982A2E">
        <w:trPr>
          <w:trHeight w:val="305"/>
        </w:trPr>
        <w:tc>
          <w:tcPr>
            <w:tcW w:w="1765" w:type="pct"/>
            <w:shd w:val="clear" w:color="auto" w:fill="FFFFFF" w:themeFill="background1"/>
            <w:noWrap/>
            <w:vAlign w:val="center"/>
            <w:hideMark/>
          </w:tcPr>
          <w:p w:rsidR="00522C31" w:rsidRPr="002F17B5" w:rsidRDefault="00522C31" w:rsidP="00B54507">
            <w:pPr>
              <w:spacing w:after="60"/>
              <w:jc w:val="left"/>
              <w:rPr>
                <w:b/>
                <w:bCs/>
                <w:sz w:val="2"/>
                <w:szCs w:val="18"/>
              </w:rPr>
            </w:pPr>
          </w:p>
          <w:p w:rsidR="00522C31" w:rsidRPr="002F17B5" w:rsidRDefault="00522C31" w:rsidP="00B54507">
            <w:pPr>
              <w:spacing w:after="60"/>
              <w:jc w:val="left"/>
              <w:rPr>
                <w:b/>
                <w:bCs/>
                <w:sz w:val="20"/>
                <w:szCs w:val="18"/>
              </w:rPr>
            </w:pPr>
            <w:r w:rsidRPr="002F17B5">
              <w:rPr>
                <w:b/>
                <w:bCs/>
                <w:sz w:val="20"/>
                <w:szCs w:val="18"/>
              </w:rPr>
              <w:t>At 31 March 2013</w:t>
            </w:r>
          </w:p>
          <w:p w:rsidR="00522C31" w:rsidRPr="002F17B5" w:rsidRDefault="00522C31" w:rsidP="00B54507">
            <w:pPr>
              <w:spacing w:after="60"/>
              <w:jc w:val="left"/>
              <w:rPr>
                <w:b/>
                <w:bCs/>
                <w:sz w:val="2"/>
                <w:szCs w:val="18"/>
              </w:rPr>
            </w:pPr>
          </w:p>
        </w:tc>
        <w:tc>
          <w:tcPr>
            <w:tcW w:w="563"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20"/>
              </w:rPr>
            </w:pPr>
            <w:r w:rsidRPr="002F17B5">
              <w:rPr>
                <w:b/>
                <w:sz w:val="22"/>
                <w:szCs w:val="20"/>
              </w:rPr>
              <w:t>90.8</w:t>
            </w:r>
          </w:p>
        </w:tc>
        <w:tc>
          <w:tcPr>
            <w:tcW w:w="606"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20"/>
              </w:rPr>
            </w:pPr>
            <w:r w:rsidRPr="002F17B5">
              <w:rPr>
                <w:b/>
                <w:sz w:val="22"/>
                <w:szCs w:val="20"/>
              </w:rPr>
              <w:t>35.7</w:t>
            </w:r>
          </w:p>
        </w:tc>
        <w:tc>
          <w:tcPr>
            <w:tcW w:w="724"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20"/>
              </w:rPr>
            </w:pPr>
            <w:r w:rsidRPr="002F17B5">
              <w:rPr>
                <w:b/>
                <w:sz w:val="22"/>
                <w:szCs w:val="20"/>
              </w:rPr>
              <w:t>65.6</w:t>
            </w:r>
          </w:p>
        </w:tc>
        <w:tc>
          <w:tcPr>
            <w:tcW w:w="694"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20"/>
              </w:rPr>
            </w:pPr>
            <w:r w:rsidRPr="002F17B5">
              <w:rPr>
                <w:b/>
                <w:sz w:val="22"/>
                <w:szCs w:val="20"/>
              </w:rPr>
              <w:t>-</w:t>
            </w:r>
          </w:p>
        </w:tc>
        <w:tc>
          <w:tcPr>
            <w:tcW w:w="647"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20"/>
              </w:rPr>
            </w:pPr>
            <w:r w:rsidRPr="002F17B5">
              <w:rPr>
                <w:b/>
                <w:sz w:val="22"/>
                <w:szCs w:val="20"/>
              </w:rPr>
              <w:t>192.1</w:t>
            </w:r>
          </w:p>
        </w:tc>
      </w:tr>
      <w:tr w:rsidR="00522C31" w:rsidRPr="002F17B5" w:rsidTr="00982A2E">
        <w:trPr>
          <w:trHeight w:val="412"/>
        </w:trPr>
        <w:tc>
          <w:tcPr>
            <w:tcW w:w="1765" w:type="pct"/>
            <w:shd w:val="clear" w:color="auto" w:fill="FFFFFF" w:themeFill="background1"/>
            <w:vAlign w:val="center"/>
            <w:hideMark/>
          </w:tcPr>
          <w:p w:rsidR="00522C31" w:rsidRPr="002F17B5" w:rsidRDefault="00522C31" w:rsidP="00B54507">
            <w:pPr>
              <w:spacing w:after="60"/>
              <w:jc w:val="left"/>
              <w:rPr>
                <w:b/>
                <w:bCs/>
                <w:sz w:val="20"/>
                <w:szCs w:val="18"/>
              </w:rPr>
            </w:pPr>
            <w:r w:rsidRPr="002F17B5">
              <w:rPr>
                <w:b/>
                <w:bCs/>
                <w:sz w:val="20"/>
                <w:szCs w:val="18"/>
              </w:rPr>
              <w:t>Net Book Value at 31 March 2013</w:t>
            </w:r>
          </w:p>
          <w:p w:rsidR="00522C31" w:rsidRPr="002F17B5" w:rsidRDefault="00522C31" w:rsidP="00B54507">
            <w:pPr>
              <w:spacing w:after="60"/>
              <w:jc w:val="left"/>
              <w:rPr>
                <w:b/>
                <w:bCs/>
                <w:sz w:val="2"/>
                <w:szCs w:val="18"/>
              </w:rPr>
            </w:pPr>
          </w:p>
        </w:tc>
        <w:tc>
          <w:tcPr>
            <w:tcW w:w="563"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18"/>
              </w:rPr>
            </w:pPr>
            <w:r w:rsidRPr="002F17B5">
              <w:rPr>
                <w:b/>
                <w:sz w:val="22"/>
                <w:szCs w:val="18"/>
              </w:rPr>
              <w:t>2,018.6</w:t>
            </w:r>
          </w:p>
        </w:tc>
        <w:tc>
          <w:tcPr>
            <w:tcW w:w="606"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18"/>
              </w:rPr>
            </w:pPr>
            <w:r w:rsidRPr="002F17B5">
              <w:rPr>
                <w:b/>
                <w:sz w:val="22"/>
                <w:szCs w:val="18"/>
              </w:rPr>
              <w:t>35.6</w:t>
            </w:r>
          </w:p>
        </w:tc>
        <w:tc>
          <w:tcPr>
            <w:tcW w:w="724"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18"/>
              </w:rPr>
            </w:pPr>
            <w:r w:rsidRPr="002F17B5">
              <w:rPr>
                <w:b/>
                <w:sz w:val="22"/>
                <w:szCs w:val="18"/>
              </w:rPr>
              <w:t>557.5</w:t>
            </w:r>
          </w:p>
        </w:tc>
        <w:tc>
          <w:tcPr>
            <w:tcW w:w="694"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18"/>
              </w:rPr>
            </w:pPr>
            <w:r w:rsidRPr="002F17B5">
              <w:rPr>
                <w:b/>
                <w:sz w:val="22"/>
                <w:szCs w:val="18"/>
              </w:rPr>
              <w:t>0.7</w:t>
            </w:r>
          </w:p>
        </w:tc>
        <w:tc>
          <w:tcPr>
            <w:tcW w:w="647"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bCs/>
                <w:sz w:val="22"/>
                <w:szCs w:val="18"/>
              </w:rPr>
            </w:pPr>
            <w:r w:rsidRPr="002F17B5">
              <w:rPr>
                <w:b/>
                <w:bCs/>
                <w:sz w:val="22"/>
                <w:szCs w:val="18"/>
              </w:rPr>
              <w:t>2,612.4</w:t>
            </w:r>
          </w:p>
        </w:tc>
      </w:tr>
      <w:tr w:rsidR="00522C31" w:rsidRPr="002F17B5" w:rsidTr="00982A2E">
        <w:trPr>
          <w:trHeight w:hRule="exact" w:val="340"/>
        </w:trPr>
        <w:tc>
          <w:tcPr>
            <w:tcW w:w="1765" w:type="pct"/>
            <w:shd w:val="clear" w:color="auto" w:fill="FFFFFF" w:themeFill="background1"/>
            <w:vAlign w:val="center"/>
            <w:hideMark/>
          </w:tcPr>
          <w:p w:rsidR="00522C31" w:rsidRPr="002F17B5" w:rsidRDefault="00522C31" w:rsidP="00B54507">
            <w:pPr>
              <w:spacing w:after="60"/>
              <w:jc w:val="left"/>
              <w:rPr>
                <w:b/>
                <w:bCs/>
                <w:sz w:val="20"/>
                <w:szCs w:val="18"/>
              </w:rPr>
            </w:pPr>
            <w:r w:rsidRPr="002F17B5">
              <w:rPr>
                <w:b/>
                <w:bCs/>
                <w:sz w:val="20"/>
                <w:szCs w:val="18"/>
              </w:rPr>
              <w:t>Net Book Value at 31 March 2012</w:t>
            </w:r>
          </w:p>
          <w:p w:rsidR="00522C31" w:rsidRPr="002F17B5" w:rsidRDefault="00522C31" w:rsidP="00B54507">
            <w:pPr>
              <w:spacing w:after="60"/>
              <w:jc w:val="left"/>
              <w:rPr>
                <w:b/>
                <w:bCs/>
                <w:sz w:val="2"/>
                <w:szCs w:val="18"/>
              </w:rPr>
            </w:pPr>
          </w:p>
        </w:tc>
        <w:tc>
          <w:tcPr>
            <w:tcW w:w="563"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18"/>
              </w:rPr>
            </w:pPr>
            <w:r w:rsidRPr="002F17B5">
              <w:rPr>
                <w:b/>
                <w:sz w:val="22"/>
                <w:szCs w:val="18"/>
              </w:rPr>
              <w:t>2,076.5</w:t>
            </w:r>
          </w:p>
        </w:tc>
        <w:tc>
          <w:tcPr>
            <w:tcW w:w="606"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18"/>
              </w:rPr>
            </w:pPr>
            <w:r w:rsidRPr="002F17B5">
              <w:rPr>
                <w:b/>
                <w:sz w:val="22"/>
                <w:szCs w:val="18"/>
              </w:rPr>
              <w:t>37.8</w:t>
            </w:r>
          </w:p>
        </w:tc>
        <w:tc>
          <w:tcPr>
            <w:tcW w:w="724"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18"/>
              </w:rPr>
            </w:pPr>
            <w:r w:rsidRPr="002F17B5">
              <w:rPr>
                <w:b/>
                <w:sz w:val="22"/>
                <w:szCs w:val="18"/>
              </w:rPr>
              <w:t>520.6</w:t>
            </w:r>
          </w:p>
        </w:tc>
        <w:tc>
          <w:tcPr>
            <w:tcW w:w="694"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sz w:val="22"/>
                <w:szCs w:val="18"/>
              </w:rPr>
            </w:pPr>
            <w:r w:rsidRPr="002F17B5">
              <w:rPr>
                <w:b/>
                <w:sz w:val="22"/>
                <w:szCs w:val="18"/>
              </w:rPr>
              <w:t>12.8</w:t>
            </w:r>
          </w:p>
        </w:tc>
        <w:tc>
          <w:tcPr>
            <w:tcW w:w="647" w:type="pct"/>
            <w:tcBorders>
              <w:top w:val="single" w:sz="4" w:space="0" w:color="auto"/>
              <w:bottom w:val="single" w:sz="4" w:space="0" w:color="auto"/>
            </w:tcBorders>
            <w:shd w:val="clear" w:color="auto" w:fill="FFFFFF" w:themeFill="background1"/>
            <w:noWrap/>
            <w:vAlign w:val="center"/>
            <w:hideMark/>
          </w:tcPr>
          <w:p w:rsidR="00522C31" w:rsidRPr="002F17B5" w:rsidRDefault="00522C31" w:rsidP="00B54507">
            <w:pPr>
              <w:spacing w:after="60"/>
              <w:jc w:val="right"/>
              <w:rPr>
                <w:b/>
                <w:bCs/>
                <w:sz w:val="22"/>
                <w:szCs w:val="18"/>
              </w:rPr>
            </w:pPr>
            <w:r w:rsidRPr="002F17B5">
              <w:rPr>
                <w:b/>
                <w:bCs/>
                <w:sz w:val="22"/>
                <w:szCs w:val="18"/>
              </w:rPr>
              <w:t>2,647.7</w:t>
            </w:r>
          </w:p>
        </w:tc>
      </w:tr>
    </w:tbl>
    <w:p w:rsidR="00E16F22" w:rsidRPr="002F17B5" w:rsidRDefault="00E16F22" w:rsidP="00FD5388">
      <w:pPr>
        <w:autoSpaceDE/>
        <w:autoSpaceDN/>
        <w:adjustRightInd/>
        <w:spacing w:before="0" w:after="0"/>
        <w:jc w:val="left"/>
        <w:rPr>
          <w:b/>
          <w:sz w:val="14"/>
          <w:u w:val="single"/>
        </w:rPr>
      </w:pPr>
    </w:p>
    <w:p w:rsidR="00785E69" w:rsidRDefault="00785E69" w:rsidP="00FD5388">
      <w:pPr>
        <w:rPr>
          <w:b/>
          <w:sz w:val="40"/>
        </w:rPr>
      </w:pPr>
    </w:p>
    <w:p w:rsidR="00AD5D5C" w:rsidRPr="002F17B5" w:rsidRDefault="00AD5D5C" w:rsidP="00FD5388">
      <w:pPr>
        <w:rPr>
          <w:b/>
          <w:sz w:val="40"/>
        </w:rPr>
      </w:pPr>
    </w:p>
    <w:p w:rsidR="00FD5388" w:rsidRPr="002F17B5" w:rsidRDefault="00286D86" w:rsidP="00FD5388">
      <w:pPr>
        <w:rPr>
          <w:b/>
        </w:rPr>
      </w:pPr>
      <w:r w:rsidRPr="002F17B5">
        <w:rPr>
          <w:b/>
        </w:rPr>
        <w:t>Effects of Changes in Estimates</w:t>
      </w:r>
    </w:p>
    <w:p w:rsidR="00FD5388" w:rsidRDefault="00FD5388" w:rsidP="00FD5388">
      <w:r w:rsidRPr="002F17B5">
        <w:t xml:space="preserve">In </w:t>
      </w:r>
      <w:r w:rsidR="00CD4CF3" w:rsidRPr="002F17B5">
        <w:t>2013/14</w:t>
      </w:r>
      <w:r w:rsidRPr="002F17B5">
        <w:t xml:space="preserve"> the council made no material changes to its accounting estimates for property, plant and equipment.</w:t>
      </w:r>
    </w:p>
    <w:p w:rsidR="00AD5D5C" w:rsidRPr="002F17B5" w:rsidRDefault="00AD5D5C" w:rsidP="00FD5388"/>
    <w:p w:rsidR="00FD5388" w:rsidRPr="002F17B5" w:rsidRDefault="00286D86" w:rsidP="00577F8C">
      <w:pPr>
        <w:spacing w:after="0"/>
        <w:rPr>
          <w:b/>
        </w:rPr>
      </w:pPr>
      <w:r w:rsidRPr="002F17B5">
        <w:rPr>
          <w:b/>
        </w:rPr>
        <w:lastRenderedPageBreak/>
        <w:t>Depreciation</w:t>
      </w:r>
    </w:p>
    <w:p w:rsidR="00FD5388" w:rsidRPr="002F17B5" w:rsidRDefault="00FD5388" w:rsidP="00FD5388">
      <w:pPr>
        <w:rPr>
          <w:sz w:val="2"/>
          <w:u w:val="single"/>
        </w:rPr>
      </w:pPr>
    </w:p>
    <w:p w:rsidR="00FD5388" w:rsidRPr="002F17B5" w:rsidRDefault="00FD5388" w:rsidP="00FD5388">
      <w:r w:rsidRPr="002F17B5">
        <w:t xml:space="preserve">The useful lives for land and buildings used for depreciation are assessed by the </w:t>
      </w:r>
      <w:proofErr w:type="spellStart"/>
      <w:r w:rsidRPr="002F17B5">
        <w:t>valuer</w:t>
      </w:r>
      <w:proofErr w:type="spellEnd"/>
      <w:r w:rsidRPr="002F17B5">
        <w:t xml:space="preserve"> in groups of 10 year up to over 50 years, namely:</w:t>
      </w:r>
    </w:p>
    <w:p w:rsidR="00FF079C" w:rsidRPr="002F17B5" w:rsidRDefault="00FF079C" w:rsidP="00FD5388">
      <w:pPr>
        <w:rPr>
          <w:sz w:val="6"/>
        </w:rPr>
      </w:pPr>
    </w:p>
    <w:tbl>
      <w:tblPr>
        <w:tblW w:w="4536" w:type="dxa"/>
        <w:tblInd w:w="250" w:type="dxa"/>
        <w:tblLook w:val="04A0" w:firstRow="1" w:lastRow="0" w:firstColumn="1" w:lastColumn="0" w:noHBand="0" w:noVBand="1"/>
      </w:tblPr>
      <w:tblGrid>
        <w:gridCol w:w="2268"/>
        <w:gridCol w:w="2268"/>
      </w:tblGrid>
      <w:tr w:rsidR="00FD5388" w:rsidRPr="002F17B5" w:rsidTr="000739A6">
        <w:trPr>
          <w:trHeight w:val="610"/>
        </w:trPr>
        <w:tc>
          <w:tcPr>
            <w:tcW w:w="2268" w:type="dxa"/>
            <w:shd w:val="clear" w:color="auto" w:fill="FFFFFF" w:themeFill="background1"/>
            <w:noWrap/>
            <w:vAlign w:val="center"/>
            <w:hideMark/>
          </w:tcPr>
          <w:p w:rsidR="00FD5388" w:rsidRPr="002F17B5" w:rsidRDefault="00FD5388" w:rsidP="00577F8C">
            <w:pPr>
              <w:autoSpaceDE/>
              <w:autoSpaceDN/>
              <w:adjustRightInd/>
              <w:spacing w:before="0" w:after="0"/>
              <w:jc w:val="left"/>
              <w:rPr>
                <w:rFonts w:eastAsia="Times New Roman" w:cs="Arial"/>
                <w:lang w:eastAsia="en-GB"/>
              </w:rPr>
            </w:pPr>
            <w:r w:rsidRPr="002F17B5">
              <w:rPr>
                <w:rFonts w:eastAsia="Times New Roman" w:cs="Arial"/>
                <w:lang w:eastAsia="en-GB"/>
              </w:rPr>
              <w:t>Life grouping</w:t>
            </w:r>
          </w:p>
        </w:tc>
        <w:tc>
          <w:tcPr>
            <w:tcW w:w="2268" w:type="dxa"/>
            <w:shd w:val="clear" w:color="auto" w:fill="FFFFFF" w:themeFill="background1"/>
            <w:noWrap/>
            <w:vAlign w:val="center"/>
            <w:hideMark/>
          </w:tcPr>
          <w:p w:rsidR="00FD5388" w:rsidRPr="002F17B5" w:rsidRDefault="00FD5388" w:rsidP="00577F8C">
            <w:pPr>
              <w:autoSpaceDE/>
              <w:autoSpaceDN/>
              <w:adjustRightInd/>
              <w:spacing w:before="0" w:after="0"/>
              <w:jc w:val="right"/>
              <w:rPr>
                <w:rFonts w:eastAsia="Times New Roman" w:cs="Arial"/>
                <w:lang w:eastAsia="en-GB"/>
              </w:rPr>
            </w:pPr>
            <w:r w:rsidRPr="002F17B5">
              <w:rPr>
                <w:rFonts w:eastAsia="Times New Roman" w:cs="Arial"/>
                <w:lang w:eastAsia="en-GB"/>
              </w:rPr>
              <w:t>Life used for depreciation</w:t>
            </w:r>
          </w:p>
        </w:tc>
      </w:tr>
      <w:tr w:rsidR="00FD5388" w:rsidRPr="002F17B5" w:rsidTr="000739A6">
        <w:trPr>
          <w:trHeight w:val="300"/>
        </w:trPr>
        <w:tc>
          <w:tcPr>
            <w:tcW w:w="2268" w:type="dxa"/>
            <w:shd w:val="clear" w:color="auto" w:fill="FFFFFF" w:themeFill="background1"/>
            <w:noWrap/>
            <w:vAlign w:val="bottom"/>
            <w:hideMark/>
          </w:tcPr>
          <w:p w:rsidR="00FD5388" w:rsidRPr="002F17B5" w:rsidRDefault="00FD5388" w:rsidP="00577F8C">
            <w:pPr>
              <w:autoSpaceDE/>
              <w:autoSpaceDN/>
              <w:adjustRightInd/>
              <w:spacing w:before="0" w:after="0"/>
              <w:jc w:val="left"/>
              <w:rPr>
                <w:rFonts w:eastAsia="Times New Roman" w:cs="Arial"/>
                <w:sz w:val="12"/>
                <w:lang w:eastAsia="en-GB"/>
              </w:rPr>
            </w:pPr>
          </w:p>
          <w:p w:rsidR="00FD5388" w:rsidRPr="002F17B5" w:rsidRDefault="00FD5388" w:rsidP="00577F8C">
            <w:pPr>
              <w:autoSpaceDE/>
              <w:autoSpaceDN/>
              <w:adjustRightInd/>
              <w:spacing w:before="0" w:after="0"/>
              <w:jc w:val="left"/>
              <w:rPr>
                <w:rFonts w:eastAsia="Times New Roman" w:cs="Arial"/>
                <w:sz w:val="2"/>
                <w:lang w:eastAsia="en-GB"/>
              </w:rPr>
            </w:pPr>
          </w:p>
          <w:p w:rsidR="00FD5388" w:rsidRPr="002F17B5" w:rsidRDefault="00FD5388" w:rsidP="00577F8C">
            <w:pPr>
              <w:autoSpaceDE/>
              <w:autoSpaceDN/>
              <w:adjustRightInd/>
              <w:spacing w:before="0" w:after="0"/>
              <w:jc w:val="left"/>
              <w:rPr>
                <w:rFonts w:eastAsia="Times New Roman" w:cs="Arial"/>
                <w:lang w:eastAsia="en-GB"/>
              </w:rPr>
            </w:pPr>
            <w:r w:rsidRPr="002F17B5">
              <w:rPr>
                <w:rFonts w:eastAsia="Times New Roman" w:cs="Arial"/>
                <w:lang w:eastAsia="en-GB"/>
              </w:rPr>
              <w:t>0 up to 10 years</w:t>
            </w:r>
          </w:p>
          <w:p w:rsidR="00FD5388" w:rsidRPr="002F17B5" w:rsidRDefault="00FD5388" w:rsidP="00577F8C">
            <w:pPr>
              <w:autoSpaceDE/>
              <w:autoSpaceDN/>
              <w:adjustRightInd/>
              <w:spacing w:before="0" w:after="0"/>
              <w:jc w:val="left"/>
              <w:rPr>
                <w:rFonts w:eastAsia="Times New Roman" w:cs="Arial"/>
                <w:sz w:val="2"/>
                <w:lang w:eastAsia="en-GB"/>
              </w:rPr>
            </w:pPr>
          </w:p>
        </w:tc>
        <w:tc>
          <w:tcPr>
            <w:tcW w:w="2268" w:type="dxa"/>
            <w:shd w:val="clear" w:color="auto" w:fill="FFFFFF" w:themeFill="background1"/>
            <w:noWrap/>
            <w:vAlign w:val="bottom"/>
            <w:hideMark/>
          </w:tcPr>
          <w:p w:rsidR="00FD5388" w:rsidRPr="002F17B5" w:rsidRDefault="00FD5388" w:rsidP="00577F8C">
            <w:pPr>
              <w:autoSpaceDE/>
              <w:autoSpaceDN/>
              <w:adjustRightInd/>
              <w:spacing w:before="0" w:after="0"/>
              <w:jc w:val="right"/>
              <w:rPr>
                <w:rFonts w:eastAsia="Times New Roman" w:cs="Arial"/>
                <w:lang w:eastAsia="en-GB"/>
              </w:rPr>
            </w:pPr>
            <w:r w:rsidRPr="002F17B5">
              <w:rPr>
                <w:rFonts w:eastAsia="Times New Roman" w:cs="Arial"/>
                <w:lang w:eastAsia="en-GB"/>
              </w:rPr>
              <w:t>specific asset life used</w:t>
            </w:r>
          </w:p>
          <w:p w:rsidR="00FD5388" w:rsidRPr="002F17B5" w:rsidRDefault="00FD5388" w:rsidP="00577F8C">
            <w:pPr>
              <w:autoSpaceDE/>
              <w:autoSpaceDN/>
              <w:adjustRightInd/>
              <w:spacing w:before="0" w:after="0"/>
              <w:jc w:val="right"/>
              <w:rPr>
                <w:rFonts w:eastAsia="Times New Roman" w:cs="Arial"/>
                <w:sz w:val="2"/>
                <w:lang w:eastAsia="en-GB"/>
              </w:rPr>
            </w:pPr>
          </w:p>
        </w:tc>
      </w:tr>
      <w:tr w:rsidR="00FD5388" w:rsidRPr="002F17B5" w:rsidTr="00577F8C">
        <w:trPr>
          <w:trHeight w:val="378"/>
        </w:trPr>
        <w:tc>
          <w:tcPr>
            <w:tcW w:w="2268" w:type="dxa"/>
            <w:shd w:val="clear" w:color="auto" w:fill="FFFFFF" w:themeFill="background1"/>
            <w:noWrap/>
            <w:vAlign w:val="bottom"/>
            <w:hideMark/>
          </w:tcPr>
          <w:p w:rsidR="00FD5388" w:rsidRPr="002F17B5" w:rsidRDefault="00FD5388" w:rsidP="00577F8C">
            <w:pPr>
              <w:autoSpaceDE/>
              <w:autoSpaceDN/>
              <w:adjustRightInd/>
              <w:spacing w:before="0" w:after="0"/>
              <w:jc w:val="left"/>
              <w:rPr>
                <w:rFonts w:eastAsia="Times New Roman" w:cs="Arial"/>
                <w:lang w:eastAsia="en-GB"/>
              </w:rPr>
            </w:pPr>
            <w:r w:rsidRPr="002F17B5">
              <w:rPr>
                <w:rFonts w:eastAsia="Times New Roman" w:cs="Arial"/>
                <w:lang w:eastAsia="en-GB"/>
              </w:rPr>
              <w:t>10-20 years</w:t>
            </w:r>
          </w:p>
          <w:p w:rsidR="00FD5388" w:rsidRPr="002F17B5" w:rsidRDefault="00FD5388" w:rsidP="00577F8C">
            <w:pPr>
              <w:autoSpaceDE/>
              <w:autoSpaceDN/>
              <w:adjustRightInd/>
              <w:spacing w:before="0" w:after="0"/>
              <w:jc w:val="left"/>
              <w:rPr>
                <w:rFonts w:eastAsia="Times New Roman" w:cs="Arial"/>
                <w:sz w:val="2"/>
                <w:lang w:eastAsia="en-GB"/>
              </w:rPr>
            </w:pPr>
          </w:p>
        </w:tc>
        <w:tc>
          <w:tcPr>
            <w:tcW w:w="2268" w:type="dxa"/>
            <w:shd w:val="clear" w:color="auto" w:fill="FFFFFF" w:themeFill="background1"/>
            <w:noWrap/>
            <w:vAlign w:val="bottom"/>
            <w:hideMark/>
          </w:tcPr>
          <w:p w:rsidR="001D73DF" w:rsidRPr="002F17B5" w:rsidRDefault="00FD5388" w:rsidP="00577F8C">
            <w:pPr>
              <w:autoSpaceDE/>
              <w:autoSpaceDN/>
              <w:adjustRightInd/>
              <w:spacing w:before="0" w:after="0"/>
              <w:jc w:val="right"/>
              <w:rPr>
                <w:rFonts w:eastAsia="Times New Roman" w:cs="Arial"/>
                <w:lang w:eastAsia="en-GB"/>
              </w:rPr>
            </w:pPr>
            <w:r w:rsidRPr="002F17B5">
              <w:rPr>
                <w:rFonts w:eastAsia="Times New Roman" w:cs="Arial"/>
                <w:lang w:eastAsia="en-GB"/>
              </w:rPr>
              <w:t>10</w:t>
            </w:r>
          </w:p>
          <w:p w:rsidR="001D73DF" w:rsidRPr="002F17B5" w:rsidRDefault="001D73DF" w:rsidP="00577F8C">
            <w:pPr>
              <w:autoSpaceDE/>
              <w:autoSpaceDN/>
              <w:adjustRightInd/>
              <w:spacing w:before="0" w:after="0"/>
              <w:jc w:val="right"/>
              <w:rPr>
                <w:rFonts w:eastAsia="Times New Roman" w:cs="Arial"/>
                <w:sz w:val="2"/>
                <w:lang w:eastAsia="en-GB"/>
              </w:rPr>
            </w:pPr>
          </w:p>
        </w:tc>
      </w:tr>
      <w:tr w:rsidR="00FD5388" w:rsidRPr="002F17B5" w:rsidTr="000739A6">
        <w:trPr>
          <w:trHeight w:val="300"/>
        </w:trPr>
        <w:tc>
          <w:tcPr>
            <w:tcW w:w="2268" w:type="dxa"/>
            <w:shd w:val="clear" w:color="auto" w:fill="FFFFFF" w:themeFill="background1"/>
            <w:noWrap/>
            <w:vAlign w:val="bottom"/>
            <w:hideMark/>
          </w:tcPr>
          <w:p w:rsidR="00FD5388" w:rsidRPr="002F17B5" w:rsidRDefault="00FD5388" w:rsidP="00577F8C">
            <w:pPr>
              <w:autoSpaceDE/>
              <w:autoSpaceDN/>
              <w:adjustRightInd/>
              <w:spacing w:before="0" w:after="0"/>
              <w:jc w:val="left"/>
              <w:rPr>
                <w:rFonts w:eastAsia="Times New Roman" w:cs="Arial"/>
                <w:lang w:eastAsia="en-GB"/>
              </w:rPr>
            </w:pPr>
            <w:r w:rsidRPr="002F17B5">
              <w:rPr>
                <w:rFonts w:eastAsia="Times New Roman" w:cs="Arial"/>
                <w:lang w:eastAsia="en-GB"/>
              </w:rPr>
              <w:t>21-30 years</w:t>
            </w:r>
          </w:p>
          <w:p w:rsidR="00FD5388" w:rsidRPr="002F17B5" w:rsidRDefault="00FD5388" w:rsidP="00577F8C">
            <w:pPr>
              <w:autoSpaceDE/>
              <w:autoSpaceDN/>
              <w:adjustRightInd/>
              <w:spacing w:before="0" w:after="0"/>
              <w:jc w:val="left"/>
              <w:rPr>
                <w:rFonts w:eastAsia="Times New Roman" w:cs="Arial"/>
                <w:sz w:val="2"/>
                <w:lang w:eastAsia="en-GB"/>
              </w:rPr>
            </w:pPr>
          </w:p>
        </w:tc>
        <w:tc>
          <w:tcPr>
            <w:tcW w:w="2268" w:type="dxa"/>
            <w:shd w:val="clear" w:color="auto" w:fill="FFFFFF" w:themeFill="background1"/>
            <w:noWrap/>
            <w:vAlign w:val="bottom"/>
            <w:hideMark/>
          </w:tcPr>
          <w:p w:rsidR="001D73DF" w:rsidRPr="002F17B5" w:rsidRDefault="00FD5388" w:rsidP="00577F8C">
            <w:pPr>
              <w:autoSpaceDE/>
              <w:autoSpaceDN/>
              <w:adjustRightInd/>
              <w:spacing w:before="0" w:after="0"/>
              <w:jc w:val="right"/>
              <w:rPr>
                <w:rFonts w:eastAsia="Times New Roman" w:cs="Arial"/>
                <w:sz w:val="22"/>
                <w:lang w:eastAsia="en-GB"/>
              </w:rPr>
            </w:pPr>
            <w:r w:rsidRPr="002F17B5">
              <w:rPr>
                <w:rFonts w:eastAsia="Times New Roman" w:cs="Arial"/>
                <w:lang w:eastAsia="en-GB"/>
              </w:rPr>
              <w:t>20</w:t>
            </w:r>
          </w:p>
          <w:p w:rsidR="001D73DF" w:rsidRPr="002F17B5" w:rsidRDefault="001D73DF" w:rsidP="00577F8C">
            <w:pPr>
              <w:autoSpaceDE/>
              <w:autoSpaceDN/>
              <w:adjustRightInd/>
              <w:spacing w:before="0" w:after="0"/>
              <w:jc w:val="right"/>
              <w:rPr>
                <w:rFonts w:eastAsia="Times New Roman" w:cs="Arial"/>
                <w:sz w:val="2"/>
                <w:lang w:eastAsia="en-GB"/>
              </w:rPr>
            </w:pPr>
          </w:p>
        </w:tc>
      </w:tr>
      <w:tr w:rsidR="00FD5388" w:rsidRPr="002F17B5" w:rsidTr="000739A6">
        <w:trPr>
          <w:trHeight w:val="300"/>
        </w:trPr>
        <w:tc>
          <w:tcPr>
            <w:tcW w:w="2268" w:type="dxa"/>
            <w:shd w:val="clear" w:color="auto" w:fill="FFFFFF" w:themeFill="background1"/>
            <w:noWrap/>
            <w:vAlign w:val="bottom"/>
            <w:hideMark/>
          </w:tcPr>
          <w:p w:rsidR="00FD5388" w:rsidRPr="002F17B5" w:rsidRDefault="00FD5388" w:rsidP="00577F8C">
            <w:pPr>
              <w:autoSpaceDE/>
              <w:autoSpaceDN/>
              <w:adjustRightInd/>
              <w:spacing w:before="0" w:after="0"/>
              <w:jc w:val="left"/>
              <w:rPr>
                <w:rFonts w:eastAsia="Times New Roman" w:cs="Arial"/>
                <w:lang w:eastAsia="en-GB"/>
              </w:rPr>
            </w:pPr>
            <w:r w:rsidRPr="002F17B5">
              <w:rPr>
                <w:rFonts w:eastAsia="Times New Roman" w:cs="Arial"/>
                <w:lang w:eastAsia="en-GB"/>
              </w:rPr>
              <w:t>30-40 years</w:t>
            </w:r>
          </w:p>
          <w:p w:rsidR="00FD5388" w:rsidRPr="002F17B5" w:rsidRDefault="00FD5388" w:rsidP="00577F8C">
            <w:pPr>
              <w:autoSpaceDE/>
              <w:autoSpaceDN/>
              <w:adjustRightInd/>
              <w:spacing w:before="0" w:after="0"/>
              <w:jc w:val="left"/>
              <w:rPr>
                <w:rFonts w:eastAsia="Times New Roman" w:cs="Arial"/>
                <w:sz w:val="2"/>
                <w:lang w:eastAsia="en-GB"/>
              </w:rPr>
            </w:pPr>
          </w:p>
        </w:tc>
        <w:tc>
          <w:tcPr>
            <w:tcW w:w="2268" w:type="dxa"/>
            <w:shd w:val="clear" w:color="auto" w:fill="FFFFFF" w:themeFill="background1"/>
            <w:noWrap/>
            <w:vAlign w:val="bottom"/>
            <w:hideMark/>
          </w:tcPr>
          <w:p w:rsidR="001D73DF" w:rsidRPr="002F17B5" w:rsidRDefault="00FD5388" w:rsidP="00577F8C">
            <w:pPr>
              <w:autoSpaceDE/>
              <w:autoSpaceDN/>
              <w:adjustRightInd/>
              <w:spacing w:before="0" w:after="0"/>
              <w:jc w:val="right"/>
              <w:rPr>
                <w:rFonts w:eastAsia="Times New Roman" w:cs="Arial"/>
                <w:lang w:eastAsia="en-GB"/>
              </w:rPr>
            </w:pPr>
            <w:r w:rsidRPr="002F17B5">
              <w:rPr>
                <w:rFonts w:eastAsia="Times New Roman" w:cs="Arial"/>
                <w:lang w:eastAsia="en-GB"/>
              </w:rPr>
              <w:t>30</w:t>
            </w:r>
          </w:p>
          <w:p w:rsidR="001D73DF" w:rsidRPr="002F17B5" w:rsidRDefault="001D73DF" w:rsidP="00577F8C">
            <w:pPr>
              <w:autoSpaceDE/>
              <w:autoSpaceDN/>
              <w:adjustRightInd/>
              <w:spacing w:before="0" w:after="0"/>
              <w:jc w:val="right"/>
              <w:rPr>
                <w:rFonts w:eastAsia="Times New Roman" w:cs="Arial"/>
                <w:sz w:val="2"/>
                <w:lang w:eastAsia="en-GB"/>
              </w:rPr>
            </w:pPr>
          </w:p>
        </w:tc>
      </w:tr>
      <w:tr w:rsidR="00FD5388" w:rsidRPr="002F17B5" w:rsidTr="000739A6">
        <w:trPr>
          <w:trHeight w:val="300"/>
        </w:trPr>
        <w:tc>
          <w:tcPr>
            <w:tcW w:w="2268" w:type="dxa"/>
            <w:shd w:val="clear" w:color="auto" w:fill="FFFFFF" w:themeFill="background1"/>
            <w:noWrap/>
            <w:vAlign w:val="bottom"/>
            <w:hideMark/>
          </w:tcPr>
          <w:p w:rsidR="00FD5388" w:rsidRPr="002F17B5" w:rsidRDefault="00FD5388" w:rsidP="00577F8C">
            <w:pPr>
              <w:autoSpaceDE/>
              <w:autoSpaceDN/>
              <w:adjustRightInd/>
              <w:spacing w:before="0" w:after="0"/>
              <w:jc w:val="left"/>
              <w:rPr>
                <w:rFonts w:eastAsia="Times New Roman" w:cs="Arial"/>
                <w:lang w:eastAsia="en-GB"/>
              </w:rPr>
            </w:pPr>
            <w:r w:rsidRPr="002F17B5">
              <w:rPr>
                <w:rFonts w:eastAsia="Times New Roman" w:cs="Arial"/>
                <w:lang w:eastAsia="en-GB"/>
              </w:rPr>
              <w:t>40-50 years</w:t>
            </w:r>
          </w:p>
          <w:p w:rsidR="00FD5388" w:rsidRPr="002F17B5" w:rsidRDefault="00FD5388" w:rsidP="00577F8C">
            <w:pPr>
              <w:autoSpaceDE/>
              <w:autoSpaceDN/>
              <w:adjustRightInd/>
              <w:spacing w:before="0" w:after="0"/>
              <w:jc w:val="left"/>
              <w:rPr>
                <w:rFonts w:eastAsia="Times New Roman" w:cs="Arial"/>
                <w:sz w:val="2"/>
                <w:lang w:eastAsia="en-GB"/>
              </w:rPr>
            </w:pPr>
          </w:p>
        </w:tc>
        <w:tc>
          <w:tcPr>
            <w:tcW w:w="2268" w:type="dxa"/>
            <w:shd w:val="clear" w:color="auto" w:fill="FFFFFF" w:themeFill="background1"/>
            <w:noWrap/>
            <w:vAlign w:val="bottom"/>
            <w:hideMark/>
          </w:tcPr>
          <w:p w:rsidR="001D73DF" w:rsidRPr="002F17B5" w:rsidRDefault="00FD5388" w:rsidP="00577F8C">
            <w:pPr>
              <w:autoSpaceDE/>
              <w:autoSpaceDN/>
              <w:adjustRightInd/>
              <w:spacing w:before="0" w:after="0"/>
              <w:jc w:val="right"/>
              <w:rPr>
                <w:rFonts w:eastAsia="Times New Roman" w:cs="Arial"/>
                <w:lang w:eastAsia="en-GB"/>
              </w:rPr>
            </w:pPr>
            <w:r w:rsidRPr="002F17B5">
              <w:rPr>
                <w:rFonts w:eastAsia="Times New Roman" w:cs="Arial"/>
                <w:lang w:eastAsia="en-GB"/>
              </w:rPr>
              <w:t>40</w:t>
            </w:r>
          </w:p>
          <w:p w:rsidR="001D73DF" w:rsidRPr="002F17B5" w:rsidRDefault="001D73DF" w:rsidP="00577F8C">
            <w:pPr>
              <w:autoSpaceDE/>
              <w:autoSpaceDN/>
              <w:adjustRightInd/>
              <w:spacing w:before="0" w:after="0"/>
              <w:jc w:val="right"/>
              <w:rPr>
                <w:rFonts w:eastAsia="Times New Roman" w:cs="Arial"/>
                <w:sz w:val="2"/>
                <w:lang w:eastAsia="en-GB"/>
              </w:rPr>
            </w:pPr>
          </w:p>
        </w:tc>
      </w:tr>
      <w:tr w:rsidR="00FD5388" w:rsidRPr="002F17B5" w:rsidTr="000739A6">
        <w:trPr>
          <w:trHeight w:val="300"/>
        </w:trPr>
        <w:tc>
          <w:tcPr>
            <w:tcW w:w="2268" w:type="dxa"/>
            <w:shd w:val="clear" w:color="auto" w:fill="FFFFFF" w:themeFill="background1"/>
            <w:noWrap/>
            <w:vAlign w:val="bottom"/>
            <w:hideMark/>
          </w:tcPr>
          <w:p w:rsidR="00FD5388" w:rsidRPr="002F17B5" w:rsidRDefault="00FD5388" w:rsidP="00577F8C">
            <w:pPr>
              <w:autoSpaceDE/>
              <w:autoSpaceDN/>
              <w:adjustRightInd/>
              <w:spacing w:before="0" w:after="0"/>
              <w:jc w:val="left"/>
              <w:rPr>
                <w:rFonts w:eastAsia="Times New Roman" w:cs="Arial"/>
                <w:lang w:eastAsia="en-GB"/>
              </w:rPr>
            </w:pPr>
            <w:r w:rsidRPr="002F17B5">
              <w:rPr>
                <w:rFonts w:eastAsia="Times New Roman" w:cs="Arial"/>
                <w:lang w:eastAsia="en-GB"/>
              </w:rPr>
              <w:t>Over 50 years</w:t>
            </w:r>
          </w:p>
          <w:p w:rsidR="00FD5388" w:rsidRPr="002F17B5" w:rsidRDefault="00FD5388" w:rsidP="00577F8C">
            <w:pPr>
              <w:autoSpaceDE/>
              <w:autoSpaceDN/>
              <w:adjustRightInd/>
              <w:spacing w:before="0" w:after="0"/>
              <w:jc w:val="left"/>
              <w:rPr>
                <w:rFonts w:eastAsia="Times New Roman" w:cs="Arial"/>
                <w:lang w:eastAsia="en-GB"/>
              </w:rPr>
            </w:pPr>
          </w:p>
          <w:p w:rsidR="00FD5388" w:rsidRPr="002F17B5" w:rsidRDefault="00FD5388" w:rsidP="00577F8C">
            <w:pPr>
              <w:autoSpaceDE/>
              <w:autoSpaceDN/>
              <w:adjustRightInd/>
              <w:spacing w:before="0" w:after="0"/>
              <w:jc w:val="left"/>
              <w:rPr>
                <w:rFonts w:eastAsia="Times New Roman" w:cs="Arial"/>
                <w:sz w:val="12"/>
                <w:lang w:eastAsia="en-GB"/>
              </w:rPr>
            </w:pPr>
          </w:p>
        </w:tc>
        <w:tc>
          <w:tcPr>
            <w:tcW w:w="2268" w:type="dxa"/>
            <w:shd w:val="clear" w:color="auto" w:fill="FFFFFF" w:themeFill="background1"/>
            <w:noWrap/>
            <w:vAlign w:val="bottom"/>
            <w:hideMark/>
          </w:tcPr>
          <w:p w:rsidR="001D73DF" w:rsidRPr="002F17B5" w:rsidRDefault="00FD5388" w:rsidP="00577F8C">
            <w:pPr>
              <w:autoSpaceDE/>
              <w:autoSpaceDN/>
              <w:adjustRightInd/>
              <w:spacing w:before="0" w:after="0"/>
              <w:jc w:val="right"/>
              <w:rPr>
                <w:rFonts w:eastAsia="Times New Roman" w:cs="Arial"/>
                <w:lang w:eastAsia="en-GB"/>
              </w:rPr>
            </w:pPr>
            <w:r w:rsidRPr="002F17B5">
              <w:rPr>
                <w:rFonts w:eastAsia="Times New Roman" w:cs="Arial"/>
                <w:lang w:eastAsia="en-GB"/>
              </w:rPr>
              <w:t>50</w:t>
            </w:r>
          </w:p>
          <w:p w:rsidR="001D73DF" w:rsidRPr="002F17B5" w:rsidRDefault="001D73DF" w:rsidP="00577F8C">
            <w:pPr>
              <w:autoSpaceDE/>
              <w:autoSpaceDN/>
              <w:adjustRightInd/>
              <w:spacing w:before="0" w:after="0"/>
              <w:jc w:val="right"/>
              <w:rPr>
                <w:rFonts w:eastAsia="Times New Roman" w:cs="Arial"/>
                <w:lang w:eastAsia="en-GB"/>
              </w:rPr>
            </w:pPr>
          </w:p>
          <w:p w:rsidR="001D73DF" w:rsidRPr="002F17B5" w:rsidRDefault="001D73DF" w:rsidP="00577F8C">
            <w:pPr>
              <w:autoSpaceDE/>
              <w:autoSpaceDN/>
              <w:adjustRightInd/>
              <w:spacing w:before="0" w:after="0"/>
              <w:jc w:val="right"/>
              <w:rPr>
                <w:rFonts w:eastAsia="Times New Roman" w:cs="Arial"/>
                <w:sz w:val="12"/>
                <w:lang w:eastAsia="en-GB"/>
              </w:rPr>
            </w:pPr>
          </w:p>
        </w:tc>
      </w:tr>
    </w:tbl>
    <w:p w:rsidR="00FD5388" w:rsidRPr="002F17B5" w:rsidRDefault="00FD5388" w:rsidP="00FD5388">
      <w:r w:rsidRPr="002F17B5">
        <w:t>The following useful lives and depreciation rates have been used in the calculation of depreciation:</w:t>
      </w:r>
    </w:p>
    <w:p w:rsidR="00FD5388" w:rsidRPr="002F17B5" w:rsidRDefault="00FD5388" w:rsidP="00D55D63">
      <w:pPr>
        <w:numPr>
          <w:ilvl w:val="0"/>
          <w:numId w:val="56"/>
        </w:numPr>
        <w:autoSpaceDE/>
        <w:autoSpaceDN/>
        <w:adjustRightInd/>
        <w:spacing w:before="0" w:after="40"/>
        <w:ind w:left="714" w:hanging="357"/>
      </w:pPr>
      <w:r w:rsidRPr="002F17B5">
        <w:t>Land is not depreciated</w:t>
      </w:r>
    </w:p>
    <w:p w:rsidR="00FD5388" w:rsidRPr="002F17B5" w:rsidRDefault="00FD5388" w:rsidP="00D55D63">
      <w:pPr>
        <w:numPr>
          <w:ilvl w:val="0"/>
          <w:numId w:val="56"/>
        </w:numPr>
        <w:autoSpaceDE/>
        <w:autoSpaceDN/>
        <w:adjustRightInd/>
        <w:spacing w:before="0" w:after="40"/>
        <w:ind w:left="714" w:hanging="357"/>
      </w:pPr>
      <w:r w:rsidRPr="002F17B5">
        <w:t>Vehicles, Plant, Furniture and Equipment 10 years</w:t>
      </w:r>
    </w:p>
    <w:p w:rsidR="00FD5388" w:rsidRPr="002F17B5" w:rsidRDefault="00FD5388" w:rsidP="00D55D63">
      <w:pPr>
        <w:numPr>
          <w:ilvl w:val="0"/>
          <w:numId w:val="56"/>
        </w:numPr>
        <w:autoSpaceDE/>
        <w:autoSpaceDN/>
        <w:adjustRightInd/>
        <w:spacing w:before="0" w:after="40"/>
        <w:ind w:left="714" w:hanging="357"/>
      </w:pPr>
      <w:r w:rsidRPr="002F17B5">
        <w:t>Infrastructure generally 50 years with exceptions as based on advice from surveyors</w:t>
      </w:r>
    </w:p>
    <w:p w:rsidR="00FD5388" w:rsidRPr="002F17B5" w:rsidRDefault="00FD5388" w:rsidP="00FD5388">
      <w:pPr>
        <w:autoSpaceDE/>
        <w:autoSpaceDN/>
        <w:adjustRightInd/>
        <w:spacing w:after="20"/>
        <w:jc w:val="right"/>
        <w:rPr>
          <w:b/>
          <w:sz w:val="16"/>
        </w:rPr>
      </w:pPr>
    </w:p>
    <w:p w:rsidR="00FD5388" w:rsidRPr="002F17B5" w:rsidRDefault="00FD5388" w:rsidP="00FD5388">
      <w:pPr>
        <w:autoSpaceDE/>
        <w:autoSpaceDN/>
        <w:adjustRightInd/>
        <w:spacing w:after="20"/>
        <w:jc w:val="right"/>
        <w:rPr>
          <w:b/>
        </w:rPr>
      </w:pPr>
    </w:p>
    <w:p w:rsidR="00FD5388" w:rsidRPr="002F17B5" w:rsidRDefault="00FD5388" w:rsidP="00FD5388">
      <w:pPr>
        <w:tabs>
          <w:tab w:val="left" w:pos="1480"/>
        </w:tabs>
        <w:rPr>
          <w:b/>
        </w:rPr>
      </w:pPr>
      <w:r w:rsidRPr="002F17B5">
        <w:rPr>
          <w:b/>
        </w:rPr>
        <w:t>Fixed Asset Valuation</w:t>
      </w:r>
    </w:p>
    <w:p w:rsidR="00FD5388" w:rsidRPr="002F17B5" w:rsidRDefault="00FD5388" w:rsidP="00FD5388">
      <w:pPr>
        <w:spacing w:after="0"/>
      </w:pPr>
      <w:r w:rsidRPr="002F17B5">
        <w:t xml:space="preserve">The property valuations are undertaken by appropriately qualified staff within the property group of the county council. </w:t>
      </w:r>
    </w:p>
    <w:p w:rsidR="00FD5388" w:rsidRPr="002F17B5" w:rsidRDefault="00FD5388" w:rsidP="00FD5388">
      <w:pPr>
        <w:spacing w:after="0"/>
        <w:ind w:left="720"/>
        <w:rPr>
          <w:sz w:val="28"/>
        </w:rPr>
      </w:pPr>
    </w:p>
    <w:p w:rsidR="00FD5388" w:rsidRPr="002F17B5" w:rsidRDefault="00FD5388" w:rsidP="00FD5388">
      <w:pPr>
        <w:spacing w:after="0"/>
      </w:pPr>
      <w:r w:rsidRPr="002F17B5">
        <w:t>All valuations have been undertaken in accordance with the practice statements, guidance notes and valuation information papers of the Royal Institution of Chartered Surveyors’ (RICS) Valuation Standards (The Red Book) and in accordance with CIPFA regulations and current</w:t>
      </w:r>
      <w:r w:rsidR="00B13246">
        <w:t xml:space="preserve"> </w:t>
      </w:r>
      <w:r w:rsidRPr="002F17B5">
        <w:t>Code of Practice on Local Authority Accounting.</w:t>
      </w:r>
    </w:p>
    <w:p w:rsidR="00047CA9" w:rsidRPr="002F17B5" w:rsidRDefault="00FD5388">
      <w:pPr>
        <w:spacing w:after="0"/>
      </w:pPr>
      <w:r w:rsidRPr="002F17B5">
        <w:t xml:space="preserve"> </w:t>
      </w:r>
    </w:p>
    <w:p w:rsidR="00B70B4B" w:rsidRPr="002F17B5" w:rsidRDefault="00FD5388">
      <w:pPr>
        <w:spacing w:after="0"/>
        <w:rPr>
          <w:rFonts w:cs="Arial"/>
        </w:rPr>
      </w:pPr>
      <w:r w:rsidRPr="002F17B5">
        <w:rPr>
          <w:rFonts w:cs="Arial"/>
        </w:rPr>
        <w:t xml:space="preserve">Properties regarded by the council as operational are to be valued on the basis of existing use value  or, where this cannot be assessed because there is no market for the subject asset, the depreciated replacement cost. </w:t>
      </w:r>
    </w:p>
    <w:p w:rsidR="00FD5388" w:rsidRPr="002F17B5" w:rsidRDefault="00FD5388" w:rsidP="00FD5388">
      <w:pPr>
        <w:spacing w:after="0"/>
      </w:pPr>
      <w:r w:rsidRPr="002F17B5">
        <w:t>Properties regarded by the council as non operational are to be valued on the basis of market value.</w:t>
      </w:r>
    </w:p>
    <w:p w:rsidR="00577F8C" w:rsidRPr="002F17B5" w:rsidRDefault="00577F8C" w:rsidP="00FD5388">
      <w:pPr>
        <w:spacing w:after="0"/>
      </w:pPr>
    </w:p>
    <w:p w:rsidR="00FD5388" w:rsidRPr="002F17B5" w:rsidRDefault="00FD5388" w:rsidP="00FD5388">
      <w:pPr>
        <w:spacing w:after="0"/>
      </w:pPr>
      <w:r w:rsidRPr="002F17B5">
        <w:t xml:space="preserve">No property valuation is to be more than five years old and at least 20% of properties are revalued each year. In </w:t>
      </w:r>
      <w:r w:rsidR="004E4E2C" w:rsidRPr="002F17B5">
        <w:t>2012/13</w:t>
      </w:r>
      <w:r w:rsidRPr="002F17B5">
        <w:t xml:space="preserve"> 365 properties were revalued which equates to approximately 22% of all the properties held. </w:t>
      </w:r>
    </w:p>
    <w:p w:rsidR="00B54507" w:rsidRPr="002F17B5" w:rsidRDefault="00B54507" w:rsidP="00FD5388">
      <w:pPr>
        <w:spacing w:after="0"/>
      </w:pPr>
    </w:p>
    <w:p w:rsidR="00FD5388" w:rsidRDefault="00FD5388" w:rsidP="00FD5388">
      <w:pPr>
        <w:spacing w:after="0"/>
      </w:pPr>
      <w:r w:rsidRPr="002F17B5">
        <w:t>The following statement shows the progress of the council's rolling programme for the revaluation of fixed assets.</w:t>
      </w:r>
      <w:r w:rsidRPr="002F17B5">
        <w:rPr>
          <w:color w:val="000080"/>
          <w:sz w:val="20"/>
          <w:szCs w:val="20"/>
        </w:rPr>
        <w:t xml:space="preserve"> </w:t>
      </w:r>
      <w:r w:rsidRPr="002F17B5">
        <w:t>Valuations are undertaken internally by Lancashire County Council’s Property Group. All valuations have been undertaken by qualified Chartered Surveyors who are members of the Royal Institution of Chartered Surveyors. The basis for valuation is set out in the statement of accounting policies.</w:t>
      </w:r>
    </w:p>
    <w:p w:rsidR="00B13246" w:rsidRPr="002F17B5" w:rsidRDefault="00B13246" w:rsidP="00FD5388">
      <w:pPr>
        <w:spacing w:after="0"/>
      </w:pPr>
    </w:p>
    <w:tbl>
      <w:tblPr>
        <w:tblW w:w="0" w:type="auto"/>
        <w:tblLayout w:type="fixed"/>
        <w:tblLook w:val="01E0" w:firstRow="1" w:lastRow="1" w:firstColumn="1" w:lastColumn="1" w:noHBand="0" w:noVBand="0"/>
      </w:tblPr>
      <w:tblGrid>
        <w:gridCol w:w="3510"/>
        <w:gridCol w:w="2977"/>
      </w:tblGrid>
      <w:tr w:rsidR="00FD5388" w:rsidRPr="002F17B5" w:rsidTr="00AD5D5C">
        <w:trPr>
          <w:trHeight w:val="296"/>
        </w:trPr>
        <w:tc>
          <w:tcPr>
            <w:tcW w:w="3510" w:type="dxa"/>
            <w:shd w:val="clear" w:color="auto" w:fill="FFFFFF" w:themeFill="background1"/>
          </w:tcPr>
          <w:p w:rsidR="00FD5388" w:rsidRPr="002F17B5" w:rsidRDefault="00FD5388" w:rsidP="00B54507">
            <w:pPr>
              <w:tabs>
                <w:tab w:val="left" w:pos="342"/>
              </w:tabs>
              <w:spacing w:after="20"/>
              <w:ind w:left="170"/>
            </w:pPr>
          </w:p>
        </w:tc>
        <w:tc>
          <w:tcPr>
            <w:tcW w:w="2977" w:type="dxa"/>
            <w:shd w:val="clear" w:color="auto" w:fill="FFFFFF" w:themeFill="background1"/>
          </w:tcPr>
          <w:p w:rsidR="00FD5388" w:rsidRPr="002F17B5" w:rsidRDefault="00AD5D5C" w:rsidP="00B54507">
            <w:pPr>
              <w:tabs>
                <w:tab w:val="left" w:pos="342"/>
              </w:tabs>
              <w:spacing w:after="20"/>
              <w:ind w:left="170" w:right="175"/>
              <w:jc w:val="right"/>
              <w:rPr>
                <w:b/>
              </w:rPr>
            </w:pPr>
            <w:r>
              <w:rPr>
                <w:b/>
              </w:rPr>
              <w:t xml:space="preserve">Land and </w:t>
            </w:r>
            <w:r w:rsidR="00FD5388" w:rsidRPr="002F17B5">
              <w:rPr>
                <w:b/>
              </w:rPr>
              <w:t>Buildings</w:t>
            </w:r>
          </w:p>
        </w:tc>
      </w:tr>
      <w:tr w:rsidR="00FD5388" w:rsidRPr="002F17B5" w:rsidTr="00AD5D5C">
        <w:trPr>
          <w:trHeight w:val="339"/>
        </w:trPr>
        <w:tc>
          <w:tcPr>
            <w:tcW w:w="3510" w:type="dxa"/>
            <w:shd w:val="clear" w:color="auto" w:fill="FFFFFF" w:themeFill="background1"/>
          </w:tcPr>
          <w:p w:rsidR="00FD5388" w:rsidRPr="002F17B5" w:rsidRDefault="00FD5388" w:rsidP="00B54507">
            <w:pPr>
              <w:tabs>
                <w:tab w:val="left" w:pos="342"/>
              </w:tabs>
              <w:spacing w:after="20"/>
              <w:ind w:left="170"/>
            </w:pPr>
          </w:p>
        </w:tc>
        <w:tc>
          <w:tcPr>
            <w:tcW w:w="2977" w:type="dxa"/>
            <w:shd w:val="clear" w:color="auto" w:fill="FFFFFF" w:themeFill="background1"/>
          </w:tcPr>
          <w:p w:rsidR="00FD5388" w:rsidRPr="002F17B5" w:rsidRDefault="00B54507" w:rsidP="00B54507">
            <w:pPr>
              <w:tabs>
                <w:tab w:val="left" w:pos="342"/>
                <w:tab w:val="left" w:pos="1451"/>
              </w:tabs>
              <w:spacing w:after="20"/>
              <w:ind w:left="170" w:right="601"/>
              <w:jc w:val="right"/>
              <w:rPr>
                <w:b/>
              </w:rPr>
            </w:pPr>
            <w:r w:rsidRPr="002F17B5">
              <w:rPr>
                <w:b/>
              </w:rPr>
              <w:t>£m</w:t>
            </w:r>
          </w:p>
        </w:tc>
      </w:tr>
      <w:tr w:rsidR="00FD5388" w:rsidRPr="002F17B5" w:rsidTr="00AD5D5C">
        <w:trPr>
          <w:trHeight w:val="335"/>
        </w:trPr>
        <w:tc>
          <w:tcPr>
            <w:tcW w:w="3510" w:type="dxa"/>
            <w:shd w:val="clear" w:color="auto" w:fill="FFFFFF" w:themeFill="background1"/>
          </w:tcPr>
          <w:p w:rsidR="00FD5388" w:rsidRPr="002F17B5" w:rsidRDefault="00FD5388" w:rsidP="00B54507">
            <w:pPr>
              <w:tabs>
                <w:tab w:val="left" w:pos="342"/>
              </w:tabs>
              <w:spacing w:after="20"/>
              <w:ind w:left="170"/>
            </w:pPr>
            <w:r w:rsidRPr="002F17B5">
              <w:t>Valued at historical cost</w:t>
            </w:r>
          </w:p>
        </w:tc>
        <w:tc>
          <w:tcPr>
            <w:tcW w:w="2977" w:type="dxa"/>
            <w:shd w:val="clear" w:color="auto" w:fill="FFFFFF" w:themeFill="background1"/>
          </w:tcPr>
          <w:p w:rsidR="005379F5" w:rsidRPr="002F17B5" w:rsidRDefault="00454708" w:rsidP="001509A6">
            <w:pPr>
              <w:spacing w:after="20"/>
              <w:ind w:left="170" w:right="459"/>
              <w:jc w:val="right"/>
            </w:pPr>
            <w:r w:rsidRPr="002F17B5">
              <w:t>3</w:t>
            </w:r>
            <w:r w:rsidR="000B27EE">
              <w:t>5</w:t>
            </w:r>
            <w:r w:rsidR="001509A6">
              <w:t>7</w:t>
            </w:r>
            <w:r w:rsidR="000B27EE">
              <w:t>.</w:t>
            </w:r>
            <w:r w:rsidR="001509A6">
              <w:t>9</w:t>
            </w:r>
          </w:p>
        </w:tc>
      </w:tr>
      <w:tr w:rsidR="00FD5388" w:rsidRPr="002F17B5" w:rsidTr="00AD5D5C">
        <w:trPr>
          <w:trHeight w:val="143"/>
        </w:trPr>
        <w:tc>
          <w:tcPr>
            <w:tcW w:w="3510" w:type="dxa"/>
            <w:shd w:val="clear" w:color="auto" w:fill="FFFFFF" w:themeFill="background1"/>
          </w:tcPr>
          <w:p w:rsidR="00FD5388" w:rsidRPr="002F17B5" w:rsidRDefault="00FD5388" w:rsidP="00B54507">
            <w:pPr>
              <w:tabs>
                <w:tab w:val="left" w:pos="342"/>
              </w:tabs>
              <w:spacing w:after="20"/>
              <w:ind w:left="170"/>
            </w:pPr>
            <w:r w:rsidRPr="002F17B5">
              <w:t>Valued at current value in:</w:t>
            </w:r>
          </w:p>
        </w:tc>
        <w:tc>
          <w:tcPr>
            <w:tcW w:w="2977" w:type="dxa"/>
            <w:shd w:val="clear" w:color="auto" w:fill="FFFFFF" w:themeFill="background1"/>
          </w:tcPr>
          <w:p w:rsidR="00FD5388" w:rsidRPr="002F17B5" w:rsidRDefault="00FD5388" w:rsidP="00B54507">
            <w:pPr>
              <w:tabs>
                <w:tab w:val="left" w:pos="342"/>
              </w:tabs>
              <w:spacing w:after="20"/>
              <w:ind w:left="170" w:right="459"/>
            </w:pPr>
          </w:p>
        </w:tc>
      </w:tr>
      <w:tr w:rsidR="00FD5388" w:rsidRPr="002F17B5" w:rsidTr="00AD5D5C">
        <w:trPr>
          <w:trHeight w:val="266"/>
        </w:trPr>
        <w:tc>
          <w:tcPr>
            <w:tcW w:w="3510" w:type="dxa"/>
            <w:shd w:val="clear" w:color="auto" w:fill="FFFFFF" w:themeFill="background1"/>
          </w:tcPr>
          <w:p w:rsidR="00FD5388" w:rsidRPr="002F17B5" w:rsidRDefault="00CD4CF3" w:rsidP="00B54507">
            <w:pPr>
              <w:tabs>
                <w:tab w:val="left" w:pos="342"/>
              </w:tabs>
              <w:spacing w:after="20"/>
              <w:ind w:left="170"/>
            </w:pPr>
            <w:r w:rsidRPr="002F17B5">
              <w:t>2013/14</w:t>
            </w:r>
          </w:p>
        </w:tc>
        <w:tc>
          <w:tcPr>
            <w:tcW w:w="2977" w:type="dxa"/>
            <w:shd w:val="clear" w:color="auto" w:fill="FFFFFF" w:themeFill="background1"/>
          </w:tcPr>
          <w:p w:rsidR="00FD5388" w:rsidRPr="002F17B5" w:rsidRDefault="000B27EE" w:rsidP="00B54507">
            <w:pPr>
              <w:tabs>
                <w:tab w:val="left" w:pos="342"/>
              </w:tabs>
              <w:spacing w:after="20"/>
              <w:ind w:left="170" w:right="459"/>
              <w:jc w:val="right"/>
            </w:pPr>
            <w:r>
              <w:t>418.8</w:t>
            </w:r>
          </w:p>
        </w:tc>
      </w:tr>
      <w:tr w:rsidR="00FD5388" w:rsidRPr="002F17B5" w:rsidTr="00AD5D5C">
        <w:trPr>
          <w:trHeight w:val="246"/>
        </w:trPr>
        <w:tc>
          <w:tcPr>
            <w:tcW w:w="3510" w:type="dxa"/>
            <w:shd w:val="clear" w:color="auto" w:fill="FFFFFF" w:themeFill="background1"/>
          </w:tcPr>
          <w:p w:rsidR="00FD5388" w:rsidRPr="002F17B5" w:rsidRDefault="00CD4CF3" w:rsidP="00B54507">
            <w:pPr>
              <w:tabs>
                <w:tab w:val="left" w:pos="342"/>
              </w:tabs>
              <w:spacing w:after="20"/>
              <w:ind w:left="170"/>
            </w:pPr>
            <w:r w:rsidRPr="002F17B5">
              <w:t>2012/13</w:t>
            </w:r>
          </w:p>
        </w:tc>
        <w:tc>
          <w:tcPr>
            <w:tcW w:w="2977" w:type="dxa"/>
            <w:shd w:val="clear" w:color="auto" w:fill="FFFFFF" w:themeFill="background1"/>
          </w:tcPr>
          <w:p w:rsidR="00FD5388" w:rsidRPr="002F17B5" w:rsidRDefault="000B27EE" w:rsidP="00B54507">
            <w:pPr>
              <w:tabs>
                <w:tab w:val="left" w:pos="342"/>
              </w:tabs>
              <w:spacing w:after="20"/>
              <w:ind w:left="170" w:right="459"/>
              <w:jc w:val="right"/>
            </w:pPr>
            <w:r>
              <w:t>316.5</w:t>
            </w:r>
          </w:p>
        </w:tc>
      </w:tr>
      <w:tr w:rsidR="000B27EE" w:rsidRPr="002F17B5" w:rsidTr="00AD5D5C">
        <w:trPr>
          <w:trHeight w:val="246"/>
        </w:trPr>
        <w:tc>
          <w:tcPr>
            <w:tcW w:w="3510" w:type="dxa"/>
            <w:shd w:val="clear" w:color="auto" w:fill="FFFFFF" w:themeFill="background1"/>
          </w:tcPr>
          <w:p w:rsidR="000B27EE" w:rsidRPr="002F17B5" w:rsidRDefault="000B27EE" w:rsidP="00B54507">
            <w:pPr>
              <w:tabs>
                <w:tab w:val="left" w:pos="342"/>
              </w:tabs>
              <w:spacing w:after="20"/>
              <w:ind w:left="170"/>
            </w:pPr>
            <w:r>
              <w:t>2011/12</w:t>
            </w:r>
          </w:p>
        </w:tc>
        <w:tc>
          <w:tcPr>
            <w:tcW w:w="2977" w:type="dxa"/>
            <w:shd w:val="clear" w:color="auto" w:fill="FFFFFF" w:themeFill="background1"/>
          </w:tcPr>
          <w:p w:rsidR="000B27EE" w:rsidRPr="002F17B5" w:rsidRDefault="000B27EE" w:rsidP="00B54507">
            <w:pPr>
              <w:tabs>
                <w:tab w:val="left" w:pos="342"/>
              </w:tabs>
              <w:spacing w:after="20"/>
              <w:ind w:left="170" w:right="459"/>
              <w:jc w:val="right"/>
            </w:pPr>
            <w:r>
              <w:t>147.8</w:t>
            </w:r>
          </w:p>
        </w:tc>
      </w:tr>
      <w:tr w:rsidR="00FD5388" w:rsidRPr="002F17B5" w:rsidTr="00AD5D5C">
        <w:trPr>
          <w:trHeight w:val="246"/>
        </w:trPr>
        <w:tc>
          <w:tcPr>
            <w:tcW w:w="3510" w:type="dxa"/>
            <w:shd w:val="clear" w:color="auto" w:fill="FFFFFF" w:themeFill="background1"/>
          </w:tcPr>
          <w:p w:rsidR="00FD5388" w:rsidRPr="002F17B5" w:rsidRDefault="00FD5388" w:rsidP="00B54507">
            <w:pPr>
              <w:tabs>
                <w:tab w:val="left" w:pos="342"/>
              </w:tabs>
              <w:spacing w:after="20"/>
              <w:ind w:left="170"/>
            </w:pPr>
            <w:r w:rsidRPr="002F17B5">
              <w:t>2010/11</w:t>
            </w:r>
          </w:p>
        </w:tc>
        <w:tc>
          <w:tcPr>
            <w:tcW w:w="2977" w:type="dxa"/>
            <w:shd w:val="clear" w:color="auto" w:fill="FFFFFF" w:themeFill="background1"/>
          </w:tcPr>
          <w:p w:rsidR="00FD5388" w:rsidRPr="002F17B5" w:rsidRDefault="000B27EE" w:rsidP="00B54507">
            <w:pPr>
              <w:tabs>
                <w:tab w:val="left" w:pos="342"/>
              </w:tabs>
              <w:spacing w:after="20"/>
              <w:ind w:left="170" w:right="459"/>
              <w:jc w:val="right"/>
            </w:pPr>
            <w:r>
              <w:t>586.6</w:t>
            </w:r>
          </w:p>
        </w:tc>
      </w:tr>
      <w:tr w:rsidR="00FD5388" w:rsidRPr="002F17B5" w:rsidTr="00AD5D5C">
        <w:trPr>
          <w:trHeight w:val="246"/>
        </w:trPr>
        <w:tc>
          <w:tcPr>
            <w:tcW w:w="3510" w:type="dxa"/>
            <w:shd w:val="clear" w:color="auto" w:fill="FFFFFF" w:themeFill="background1"/>
          </w:tcPr>
          <w:p w:rsidR="00FD5388" w:rsidRPr="002F17B5" w:rsidRDefault="00FD5388" w:rsidP="00B54507">
            <w:pPr>
              <w:tabs>
                <w:tab w:val="left" w:pos="342"/>
              </w:tabs>
              <w:spacing w:after="20"/>
              <w:ind w:left="170"/>
            </w:pPr>
            <w:r w:rsidRPr="002F17B5">
              <w:t>2009/10</w:t>
            </w:r>
          </w:p>
        </w:tc>
        <w:tc>
          <w:tcPr>
            <w:tcW w:w="2977" w:type="dxa"/>
            <w:shd w:val="clear" w:color="auto" w:fill="FFFFFF" w:themeFill="background1"/>
          </w:tcPr>
          <w:p w:rsidR="005379F5" w:rsidRPr="002F17B5" w:rsidRDefault="000B27EE" w:rsidP="00B54507">
            <w:pPr>
              <w:tabs>
                <w:tab w:val="left" w:pos="342"/>
              </w:tabs>
              <w:spacing w:after="20"/>
              <w:ind w:left="170" w:right="459"/>
              <w:jc w:val="right"/>
            </w:pPr>
            <w:r>
              <w:t>253.7</w:t>
            </w:r>
          </w:p>
        </w:tc>
      </w:tr>
      <w:tr w:rsidR="00FD5388" w:rsidRPr="002F17B5" w:rsidTr="00AD5D5C">
        <w:trPr>
          <w:trHeight w:val="266"/>
        </w:trPr>
        <w:tc>
          <w:tcPr>
            <w:tcW w:w="3510" w:type="dxa"/>
            <w:shd w:val="clear" w:color="auto" w:fill="FFFFFF" w:themeFill="background1"/>
          </w:tcPr>
          <w:p w:rsidR="00FD5388" w:rsidRPr="002F17B5" w:rsidRDefault="00FD5388" w:rsidP="00B54507">
            <w:pPr>
              <w:tabs>
                <w:tab w:val="left" w:pos="342"/>
              </w:tabs>
              <w:spacing w:after="20"/>
              <w:ind w:left="170"/>
            </w:pPr>
          </w:p>
        </w:tc>
        <w:tc>
          <w:tcPr>
            <w:tcW w:w="2977" w:type="dxa"/>
            <w:shd w:val="clear" w:color="auto" w:fill="FFFFFF" w:themeFill="background1"/>
          </w:tcPr>
          <w:p w:rsidR="00FD5388" w:rsidRPr="002F17B5" w:rsidRDefault="00FD5388" w:rsidP="00B54507">
            <w:pPr>
              <w:tabs>
                <w:tab w:val="left" w:pos="342"/>
              </w:tabs>
              <w:spacing w:after="20"/>
              <w:ind w:left="170" w:right="459"/>
              <w:jc w:val="right"/>
              <w:rPr>
                <w:sz w:val="18"/>
              </w:rPr>
            </w:pPr>
          </w:p>
        </w:tc>
      </w:tr>
      <w:tr w:rsidR="00FD5388" w:rsidRPr="002F17B5" w:rsidTr="00AD5D5C">
        <w:trPr>
          <w:trHeight w:val="246"/>
        </w:trPr>
        <w:tc>
          <w:tcPr>
            <w:tcW w:w="3510" w:type="dxa"/>
            <w:shd w:val="clear" w:color="auto" w:fill="FFFFFF" w:themeFill="background1"/>
          </w:tcPr>
          <w:p w:rsidR="00FD5388" w:rsidRPr="002F17B5" w:rsidRDefault="00FD5388" w:rsidP="00B54507">
            <w:pPr>
              <w:tabs>
                <w:tab w:val="left" w:pos="342"/>
              </w:tabs>
              <w:spacing w:after="20"/>
              <w:ind w:left="170"/>
              <w:rPr>
                <w:b/>
              </w:rPr>
            </w:pPr>
            <w:r w:rsidRPr="002F17B5">
              <w:rPr>
                <w:b/>
              </w:rPr>
              <w:t>Total</w:t>
            </w:r>
          </w:p>
        </w:tc>
        <w:tc>
          <w:tcPr>
            <w:tcW w:w="2977" w:type="dxa"/>
            <w:shd w:val="clear" w:color="auto" w:fill="FFFFFF" w:themeFill="background1"/>
          </w:tcPr>
          <w:p w:rsidR="00FD5388" w:rsidRPr="002F17B5" w:rsidRDefault="00454708" w:rsidP="000B27EE">
            <w:pPr>
              <w:spacing w:after="20"/>
              <w:ind w:left="170" w:right="459"/>
              <w:jc w:val="right"/>
              <w:rPr>
                <w:b/>
              </w:rPr>
            </w:pPr>
            <w:r w:rsidRPr="002F17B5">
              <w:rPr>
                <w:b/>
              </w:rPr>
              <w:t>2,</w:t>
            </w:r>
            <w:r w:rsidR="000B27EE">
              <w:rPr>
                <w:b/>
              </w:rPr>
              <w:t>081</w:t>
            </w:r>
            <w:r w:rsidRPr="002F17B5">
              <w:rPr>
                <w:b/>
              </w:rPr>
              <w:t>.</w:t>
            </w:r>
            <w:r w:rsidR="000B27EE">
              <w:rPr>
                <w:b/>
              </w:rPr>
              <w:t>3</w:t>
            </w:r>
          </w:p>
        </w:tc>
      </w:tr>
    </w:tbl>
    <w:p w:rsidR="00FD5388" w:rsidRPr="00AD5D5C" w:rsidRDefault="00FD5388" w:rsidP="00FD5388">
      <w:pPr>
        <w:spacing w:after="0"/>
        <w:ind w:left="720"/>
        <w:rPr>
          <w:sz w:val="14"/>
        </w:rPr>
      </w:pPr>
    </w:p>
    <w:p w:rsidR="00B54507" w:rsidRDefault="00B54507" w:rsidP="00FD5388">
      <w:pPr>
        <w:spacing w:after="0"/>
        <w:ind w:left="720"/>
      </w:pPr>
    </w:p>
    <w:p w:rsidR="00907DE0" w:rsidRPr="006A6598" w:rsidRDefault="00907DE0" w:rsidP="00FD5388">
      <w:pPr>
        <w:spacing w:after="0"/>
        <w:ind w:left="720"/>
        <w:rPr>
          <w:sz w:val="2"/>
        </w:rPr>
      </w:pPr>
    </w:p>
    <w:p w:rsidR="00D41223" w:rsidRPr="002F17B5" w:rsidRDefault="00D41223" w:rsidP="00D41223">
      <w:pPr>
        <w:pStyle w:val="Heading3-numbered"/>
        <w:rPr>
          <w:i w:val="0"/>
          <w:sz w:val="26"/>
        </w:rPr>
      </w:pPr>
      <w:r w:rsidRPr="002F17B5">
        <w:rPr>
          <w:i w:val="0"/>
          <w:sz w:val="26"/>
        </w:rPr>
        <w:t xml:space="preserve">  Financial instruments </w:t>
      </w:r>
    </w:p>
    <w:p w:rsidR="002D209B" w:rsidRPr="00907DE0" w:rsidRDefault="002D209B" w:rsidP="002D209B">
      <w:pPr>
        <w:rPr>
          <w:b/>
          <w:sz w:val="2"/>
        </w:rPr>
      </w:pPr>
    </w:p>
    <w:p w:rsidR="00473E49" w:rsidRPr="002F17B5" w:rsidRDefault="002D209B" w:rsidP="002D209B">
      <w:r w:rsidRPr="002F17B5">
        <w:t xml:space="preserve">The following categories of </w:t>
      </w:r>
      <w:r w:rsidR="006F4F32" w:rsidRPr="002F17B5">
        <w:t>financial instruments</w:t>
      </w:r>
      <w:r w:rsidRPr="002F17B5">
        <w:t xml:space="preserve"> are carried in the balance sheet. The instruments have been valued in accordance with International Financial Reporting Standards (IFRS) using the accounting policies explained within our accounting policies section. </w:t>
      </w:r>
    </w:p>
    <w:tbl>
      <w:tblPr>
        <w:tblW w:w="10608" w:type="dxa"/>
        <w:jc w:val="center"/>
        <w:tblCellMar>
          <w:left w:w="0" w:type="dxa"/>
          <w:right w:w="0" w:type="dxa"/>
        </w:tblCellMar>
        <w:tblLook w:val="04A0" w:firstRow="1" w:lastRow="0" w:firstColumn="1" w:lastColumn="0" w:noHBand="0" w:noVBand="1"/>
      </w:tblPr>
      <w:tblGrid>
        <w:gridCol w:w="18"/>
        <w:gridCol w:w="2751"/>
        <w:gridCol w:w="1938"/>
        <w:gridCol w:w="1318"/>
        <w:gridCol w:w="1559"/>
        <w:gridCol w:w="1622"/>
        <w:gridCol w:w="1386"/>
        <w:gridCol w:w="16"/>
      </w:tblGrid>
      <w:tr w:rsidR="00135D50" w:rsidRPr="002F17B5" w:rsidTr="00B54507">
        <w:trPr>
          <w:trHeight w:val="285"/>
          <w:jc w:val="center"/>
        </w:trPr>
        <w:tc>
          <w:tcPr>
            <w:tcW w:w="276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ind w:firstLine="17"/>
              <w:jc w:val="right"/>
              <w:rPr>
                <w:color w:val="FFFFFF"/>
                <w:sz w:val="22"/>
                <w:szCs w:val="22"/>
              </w:rPr>
            </w:pPr>
            <w:r w:rsidRPr="002F17B5">
              <w:rPr>
                <w:color w:val="FFFFFF"/>
                <w:sz w:val="22"/>
                <w:szCs w:val="22"/>
              </w:rPr>
              <w:t> </w:t>
            </w:r>
          </w:p>
        </w:tc>
        <w:tc>
          <w:tcPr>
            <w:tcW w:w="4815" w:type="dxa"/>
            <w:gridSpan w:val="3"/>
            <w:shd w:val="clear" w:color="auto" w:fill="FFFFFF" w:themeFill="background1"/>
            <w:tcMar>
              <w:top w:w="0" w:type="dxa"/>
              <w:left w:w="108" w:type="dxa"/>
              <w:bottom w:w="0" w:type="dxa"/>
              <w:right w:w="108" w:type="dxa"/>
            </w:tcMar>
            <w:hideMark/>
          </w:tcPr>
          <w:p w:rsidR="00135D50" w:rsidRPr="002F17B5" w:rsidRDefault="00135D50" w:rsidP="00B54507">
            <w:pPr>
              <w:spacing w:after="0"/>
              <w:ind w:left="1531"/>
              <w:jc w:val="center"/>
              <w:rPr>
                <w:b/>
                <w:bCs/>
                <w:sz w:val="22"/>
                <w:szCs w:val="22"/>
              </w:rPr>
            </w:pPr>
            <w:r w:rsidRPr="002F17B5">
              <w:rPr>
                <w:b/>
                <w:bCs/>
                <w:sz w:val="22"/>
                <w:szCs w:val="22"/>
              </w:rPr>
              <w:t>Long-term</w:t>
            </w:r>
          </w:p>
        </w:tc>
        <w:tc>
          <w:tcPr>
            <w:tcW w:w="3024" w:type="dxa"/>
            <w:gridSpan w:val="3"/>
            <w:shd w:val="clear" w:color="auto" w:fill="FFFFFF" w:themeFill="background1"/>
            <w:tcMar>
              <w:top w:w="0" w:type="dxa"/>
              <w:left w:w="108" w:type="dxa"/>
              <w:bottom w:w="0" w:type="dxa"/>
              <w:right w:w="108" w:type="dxa"/>
            </w:tcMar>
            <w:hideMark/>
          </w:tcPr>
          <w:p w:rsidR="00135D50" w:rsidRPr="002F17B5" w:rsidRDefault="00135D50" w:rsidP="00B54507">
            <w:pPr>
              <w:spacing w:after="0"/>
              <w:jc w:val="center"/>
              <w:rPr>
                <w:b/>
                <w:bCs/>
                <w:sz w:val="22"/>
                <w:szCs w:val="22"/>
              </w:rPr>
            </w:pPr>
            <w:r w:rsidRPr="002F17B5">
              <w:rPr>
                <w:b/>
                <w:bCs/>
                <w:sz w:val="22"/>
                <w:szCs w:val="22"/>
              </w:rPr>
              <w:t>Current</w:t>
            </w:r>
          </w:p>
        </w:tc>
      </w:tr>
      <w:tr w:rsidR="00135D50" w:rsidRPr="002F17B5" w:rsidTr="00B54507">
        <w:trPr>
          <w:gridBefore w:val="1"/>
          <w:gridAfter w:val="1"/>
          <w:wBefore w:w="18" w:type="dxa"/>
          <w:wAfter w:w="16" w:type="dxa"/>
          <w:trHeight w:val="285"/>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color w:val="FFFFFF"/>
              </w:rPr>
            </w:pPr>
            <w:r w:rsidRPr="002F17B5">
              <w:rPr>
                <w:color w:val="FFFFFF"/>
                <w:sz w:val="22"/>
                <w:szCs w:val="22"/>
              </w:rPr>
              <w:t> </w:t>
            </w:r>
          </w:p>
        </w:tc>
        <w:tc>
          <w:tcPr>
            <w:tcW w:w="1318" w:type="dxa"/>
            <w:shd w:val="clear" w:color="auto" w:fill="FFFFFF" w:themeFill="background1"/>
            <w:noWrap/>
            <w:tcMar>
              <w:top w:w="0" w:type="dxa"/>
              <w:left w:w="108" w:type="dxa"/>
              <w:bottom w:w="0" w:type="dxa"/>
              <w:right w:w="108" w:type="dxa"/>
            </w:tcMar>
            <w:vAlign w:val="bottom"/>
            <w:hideMark/>
          </w:tcPr>
          <w:p w:rsidR="00135D50" w:rsidRPr="002F17B5" w:rsidRDefault="00135D50" w:rsidP="00B54507">
            <w:pPr>
              <w:spacing w:after="0"/>
              <w:jc w:val="right"/>
              <w:rPr>
                <w:rFonts w:eastAsiaTheme="minorHAnsi"/>
                <w:b/>
                <w:bCs/>
              </w:rPr>
            </w:pPr>
            <w:r w:rsidRPr="002F17B5">
              <w:rPr>
                <w:b/>
                <w:bCs/>
                <w:sz w:val="22"/>
                <w:szCs w:val="22"/>
              </w:rPr>
              <w:t>31/03/2014</w:t>
            </w:r>
          </w:p>
        </w:tc>
        <w:tc>
          <w:tcPr>
            <w:tcW w:w="1559" w:type="dxa"/>
            <w:shd w:val="clear" w:color="auto" w:fill="FFFFFF" w:themeFill="background1"/>
            <w:noWrap/>
            <w:tcMar>
              <w:top w:w="0" w:type="dxa"/>
              <w:left w:w="108" w:type="dxa"/>
              <w:bottom w:w="0" w:type="dxa"/>
              <w:right w:w="108" w:type="dxa"/>
            </w:tcMar>
            <w:vAlign w:val="bottom"/>
            <w:hideMark/>
          </w:tcPr>
          <w:p w:rsidR="00135D50" w:rsidRPr="002F17B5" w:rsidRDefault="00135D50" w:rsidP="00B54507">
            <w:pPr>
              <w:spacing w:after="0"/>
              <w:jc w:val="right"/>
              <w:rPr>
                <w:rFonts w:eastAsiaTheme="minorHAnsi"/>
                <w:b/>
                <w:bCs/>
              </w:rPr>
            </w:pPr>
            <w:r w:rsidRPr="002F17B5">
              <w:rPr>
                <w:b/>
                <w:bCs/>
                <w:sz w:val="22"/>
                <w:szCs w:val="22"/>
              </w:rPr>
              <w:t xml:space="preserve">31/03/2013 </w:t>
            </w:r>
          </w:p>
        </w:tc>
        <w:tc>
          <w:tcPr>
            <w:tcW w:w="1622" w:type="dxa"/>
            <w:shd w:val="clear" w:color="auto" w:fill="FFFFFF" w:themeFill="background1"/>
            <w:noWrap/>
            <w:tcMar>
              <w:top w:w="0" w:type="dxa"/>
              <w:left w:w="108" w:type="dxa"/>
              <w:bottom w:w="0" w:type="dxa"/>
              <w:right w:w="108" w:type="dxa"/>
            </w:tcMar>
            <w:vAlign w:val="bottom"/>
            <w:hideMark/>
          </w:tcPr>
          <w:p w:rsidR="00135D50" w:rsidRPr="002F17B5" w:rsidRDefault="00135D50" w:rsidP="00B54507">
            <w:pPr>
              <w:spacing w:after="0"/>
              <w:jc w:val="right"/>
              <w:rPr>
                <w:rFonts w:eastAsiaTheme="minorHAnsi"/>
                <w:b/>
                <w:bCs/>
              </w:rPr>
            </w:pPr>
            <w:r w:rsidRPr="002F17B5">
              <w:rPr>
                <w:b/>
                <w:bCs/>
                <w:sz w:val="22"/>
                <w:szCs w:val="22"/>
              </w:rPr>
              <w:t>31/03/2014</w:t>
            </w:r>
          </w:p>
        </w:tc>
        <w:tc>
          <w:tcPr>
            <w:tcW w:w="1386" w:type="dxa"/>
            <w:shd w:val="clear" w:color="auto" w:fill="FFFFFF" w:themeFill="background1"/>
            <w:noWrap/>
            <w:tcMar>
              <w:top w:w="0" w:type="dxa"/>
              <w:left w:w="108" w:type="dxa"/>
              <w:bottom w:w="0" w:type="dxa"/>
              <w:right w:w="108" w:type="dxa"/>
            </w:tcMar>
            <w:vAlign w:val="bottom"/>
            <w:hideMark/>
          </w:tcPr>
          <w:p w:rsidR="00135D50" w:rsidRPr="002F17B5" w:rsidRDefault="00135D50" w:rsidP="00B54507">
            <w:pPr>
              <w:spacing w:after="0"/>
              <w:ind w:right="68"/>
              <w:jc w:val="right"/>
              <w:rPr>
                <w:rFonts w:eastAsiaTheme="minorHAnsi"/>
                <w:b/>
                <w:bCs/>
              </w:rPr>
            </w:pPr>
            <w:r w:rsidRPr="002F17B5">
              <w:rPr>
                <w:b/>
                <w:bCs/>
                <w:sz w:val="22"/>
                <w:szCs w:val="22"/>
              </w:rPr>
              <w:t xml:space="preserve">31/03/2013 </w:t>
            </w:r>
          </w:p>
        </w:tc>
      </w:tr>
      <w:tr w:rsidR="00135D50" w:rsidRPr="002F17B5" w:rsidTr="00B54507">
        <w:trPr>
          <w:gridBefore w:val="1"/>
          <w:gridAfter w:val="1"/>
          <w:wBefore w:w="18" w:type="dxa"/>
          <w:wAfter w:w="16" w:type="dxa"/>
          <w:trHeight w:val="402"/>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color w:val="FFFFFF"/>
              </w:rPr>
            </w:pPr>
            <w:r w:rsidRPr="002F17B5">
              <w:rPr>
                <w:color w:val="FFFFFF"/>
                <w:sz w:val="22"/>
                <w:szCs w:val="22"/>
              </w:rPr>
              <w:t> </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b/>
                <w:bCs/>
              </w:rPr>
            </w:pPr>
            <w:r w:rsidRPr="002F17B5">
              <w:rPr>
                <w:b/>
                <w:bCs/>
                <w:sz w:val="22"/>
                <w:szCs w:val="22"/>
              </w:rPr>
              <w:t>£m</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b/>
                <w:bCs/>
              </w:rPr>
            </w:pPr>
            <w:r w:rsidRPr="002F17B5">
              <w:rPr>
                <w:b/>
                <w:bCs/>
                <w:sz w:val="22"/>
                <w:szCs w:val="22"/>
              </w:rPr>
              <w:t>£m</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b/>
                <w:bCs/>
              </w:rPr>
            </w:pPr>
            <w:r w:rsidRPr="002F17B5">
              <w:rPr>
                <w:b/>
                <w:bCs/>
                <w:sz w:val="22"/>
                <w:szCs w:val="22"/>
              </w:rPr>
              <w:t>£m</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ind w:right="68"/>
              <w:jc w:val="right"/>
              <w:rPr>
                <w:rFonts w:eastAsiaTheme="minorHAnsi"/>
                <w:b/>
                <w:bCs/>
              </w:rPr>
            </w:pPr>
            <w:r w:rsidRPr="002F17B5">
              <w:rPr>
                <w:b/>
                <w:bCs/>
                <w:sz w:val="22"/>
                <w:szCs w:val="22"/>
              </w:rPr>
              <w:t>£m</w:t>
            </w:r>
          </w:p>
        </w:tc>
      </w:tr>
      <w:tr w:rsidR="00135D50" w:rsidRPr="002F17B5" w:rsidTr="00B54507">
        <w:trPr>
          <w:gridBefore w:val="1"/>
          <w:gridAfter w:val="1"/>
          <w:wBefore w:w="18" w:type="dxa"/>
          <w:wAfter w:w="16" w:type="dxa"/>
          <w:trHeight w:val="75"/>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bCs/>
                <w:u w:val="single"/>
              </w:rPr>
            </w:pPr>
            <w:r w:rsidRPr="002F17B5">
              <w:rPr>
                <w:bCs/>
                <w:sz w:val="22"/>
                <w:szCs w:val="22"/>
                <w:u w:val="single"/>
              </w:rPr>
              <w:t xml:space="preserve">Cash and cash equivalents </w:t>
            </w:r>
          </w:p>
          <w:p w:rsidR="00135D50" w:rsidRPr="002F17B5" w:rsidRDefault="00135D50" w:rsidP="00B54507">
            <w:pPr>
              <w:spacing w:after="0"/>
              <w:jc w:val="left"/>
              <w:rPr>
                <w:bCs/>
              </w:rPr>
            </w:pPr>
            <w:r w:rsidRPr="002F17B5">
              <w:rPr>
                <w:bCs/>
                <w:sz w:val="22"/>
                <w:szCs w:val="22"/>
              </w:rPr>
              <w:t xml:space="preserve">Loans &amp; receivables </w:t>
            </w:r>
            <w:r w:rsidR="00764621" w:rsidRPr="002F17B5">
              <w:rPr>
                <w:bCs/>
                <w:sz w:val="22"/>
                <w:szCs w:val="22"/>
              </w:rPr>
              <w:t>(See Table 2 Note 2</w:t>
            </w:r>
            <w:r w:rsidR="00125764">
              <w:rPr>
                <w:bCs/>
                <w:sz w:val="22"/>
                <w:szCs w:val="22"/>
              </w:rPr>
              <w:t>6</w:t>
            </w:r>
            <w:r w:rsidRPr="002F17B5">
              <w:rPr>
                <w:bCs/>
                <w:sz w:val="22"/>
                <w:szCs w:val="22"/>
              </w:rPr>
              <w:t>)</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pPr>
          </w:p>
          <w:p w:rsidR="00135D50" w:rsidRPr="002F17B5" w:rsidRDefault="00135D50" w:rsidP="00B54507">
            <w:pPr>
              <w:spacing w:after="0"/>
              <w:jc w:val="right"/>
            </w:pPr>
          </w:p>
          <w:p w:rsidR="00135D50" w:rsidRPr="002F17B5" w:rsidRDefault="00135D50" w:rsidP="00B54507">
            <w:pPr>
              <w:spacing w:after="0"/>
              <w:jc w:val="right"/>
            </w:pPr>
            <w:r w:rsidRPr="002F17B5">
              <w:rPr>
                <w:sz w:val="22"/>
                <w:szCs w:val="22"/>
              </w:rPr>
              <w:t>-</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pPr>
          </w:p>
          <w:p w:rsidR="00135D50" w:rsidRPr="002F17B5" w:rsidRDefault="00135D50" w:rsidP="00B54507">
            <w:pPr>
              <w:spacing w:after="0"/>
              <w:jc w:val="right"/>
            </w:pPr>
          </w:p>
          <w:p w:rsidR="00135D50" w:rsidRPr="002F17B5" w:rsidRDefault="00135D50" w:rsidP="00B54507">
            <w:pPr>
              <w:spacing w:after="0"/>
              <w:jc w:val="right"/>
            </w:pPr>
            <w:r w:rsidRPr="002F17B5">
              <w:rPr>
                <w:sz w:val="22"/>
                <w:szCs w:val="22"/>
              </w:rPr>
              <w:t>-</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pPr>
          </w:p>
          <w:p w:rsidR="00135D50" w:rsidRPr="002F17B5" w:rsidRDefault="00135D50" w:rsidP="00B54507">
            <w:pPr>
              <w:spacing w:after="0"/>
              <w:jc w:val="right"/>
            </w:pPr>
          </w:p>
          <w:p w:rsidR="00135D50" w:rsidRPr="002F17B5" w:rsidRDefault="00135D50" w:rsidP="00B54507">
            <w:pPr>
              <w:spacing w:after="0"/>
              <w:jc w:val="right"/>
            </w:pPr>
            <w:r w:rsidRPr="002F17B5">
              <w:rPr>
                <w:sz w:val="22"/>
                <w:szCs w:val="22"/>
              </w:rPr>
              <w:t>91.4</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pPr>
          </w:p>
          <w:p w:rsidR="00135D50" w:rsidRPr="002F17B5" w:rsidRDefault="00135D50" w:rsidP="00B54507">
            <w:pPr>
              <w:spacing w:after="0"/>
              <w:jc w:val="right"/>
            </w:pPr>
          </w:p>
          <w:p w:rsidR="00135D50" w:rsidRPr="002F17B5" w:rsidRDefault="00135D50" w:rsidP="00B54507">
            <w:pPr>
              <w:spacing w:after="0"/>
              <w:jc w:val="right"/>
            </w:pPr>
            <w:r w:rsidRPr="002F17B5">
              <w:rPr>
                <w:sz w:val="22"/>
                <w:szCs w:val="22"/>
              </w:rPr>
              <w:t>65.6</w:t>
            </w:r>
          </w:p>
        </w:tc>
      </w:tr>
      <w:tr w:rsidR="00135D50" w:rsidRPr="002F17B5" w:rsidTr="00B54507">
        <w:trPr>
          <w:gridBefore w:val="1"/>
          <w:gridAfter w:val="1"/>
          <w:wBefore w:w="18" w:type="dxa"/>
          <w:wAfter w:w="16" w:type="dxa"/>
          <w:trHeight w:val="75"/>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rFonts w:eastAsiaTheme="minorHAnsi"/>
                <w:bCs/>
                <w:u w:val="single"/>
              </w:rPr>
            </w:pPr>
            <w:r w:rsidRPr="002F17B5">
              <w:rPr>
                <w:bCs/>
                <w:sz w:val="22"/>
                <w:szCs w:val="22"/>
                <w:u w:val="single"/>
              </w:rPr>
              <w:t>Investments</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 </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 </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 </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 </w:t>
            </w:r>
          </w:p>
        </w:tc>
      </w:tr>
      <w:tr w:rsidR="00135D50" w:rsidRPr="002F17B5" w:rsidTr="00B54507">
        <w:trPr>
          <w:gridBefore w:val="1"/>
          <w:gridAfter w:val="1"/>
          <w:wBefore w:w="18" w:type="dxa"/>
          <w:wAfter w:w="16" w:type="dxa"/>
          <w:trHeight w:val="285"/>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rFonts w:eastAsiaTheme="minorHAnsi"/>
              </w:rPr>
            </w:pPr>
            <w:r w:rsidRPr="002F17B5">
              <w:rPr>
                <w:sz w:val="22"/>
                <w:szCs w:val="22"/>
              </w:rPr>
              <w:t xml:space="preserve">Loans and receivables </w:t>
            </w:r>
            <w:r w:rsidRPr="002F17B5">
              <w:rPr>
                <w:bCs/>
                <w:sz w:val="22"/>
                <w:szCs w:val="22"/>
              </w:rPr>
              <w:t xml:space="preserve">(See </w:t>
            </w:r>
            <w:r w:rsidR="00764621" w:rsidRPr="002F17B5">
              <w:rPr>
                <w:bCs/>
                <w:sz w:val="22"/>
                <w:szCs w:val="22"/>
              </w:rPr>
              <w:t>Table 2 Note 2</w:t>
            </w:r>
            <w:r w:rsidR="00125764">
              <w:rPr>
                <w:bCs/>
                <w:sz w:val="22"/>
                <w:szCs w:val="22"/>
              </w:rPr>
              <w:t>6</w:t>
            </w:r>
            <w:r w:rsidRPr="002F17B5">
              <w:rPr>
                <w:bCs/>
                <w:sz w:val="22"/>
                <w:szCs w:val="22"/>
              </w:rPr>
              <w:t>)</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127.1</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99.4</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23.7</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109.8</w:t>
            </w:r>
          </w:p>
        </w:tc>
      </w:tr>
      <w:tr w:rsidR="00135D50" w:rsidRPr="002F17B5" w:rsidTr="00B54507">
        <w:trPr>
          <w:gridBefore w:val="1"/>
          <w:gridAfter w:val="1"/>
          <w:wBefore w:w="18" w:type="dxa"/>
          <w:wAfter w:w="16" w:type="dxa"/>
          <w:trHeight w:val="410"/>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rFonts w:eastAsiaTheme="minorHAnsi"/>
              </w:rPr>
            </w:pPr>
            <w:r w:rsidRPr="002F17B5">
              <w:rPr>
                <w:sz w:val="22"/>
                <w:szCs w:val="22"/>
              </w:rPr>
              <w:t>Available-for-sale financial assets</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pPr>
            <w:r w:rsidRPr="002F17B5">
              <w:rPr>
                <w:sz w:val="22"/>
                <w:szCs w:val="22"/>
              </w:rPr>
              <w:t>360.8</w:t>
            </w:r>
          </w:p>
        </w:tc>
        <w:tc>
          <w:tcPr>
            <w:tcW w:w="1559" w:type="dxa"/>
            <w:shd w:val="clear" w:color="auto" w:fill="FFFFFF" w:themeFill="background1"/>
            <w:tcMar>
              <w:top w:w="0" w:type="dxa"/>
              <w:left w:w="108" w:type="dxa"/>
              <w:bottom w:w="0" w:type="dxa"/>
              <w:right w:w="108" w:type="dxa"/>
            </w:tcMar>
            <w:hideMark/>
          </w:tcPr>
          <w:p w:rsidR="00135D50" w:rsidRPr="002F17B5" w:rsidRDefault="009B7CA5">
            <w:pPr>
              <w:spacing w:after="0"/>
              <w:jc w:val="right"/>
            </w:pPr>
            <w:r w:rsidRPr="002F17B5">
              <w:rPr>
                <w:sz w:val="22"/>
                <w:szCs w:val="22"/>
              </w:rPr>
              <w:t>168.</w:t>
            </w:r>
            <w:r w:rsidR="00B94672">
              <w:rPr>
                <w:sz w:val="22"/>
                <w:szCs w:val="22"/>
              </w:rPr>
              <w:t>9</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rFonts w:eastAsiaTheme="minorHAnsi"/>
                <w:sz w:val="22"/>
                <w:szCs w:val="22"/>
              </w:rPr>
              <w:t>-</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rFonts w:eastAsiaTheme="minorHAnsi"/>
                <w:sz w:val="22"/>
                <w:szCs w:val="22"/>
              </w:rPr>
              <w:t>-</w:t>
            </w:r>
          </w:p>
        </w:tc>
      </w:tr>
      <w:tr w:rsidR="00135D50" w:rsidRPr="002F17B5" w:rsidTr="00B54507">
        <w:trPr>
          <w:gridBefore w:val="1"/>
          <w:gridAfter w:val="1"/>
          <w:wBefore w:w="18" w:type="dxa"/>
          <w:wAfter w:w="16" w:type="dxa"/>
          <w:trHeight w:val="274"/>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rFonts w:eastAsiaTheme="minorHAnsi"/>
              </w:rPr>
            </w:pPr>
            <w:r w:rsidRPr="002F17B5">
              <w:rPr>
                <w:sz w:val="22"/>
                <w:szCs w:val="22"/>
              </w:rPr>
              <w:t>Financial assets at fair value through profit and loss</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1.0</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149.1</w:t>
            </w:r>
          </w:p>
        </w:tc>
      </w:tr>
      <w:tr w:rsidR="00135D50" w:rsidRPr="002F17B5" w:rsidTr="00B54507">
        <w:trPr>
          <w:gridBefore w:val="1"/>
          <w:gridAfter w:val="1"/>
          <w:wBefore w:w="18" w:type="dxa"/>
          <w:wAfter w:w="16" w:type="dxa"/>
          <w:trHeight w:val="285"/>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rFonts w:eastAsiaTheme="minorHAnsi"/>
                <w:b/>
                <w:bCs/>
              </w:rPr>
            </w:pPr>
            <w:r w:rsidRPr="002F17B5">
              <w:rPr>
                <w:b/>
                <w:bCs/>
                <w:sz w:val="22"/>
                <w:szCs w:val="22"/>
              </w:rPr>
              <w:t>Total investments</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b/>
                <w:bCs/>
              </w:rPr>
            </w:pPr>
            <w:r w:rsidRPr="002F17B5">
              <w:rPr>
                <w:b/>
                <w:bCs/>
                <w:sz w:val="22"/>
                <w:szCs w:val="22"/>
              </w:rPr>
              <w:t>487.9</w:t>
            </w:r>
          </w:p>
        </w:tc>
        <w:tc>
          <w:tcPr>
            <w:tcW w:w="1559" w:type="dxa"/>
            <w:shd w:val="clear" w:color="auto" w:fill="FFFFFF" w:themeFill="background1"/>
            <w:tcMar>
              <w:top w:w="0" w:type="dxa"/>
              <w:left w:w="108" w:type="dxa"/>
              <w:bottom w:w="0" w:type="dxa"/>
              <w:right w:w="108" w:type="dxa"/>
            </w:tcMar>
            <w:hideMark/>
          </w:tcPr>
          <w:p w:rsidR="00135D50" w:rsidRPr="002F17B5" w:rsidRDefault="00AE2646" w:rsidP="00B54507">
            <w:pPr>
              <w:spacing w:after="0"/>
              <w:jc w:val="right"/>
              <w:rPr>
                <w:rFonts w:eastAsiaTheme="minorHAnsi"/>
                <w:b/>
                <w:bCs/>
              </w:rPr>
            </w:pPr>
            <w:r w:rsidRPr="002F17B5">
              <w:rPr>
                <w:b/>
                <w:bCs/>
                <w:sz w:val="22"/>
                <w:szCs w:val="22"/>
              </w:rPr>
              <w:t>268.</w:t>
            </w:r>
            <w:r w:rsidR="00B94672">
              <w:rPr>
                <w:b/>
                <w:bCs/>
                <w:sz w:val="22"/>
                <w:szCs w:val="22"/>
              </w:rPr>
              <w:t>3</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b/>
                <w:bCs/>
              </w:rPr>
            </w:pPr>
            <w:r w:rsidRPr="002F17B5">
              <w:rPr>
                <w:b/>
                <w:bCs/>
                <w:sz w:val="22"/>
                <w:szCs w:val="22"/>
              </w:rPr>
              <w:t>24.7</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b/>
                <w:bCs/>
              </w:rPr>
            </w:pPr>
            <w:r w:rsidRPr="002F17B5">
              <w:rPr>
                <w:b/>
                <w:bCs/>
                <w:sz w:val="22"/>
                <w:szCs w:val="22"/>
              </w:rPr>
              <w:t>258.9</w:t>
            </w:r>
          </w:p>
        </w:tc>
      </w:tr>
      <w:tr w:rsidR="00135D50" w:rsidRPr="002F17B5" w:rsidTr="00B54507">
        <w:trPr>
          <w:gridBefore w:val="1"/>
          <w:gridAfter w:val="1"/>
          <w:wBefore w:w="18" w:type="dxa"/>
          <w:wAfter w:w="16" w:type="dxa"/>
          <w:trHeight w:val="395"/>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bCs/>
                <w:u w:val="single"/>
              </w:rPr>
            </w:pPr>
            <w:r w:rsidRPr="002F17B5">
              <w:rPr>
                <w:bCs/>
                <w:sz w:val="22"/>
                <w:szCs w:val="22"/>
                <w:u w:val="single"/>
              </w:rPr>
              <w:t>Debtors</w:t>
            </w:r>
          </w:p>
          <w:p w:rsidR="00135D50" w:rsidRPr="002F17B5" w:rsidRDefault="00135D50" w:rsidP="00B54507">
            <w:pPr>
              <w:spacing w:after="0"/>
              <w:jc w:val="left"/>
              <w:rPr>
                <w:bCs/>
              </w:rPr>
            </w:pPr>
            <w:r w:rsidRPr="002F17B5">
              <w:rPr>
                <w:bCs/>
                <w:sz w:val="22"/>
                <w:szCs w:val="22"/>
              </w:rPr>
              <w:t>Loans &amp; receivables</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bCs/>
              </w:rPr>
            </w:pPr>
          </w:p>
          <w:p w:rsidR="00135D50" w:rsidRPr="002F17B5" w:rsidRDefault="00135D50" w:rsidP="00B54507">
            <w:pPr>
              <w:spacing w:after="0"/>
              <w:jc w:val="right"/>
              <w:rPr>
                <w:rFonts w:eastAsiaTheme="minorHAnsi"/>
              </w:rPr>
            </w:pPr>
            <w:r w:rsidRPr="002F17B5">
              <w:rPr>
                <w:bCs/>
                <w:sz w:val="22"/>
                <w:szCs w:val="22"/>
              </w:rPr>
              <w:t>41.1</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bCs/>
              </w:rPr>
            </w:pPr>
          </w:p>
          <w:p w:rsidR="00135D50" w:rsidRPr="002F17B5" w:rsidRDefault="00135D50" w:rsidP="00B54507">
            <w:pPr>
              <w:spacing w:after="0"/>
              <w:jc w:val="right"/>
              <w:rPr>
                <w:rFonts w:eastAsiaTheme="minorHAnsi"/>
              </w:rPr>
            </w:pPr>
            <w:r w:rsidRPr="002F17B5">
              <w:rPr>
                <w:bCs/>
                <w:sz w:val="22"/>
                <w:szCs w:val="22"/>
              </w:rPr>
              <w:t>43.1</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bCs/>
              </w:rPr>
            </w:pPr>
          </w:p>
          <w:p w:rsidR="00135D50" w:rsidRPr="002F17B5" w:rsidRDefault="00AE2646" w:rsidP="00B54507">
            <w:pPr>
              <w:spacing w:after="0"/>
              <w:jc w:val="right"/>
              <w:rPr>
                <w:rFonts w:eastAsiaTheme="minorHAnsi"/>
              </w:rPr>
            </w:pPr>
            <w:r w:rsidRPr="002F17B5">
              <w:rPr>
                <w:bCs/>
                <w:sz w:val="22"/>
                <w:szCs w:val="22"/>
              </w:rPr>
              <w:t>80.6</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bCs/>
              </w:rPr>
            </w:pPr>
          </w:p>
          <w:p w:rsidR="00135D50" w:rsidRPr="002F17B5" w:rsidRDefault="00135D50" w:rsidP="00B54507">
            <w:pPr>
              <w:spacing w:after="0"/>
              <w:jc w:val="right"/>
              <w:rPr>
                <w:rFonts w:eastAsiaTheme="minorHAnsi"/>
              </w:rPr>
            </w:pPr>
            <w:r w:rsidRPr="002F17B5">
              <w:rPr>
                <w:bCs/>
                <w:sz w:val="22"/>
                <w:szCs w:val="22"/>
              </w:rPr>
              <w:t>102.0</w:t>
            </w:r>
          </w:p>
        </w:tc>
      </w:tr>
      <w:tr w:rsidR="00135D50" w:rsidRPr="002F17B5" w:rsidTr="00B54507">
        <w:trPr>
          <w:gridBefore w:val="1"/>
          <w:gridAfter w:val="1"/>
          <w:wBefore w:w="18" w:type="dxa"/>
          <w:wAfter w:w="16" w:type="dxa"/>
          <w:trHeight w:val="991"/>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bCs/>
                <w:u w:val="single"/>
              </w:rPr>
            </w:pPr>
            <w:r w:rsidRPr="002F17B5">
              <w:rPr>
                <w:bCs/>
                <w:sz w:val="22"/>
                <w:szCs w:val="22"/>
                <w:u w:val="single"/>
              </w:rPr>
              <w:t>Borrowings</w:t>
            </w:r>
          </w:p>
          <w:p w:rsidR="00135D50" w:rsidRPr="002F17B5" w:rsidRDefault="00135D50" w:rsidP="00B54507">
            <w:pPr>
              <w:spacing w:after="0"/>
              <w:jc w:val="left"/>
              <w:rPr>
                <w:bCs/>
                <w:u w:val="single"/>
              </w:rPr>
            </w:pPr>
            <w:r w:rsidRPr="002F17B5">
              <w:rPr>
                <w:sz w:val="22"/>
                <w:szCs w:val="22"/>
              </w:rPr>
              <w:t xml:space="preserve">Financial liabilities at amortised cost </w:t>
            </w:r>
            <w:r w:rsidRPr="002F17B5">
              <w:rPr>
                <w:bCs/>
                <w:sz w:val="22"/>
                <w:szCs w:val="22"/>
              </w:rPr>
              <w:t>(See Table 1 Note 2</w:t>
            </w:r>
            <w:r w:rsidR="00125764">
              <w:rPr>
                <w:bCs/>
                <w:sz w:val="22"/>
                <w:szCs w:val="22"/>
              </w:rPr>
              <w:t>6</w:t>
            </w:r>
            <w:r w:rsidRPr="002F17B5">
              <w:rPr>
                <w:bCs/>
                <w:sz w:val="22"/>
                <w:szCs w:val="22"/>
              </w:rPr>
              <w:t>)</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bCs/>
              </w:rPr>
            </w:pPr>
          </w:p>
          <w:p w:rsidR="00135D50" w:rsidRPr="002F17B5" w:rsidRDefault="00135D50" w:rsidP="00B54507">
            <w:pPr>
              <w:spacing w:after="0"/>
              <w:jc w:val="right"/>
              <w:rPr>
                <w:bCs/>
              </w:rPr>
            </w:pPr>
            <w:r w:rsidRPr="002F17B5">
              <w:rPr>
                <w:bCs/>
                <w:sz w:val="22"/>
                <w:szCs w:val="22"/>
              </w:rPr>
              <w:t>436.1</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bCs/>
              </w:rPr>
            </w:pPr>
          </w:p>
          <w:p w:rsidR="00135D50" w:rsidRPr="002F17B5" w:rsidRDefault="00AE2646" w:rsidP="00B54507">
            <w:pPr>
              <w:spacing w:after="0"/>
              <w:jc w:val="right"/>
              <w:rPr>
                <w:bCs/>
              </w:rPr>
            </w:pPr>
            <w:r w:rsidRPr="002F17B5">
              <w:rPr>
                <w:bCs/>
                <w:sz w:val="22"/>
                <w:szCs w:val="22"/>
              </w:rPr>
              <w:t>480.</w:t>
            </w:r>
            <w:r w:rsidR="00B94672">
              <w:rPr>
                <w:bCs/>
                <w:sz w:val="22"/>
                <w:szCs w:val="22"/>
              </w:rPr>
              <w:t>7</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bCs/>
              </w:rPr>
            </w:pPr>
          </w:p>
          <w:p w:rsidR="00135D50" w:rsidRPr="002F17B5" w:rsidRDefault="00135D50" w:rsidP="00B54507">
            <w:pPr>
              <w:spacing w:after="0"/>
              <w:jc w:val="right"/>
              <w:rPr>
                <w:bCs/>
              </w:rPr>
            </w:pPr>
            <w:r w:rsidRPr="002F17B5">
              <w:rPr>
                <w:bCs/>
                <w:sz w:val="22"/>
                <w:szCs w:val="22"/>
              </w:rPr>
              <w:t>384.0</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bCs/>
              </w:rPr>
            </w:pPr>
          </w:p>
          <w:p w:rsidR="00135D50" w:rsidRPr="002F17B5" w:rsidRDefault="00135D50" w:rsidP="00B54507">
            <w:pPr>
              <w:spacing w:after="0"/>
              <w:jc w:val="right"/>
              <w:rPr>
                <w:bCs/>
              </w:rPr>
            </w:pPr>
            <w:r w:rsidRPr="002F17B5">
              <w:rPr>
                <w:bCs/>
                <w:sz w:val="22"/>
                <w:szCs w:val="22"/>
              </w:rPr>
              <w:t>264.7</w:t>
            </w:r>
          </w:p>
        </w:tc>
      </w:tr>
      <w:tr w:rsidR="00135D50" w:rsidRPr="002F17B5" w:rsidTr="00B54507">
        <w:trPr>
          <w:gridBefore w:val="1"/>
          <w:gridAfter w:val="1"/>
          <w:wBefore w:w="18" w:type="dxa"/>
          <w:wAfter w:w="16" w:type="dxa"/>
          <w:trHeight w:val="285"/>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B54507">
            <w:pPr>
              <w:spacing w:after="0"/>
              <w:jc w:val="left"/>
              <w:rPr>
                <w:rFonts w:eastAsiaTheme="minorHAnsi"/>
                <w:bCs/>
                <w:u w:val="single"/>
              </w:rPr>
            </w:pPr>
            <w:r w:rsidRPr="002F17B5">
              <w:rPr>
                <w:sz w:val="22"/>
                <w:szCs w:val="22"/>
                <w:u w:val="single"/>
              </w:rPr>
              <w:t>Other Liabilities (PFI related)</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bCs/>
                <w:sz w:val="22"/>
                <w:szCs w:val="22"/>
              </w:rPr>
              <w:t> </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bCs/>
                <w:sz w:val="22"/>
                <w:szCs w:val="22"/>
              </w:rPr>
              <w:t> </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bCs/>
                <w:sz w:val="22"/>
                <w:szCs w:val="22"/>
              </w:rPr>
              <w:t> </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bCs/>
                <w:sz w:val="22"/>
                <w:szCs w:val="22"/>
              </w:rPr>
              <w:t> </w:t>
            </w:r>
          </w:p>
        </w:tc>
      </w:tr>
      <w:tr w:rsidR="00135D50" w:rsidRPr="002F17B5" w:rsidTr="00B54507">
        <w:trPr>
          <w:gridBefore w:val="1"/>
          <w:gridAfter w:val="1"/>
          <w:wBefore w:w="18" w:type="dxa"/>
          <w:wAfter w:w="16" w:type="dxa"/>
          <w:trHeight w:val="276"/>
          <w:jc w:val="center"/>
        </w:trPr>
        <w:tc>
          <w:tcPr>
            <w:tcW w:w="4689" w:type="dxa"/>
            <w:gridSpan w:val="2"/>
            <w:shd w:val="clear" w:color="auto" w:fill="FFFFFF" w:themeFill="background1"/>
            <w:tcMar>
              <w:top w:w="0" w:type="dxa"/>
              <w:left w:w="108" w:type="dxa"/>
              <w:bottom w:w="0" w:type="dxa"/>
              <w:right w:w="108" w:type="dxa"/>
            </w:tcMar>
            <w:hideMark/>
          </w:tcPr>
          <w:p w:rsidR="00135D50" w:rsidRPr="002F17B5" w:rsidRDefault="00135D50" w:rsidP="00125764">
            <w:pPr>
              <w:spacing w:after="0"/>
              <w:jc w:val="left"/>
              <w:rPr>
                <w:rFonts w:eastAsiaTheme="minorHAnsi"/>
              </w:rPr>
            </w:pPr>
            <w:r w:rsidRPr="002F17B5">
              <w:rPr>
                <w:sz w:val="22"/>
                <w:szCs w:val="22"/>
              </w:rPr>
              <w:t xml:space="preserve">Financial liabilities at amortised cost </w:t>
            </w:r>
            <w:r w:rsidRPr="002F17B5">
              <w:rPr>
                <w:bCs/>
                <w:sz w:val="22"/>
                <w:szCs w:val="22"/>
              </w:rPr>
              <w:t>(See Table 1 Note 2</w:t>
            </w:r>
            <w:r w:rsidR="00125764">
              <w:rPr>
                <w:bCs/>
                <w:sz w:val="22"/>
                <w:szCs w:val="22"/>
              </w:rPr>
              <w:t>6</w:t>
            </w:r>
            <w:r w:rsidRPr="002F17B5">
              <w:rPr>
                <w:bCs/>
                <w:sz w:val="22"/>
                <w:szCs w:val="22"/>
              </w:rPr>
              <w:t>)</w:t>
            </w:r>
          </w:p>
        </w:tc>
        <w:tc>
          <w:tcPr>
            <w:tcW w:w="1318"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395.4</w:t>
            </w:r>
          </w:p>
        </w:tc>
        <w:tc>
          <w:tcPr>
            <w:tcW w:w="1559"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402.9</w:t>
            </w:r>
          </w:p>
        </w:tc>
        <w:tc>
          <w:tcPr>
            <w:tcW w:w="1622"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7.5</w:t>
            </w:r>
          </w:p>
        </w:tc>
        <w:tc>
          <w:tcPr>
            <w:tcW w:w="1386" w:type="dxa"/>
            <w:shd w:val="clear" w:color="auto" w:fill="FFFFFF" w:themeFill="background1"/>
            <w:tcMar>
              <w:top w:w="0" w:type="dxa"/>
              <w:left w:w="108" w:type="dxa"/>
              <w:bottom w:w="0" w:type="dxa"/>
              <w:right w:w="108" w:type="dxa"/>
            </w:tcMar>
            <w:hideMark/>
          </w:tcPr>
          <w:p w:rsidR="00135D50" w:rsidRPr="002F17B5" w:rsidRDefault="00135D50" w:rsidP="00B54507">
            <w:pPr>
              <w:spacing w:after="0"/>
              <w:jc w:val="right"/>
              <w:rPr>
                <w:rFonts w:eastAsiaTheme="minorHAnsi"/>
              </w:rPr>
            </w:pPr>
            <w:r w:rsidRPr="002F17B5">
              <w:rPr>
                <w:sz w:val="22"/>
                <w:szCs w:val="22"/>
              </w:rPr>
              <w:t>7.6</w:t>
            </w:r>
          </w:p>
        </w:tc>
      </w:tr>
      <w:tr w:rsidR="00135D50" w:rsidRPr="002F17B5" w:rsidTr="00B54507">
        <w:trPr>
          <w:gridBefore w:val="1"/>
          <w:gridAfter w:val="1"/>
          <w:wBefore w:w="18" w:type="dxa"/>
          <w:wAfter w:w="16" w:type="dxa"/>
          <w:trHeight w:val="285"/>
          <w:jc w:val="center"/>
        </w:trPr>
        <w:tc>
          <w:tcPr>
            <w:tcW w:w="4689" w:type="dxa"/>
            <w:gridSpan w:val="2"/>
            <w:shd w:val="clear" w:color="auto" w:fill="FFFFFF" w:themeFill="background1"/>
            <w:tcMar>
              <w:top w:w="0" w:type="dxa"/>
              <w:left w:w="108" w:type="dxa"/>
              <w:bottom w:w="0" w:type="dxa"/>
              <w:right w:w="108" w:type="dxa"/>
            </w:tcMar>
            <w:vAlign w:val="center"/>
            <w:hideMark/>
          </w:tcPr>
          <w:p w:rsidR="00135D50" w:rsidRPr="002F17B5" w:rsidRDefault="00135D50" w:rsidP="00B54507">
            <w:pPr>
              <w:spacing w:after="0"/>
              <w:jc w:val="left"/>
              <w:rPr>
                <w:bCs/>
                <w:u w:val="single"/>
              </w:rPr>
            </w:pPr>
            <w:r w:rsidRPr="002F17B5">
              <w:rPr>
                <w:bCs/>
                <w:sz w:val="22"/>
                <w:szCs w:val="22"/>
                <w:u w:val="single"/>
              </w:rPr>
              <w:t xml:space="preserve">Creditors </w:t>
            </w:r>
          </w:p>
          <w:p w:rsidR="00135D50" w:rsidRPr="002F17B5" w:rsidRDefault="00135D50" w:rsidP="00B54507">
            <w:pPr>
              <w:spacing w:after="0"/>
              <w:jc w:val="left"/>
              <w:rPr>
                <w:rFonts w:eastAsiaTheme="minorHAnsi"/>
                <w:bCs/>
              </w:rPr>
            </w:pPr>
            <w:r w:rsidRPr="002F17B5">
              <w:rPr>
                <w:sz w:val="22"/>
                <w:szCs w:val="22"/>
              </w:rPr>
              <w:t>Financial liabilities at amortised cost</w:t>
            </w:r>
          </w:p>
        </w:tc>
        <w:tc>
          <w:tcPr>
            <w:tcW w:w="1318" w:type="dxa"/>
            <w:shd w:val="clear" w:color="auto" w:fill="FFFFFF" w:themeFill="background1"/>
            <w:tcMar>
              <w:top w:w="0" w:type="dxa"/>
              <w:left w:w="108" w:type="dxa"/>
              <w:bottom w:w="0" w:type="dxa"/>
              <w:right w:w="108" w:type="dxa"/>
            </w:tcMar>
            <w:vAlign w:val="center"/>
            <w:hideMark/>
          </w:tcPr>
          <w:p w:rsidR="00135D50" w:rsidRPr="002F17B5" w:rsidRDefault="00135D50" w:rsidP="00B54507">
            <w:pPr>
              <w:spacing w:after="0"/>
              <w:jc w:val="right"/>
              <w:rPr>
                <w:rFonts w:eastAsiaTheme="minorHAnsi"/>
                <w:bCs/>
              </w:rPr>
            </w:pPr>
            <w:r w:rsidRPr="002F17B5">
              <w:rPr>
                <w:bCs/>
                <w:sz w:val="22"/>
                <w:szCs w:val="22"/>
              </w:rPr>
              <w:t>-</w:t>
            </w:r>
          </w:p>
        </w:tc>
        <w:tc>
          <w:tcPr>
            <w:tcW w:w="1559" w:type="dxa"/>
            <w:shd w:val="clear" w:color="auto" w:fill="FFFFFF" w:themeFill="background1"/>
            <w:tcMar>
              <w:top w:w="0" w:type="dxa"/>
              <w:left w:w="108" w:type="dxa"/>
              <w:bottom w:w="0" w:type="dxa"/>
              <w:right w:w="108" w:type="dxa"/>
            </w:tcMar>
            <w:vAlign w:val="center"/>
            <w:hideMark/>
          </w:tcPr>
          <w:p w:rsidR="00135D50" w:rsidRPr="002F17B5" w:rsidRDefault="00135D50" w:rsidP="00B54507">
            <w:pPr>
              <w:spacing w:after="0"/>
              <w:jc w:val="right"/>
              <w:rPr>
                <w:rFonts w:eastAsiaTheme="minorHAnsi"/>
                <w:bCs/>
              </w:rPr>
            </w:pPr>
            <w:r w:rsidRPr="002F17B5">
              <w:rPr>
                <w:bCs/>
                <w:sz w:val="22"/>
                <w:szCs w:val="22"/>
              </w:rPr>
              <w:t>-</w:t>
            </w:r>
          </w:p>
        </w:tc>
        <w:tc>
          <w:tcPr>
            <w:tcW w:w="1622" w:type="dxa"/>
            <w:shd w:val="clear" w:color="auto" w:fill="FFFFFF" w:themeFill="background1"/>
            <w:tcMar>
              <w:top w:w="0" w:type="dxa"/>
              <w:left w:w="108" w:type="dxa"/>
              <w:bottom w:w="0" w:type="dxa"/>
              <w:right w:w="108" w:type="dxa"/>
            </w:tcMar>
            <w:vAlign w:val="center"/>
            <w:hideMark/>
          </w:tcPr>
          <w:p w:rsidR="00135D50" w:rsidRPr="002F17B5" w:rsidRDefault="00AE2646" w:rsidP="00B54507">
            <w:pPr>
              <w:spacing w:after="0"/>
              <w:jc w:val="right"/>
              <w:rPr>
                <w:rFonts w:eastAsiaTheme="minorHAnsi"/>
                <w:bCs/>
              </w:rPr>
            </w:pPr>
            <w:r w:rsidRPr="002F17B5">
              <w:rPr>
                <w:rFonts w:eastAsiaTheme="minorHAnsi"/>
                <w:bCs/>
                <w:sz w:val="22"/>
                <w:szCs w:val="22"/>
              </w:rPr>
              <w:t>1</w:t>
            </w:r>
            <w:r w:rsidR="00B95A1C">
              <w:rPr>
                <w:rFonts w:eastAsiaTheme="minorHAnsi"/>
                <w:bCs/>
                <w:sz w:val="22"/>
                <w:szCs w:val="22"/>
              </w:rPr>
              <w:t>66.4</w:t>
            </w:r>
          </w:p>
        </w:tc>
        <w:tc>
          <w:tcPr>
            <w:tcW w:w="1386" w:type="dxa"/>
            <w:shd w:val="clear" w:color="auto" w:fill="FFFFFF" w:themeFill="background1"/>
            <w:tcMar>
              <w:top w:w="0" w:type="dxa"/>
              <w:left w:w="108" w:type="dxa"/>
              <w:bottom w:w="0" w:type="dxa"/>
              <w:right w:w="108" w:type="dxa"/>
            </w:tcMar>
            <w:vAlign w:val="center"/>
            <w:hideMark/>
          </w:tcPr>
          <w:p w:rsidR="00135D50" w:rsidRPr="002F17B5" w:rsidRDefault="00135D50" w:rsidP="00B54507">
            <w:pPr>
              <w:spacing w:after="0"/>
              <w:jc w:val="right"/>
              <w:rPr>
                <w:rFonts w:eastAsiaTheme="minorHAnsi"/>
                <w:bCs/>
              </w:rPr>
            </w:pPr>
            <w:r w:rsidRPr="002F17B5">
              <w:rPr>
                <w:rFonts w:eastAsiaTheme="minorHAnsi"/>
                <w:bCs/>
                <w:sz w:val="22"/>
                <w:szCs w:val="22"/>
              </w:rPr>
              <w:t>218.2</w:t>
            </w:r>
          </w:p>
        </w:tc>
      </w:tr>
      <w:tr w:rsidR="00B13246" w:rsidRPr="002F17B5" w:rsidTr="00B54507">
        <w:trPr>
          <w:gridBefore w:val="1"/>
          <w:gridAfter w:val="1"/>
          <w:wBefore w:w="18" w:type="dxa"/>
          <w:wAfter w:w="16" w:type="dxa"/>
          <w:trHeight w:val="285"/>
          <w:jc w:val="center"/>
        </w:trPr>
        <w:tc>
          <w:tcPr>
            <w:tcW w:w="4689" w:type="dxa"/>
            <w:gridSpan w:val="2"/>
            <w:shd w:val="clear" w:color="auto" w:fill="FFFFFF" w:themeFill="background1"/>
            <w:tcMar>
              <w:top w:w="0" w:type="dxa"/>
              <w:left w:w="108" w:type="dxa"/>
              <w:bottom w:w="0" w:type="dxa"/>
              <w:right w:w="108" w:type="dxa"/>
            </w:tcMar>
            <w:vAlign w:val="center"/>
          </w:tcPr>
          <w:p w:rsidR="00B13246" w:rsidRDefault="00B13246" w:rsidP="00B54507">
            <w:pPr>
              <w:spacing w:after="0"/>
              <w:jc w:val="left"/>
              <w:rPr>
                <w:bCs/>
                <w:sz w:val="22"/>
                <w:szCs w:val="22"/>
                <w:u w:val="single"/>
              </w:rPr>
            </w:pPr>
          </w:p>
          <w:p w:rsidR="00B13246" w:rsidRDefault="00B13246" w:rsidP="00B54507">
            <w:pPr>
              <w:spacing w:after="0"/>
              <w:jc w:val="left"/>
              <w:rPr>
                <w:bCs/>
                <w:sz w:val="22"/>
                <w:szCs w:val="22"/>
                <w:u w:val="single"/>
              </w:rPr>
            </w:pPr>
          </w:p>
          <w:p w:rsidR="00B13246" w:rsidRPr="002F17B5" w:rsidRDefault="00B13246" w:rsidP="00B54507">
            <w:pPr>
              <w:spacing w:after="0"/>
              <w:jc w:val="left"/>
              <w:rPr>
                <w:bCs/>
                <w:sz w:val="22"/>
                <w:szCs w:val="22"/>
                <w:u w:val="single"/>
              </w:rPr>
            </w:pPr>
          </w:p>
        </w:tc>
        <w:tc>
          <w:tcPr>
            <w:tcW w:w="1318" w:type="dxa"/>
            <w:shd w:val="clear" w:color="auto" w:fill="FFFFFF" w:themeFill="background1"/>
            <w:tcMar>
              <w:top w:w="0" w:type="dxa"/>
              <w:left w:w="108" w:type="dxa"/>
              <w:bottom w:w="0" w:type="dxa"/>
              <w:right w:w="108" w:type="dxa"/>
            </w:tcMar>
            <w:vAlign w:val="center"/>
          </w:tcPr>
          <w:p w:rsidR="00B13246" w:rsidRPr="002F17B5" w:rsidRDefault="00B13246" w:rsidP="00B54507">
            <w:pPr>
              <w:spacing w:after="0"/>
              <w:jc w:val="right"/>
              <w:rPr>
                <w:bCs/>
                <w:sz w:val="22"/>
                <w:szCs w:val="22"/>
              </w:rPr>
            </w:pPr>
          </w:p>
        </w:tc>
        <w:tc>
          <w:tcPr>
            <w:tcW w:w="1559" w:type="dxa"/>
            <w:shd w:val="clear" w:color="auto" w:fill="FFFFFF" w:themeFill="background1"/>
            <w:tcMar>
              <w:top w:w="0" w:type="dxa"/>
              <w:left w:w="108" w:type="dxa"/>
              <w:bottom w:w="0" w:type="dxa"/>
              <w:right w:w="108" w:type="dxa"/>
            </w:tcMar>
            <w:vAlign w:val="center"/>
          </w:tcPr>
          <w:p w:rsidR="00B13246" w:rsidRPr="002F17B5" w:rsidRDefault="00B13246" w:rsidP="00B54507">
            <w:pPr>
              <w:spacing w:after="0"/>
              <w:jc w:val="right"/>
              <w:rPr>
                <w:bCs/>
                <w:sz w:val="22"/>
                <w:szCs w:val="22"/>
              </w:rPr>
            </w:pPr>
          </w:p>
        </w:tc>
        <w:tc>
          <w:tcPr>
            <w:tcW w:w="1622" w:type="dxa"/>
            <w:shd w:val="clear" w:color="auto" w:fill="FFFFFF" w:themeFill="background1"/>
            <w:tcMar>
              <w:top w:w="0" w:type="dxa"/>
              <w:left w:w="108" w:type="dxa"/>
              <w:bottom w:w="0" w:type="dxa"/>
              <w:right w:w="108" w:type="dxa"/>
            </w:tcMar>
            <w:vAlign w:val="center"/>
          </w:tcPr>
          <w:p w:rsidR="00B13246" w:rsidRPr="002F17B5" w:rsidRDefault="00B13246" w:rsidP="00B54507">
            <w:pPr>
              <w:spacing w:after="0"/>
              <w:jc w:val="right"/>
              <w:rPr>
                <w:rFonts w:eastAsiaTheme="minorHAnsi"/>
                <w:bCs/>
                <w:sz w:val="22"/>
                <w:szCs w:val="22"/>
              </w:rPr>
            </w:pPr>
          </w:p>
        </w:tc>
        <w:tc>
          <w:tcPr>
            <w:tcW w:w="1386" w:type="dxa"/>
            <w:shd w:val="clear" w:color="auto" w:fill="FFFFFF" w:themeFill="background1"/>
            <w:tcMar>
              <w:top w:w="0" w:type="dxa"/>
              <w:left w:w="108" w:type="dxa"/>
              <w:bottom w:w="0" w:type="dxa"/>
              <w:right w:w="108" w:type="dxa"/>
            </w:tcMar>
            <w:vAlign w:val="center"/>
          </w:tcPr>
          <w:p w:rsidR="00B13246" w:rsidRPr="002F17B5" w:rsidRDefault="00B13246" w:rsidP="00B54507">
            <w:pPr>
              <w:spacing w:after="0"/>
              <w:jc w:val="right"/>
              <w:rPr>
                <w:rFonts w:eastAsiaTheme="minorHAnsi"/>
                <w:bCs/>
                <w:sz w:val="22"/>
                <w:szCs w:val="22"/>
              </w:rPr>
            </w:pPr>
          </w:p>
        </w:tc>
      </w:tr>
    </w:tbl>
    <w:p w:rsidR="00C470C1" w:rsidRPr="002F17B5" w:rsidRDefault="00286D86" w:rsidP="00522C31">
      <w:pPr>
        <w:pStyle w:val="Heading3-numbered"/>
        <w:ind w:hanging="644"/>
        <w:rPr>
          <w:i w:val="0"/>
          <w:color w:val="FF0000"/>
        </w:rPr>
      </w:pPr>
      <w:r w:rsidRPr="002F17B5">
        <w:rPr>
          <w:i w:val="0"/>
        </w:rPr>
        <w:lastRenderedPageBreak/>
        <w:t xml:space="preserve">Income, Expense, Gains and Losses on Financial Instruments </w:t>
      </w:r>
    </w:p>
    <w:p w:rsidR="00B70B4B" w:rsidRPr="002F17B5" w:rsidRDefault="0024700B">
      <w:pPr>
        <w:tabs>
          <w:tab w:val="num" w:pos="0"/>
        </w:tabs>
        <w:spacing w:after="240"/>
        <w:ind w:hanging="11"/>
      </w:pPr>
      <w:r w:rsidRPr="002F17B5">
        <w:t xml:space="preserve">The gains and losses during </w:t>
      </w:r>
      <w:r w:rsidR="00CD4CF3" w:rsidRPr="002F17B5">
        <w:t>2013/14</w:t>
      </w:r>
      <w:r w:rsidRPr="002F17B5">
        <w:t xml:space="preserve"> on financial instruments, which have been recognised in the Comprehensive Income and Expenditure Statement, are as shown in the following table:</w:t>
      </w:r>
    </w:p>
    <w:tbl>
      <w:tblPr>
        <w:tblW w:w="11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63"/>
        <w:gridCol w:w="709"/>
        <w:gridCol w:w="850"/>
        <w:gridCol w:w="851"/>
        <w:gridCol w:w="31"/>
        <w:gridCol w:w="888"/>
        <w:gridCol w:w="993"/>
        <w:gridCol w:w="850"/>
        <w:gridCol w:w="992"/>
        <w:gridCol w:w="851"/>
        <w:gridCol w:w="29"/>
        <w:gridCol w:w="963"/>
      </w:tblGrid>
      <w:tr w:rsidR="00135D50" w:rsidRPr="002F17B5" w:rsidTr="00637F7A">
        <w:trPr>
          <w:trHeight w:val="362"/>
          <w:jc w:val="center"/>
        </w:trPr>
        <w:tc>
          <w:tcPr>
            <w:tcW w:w="2122" w:type="dxa"/>
            <w:shd w:val="clear" w:color="auto" w:fill="FFFFFF" w:themeFill="background1"/>
            <w:noWrap/>
            <w:vAlign w:val="bottom"/>
            <w:hideMark/>
          </w:tcPr>
          <w:p w:rsidR="00135D50" w:rsidRPr="002F17B5" w:rsidRDefault="00135D50" w:rsidP="00F265DF"/>
        </w:tc>
        <w:tc>
          <w:tcPr>
            <w:tcW w:w="4292" w:type="dxa"/>
            <w:gridSpan w:val="6"/>
            <w:shd w:val="clear" w:color="auto" w:fill="FFFFFF" w:themeFill="background1"/>
            <w:noWrap/>
            <w:vAlign w:val="center"/>
            <w:hideMark/>
          </w:tcPr>
          <w:p w:rsidR="00135D50" w:rsidRPr="002F17B5" w:rsidRDefault="00135D50" w:rsidP="00F265DF">
            <w:pPr>
              <w:jc w:val="center"/>
              <w:rPr>
                <w:b/>
                <w:bCs/>
              </w:rPr>
            </w:pPr>
            <w:r w:rsidRPr="002F17B5">
              <w:rPr>
                <w:b/>
                <w:bCs/>
                <w:sz w:val="22"/>
                <w:szCs w:val="22"/>
              </w:rPr>
              <w:t>2013/14</w:t>
            </w:r>
          </w:p>
        </w:tc>
        <w:tc>
          <w:tcPr>
            <w:tcW w:w="4678" w:type="dxa"/>
            <w:gridSpan w:val="6"/>
            <w:shd w:val="clear" w:color="auto" w:fill="FFFFFF" w:themeFill="background1"/>
            <w:noWrap/>
            <w:vAlign w:val="center"/>
            <w:hideMark/>
          </w:tcPr>
          <w:p w:rsidR="00135D50" w:rsidRPr="002F17B5" w:rsidRDefault="00135D50" w:rsidP="00F265DF">
            <w:pPr>
              <w:jc w:val="center"/>
              <w:rPr>
                <w:b/>
                <w:bCs/>
              </w:rPr>
            </w:pPr>
            <w:r w:rsidRPr="002F17B5">
              <w:rPr>
                <w:b/>
                <w:bCs/>
                <w:sz w:val="22"/>
                <w:szCs w:val="22"/>
              </w:rPr>
              <w:t>2012/13</w:t>
            </w:r>
          </w:p>
        </w:tc>
      </w:tr>
      <w:tr w:rsidR="00135D50" w:rsidRPr="002F17B5" w:rsidTr="00637F7A">
        <w:trPr>
          <w:trHeight w:val="2728"/>
          <w:jc w:val="center"/>
        </w:trPr>
        <w:tc>
          <w:tcPr>
            <w:tcW w:w="2122" w:type="dxa"/>
            <w:tcBorders>
              <w:bottom w:val="single" w:sz="4" w:space="0" w:color="auto"/>
            </w:tcBorders>
            <w:shd w:val="clear" w:color="auto" w:fill="FFFFFF" w:themeFill="background1"/>
            <w:noWrap/>
            <w:vAlign w:val="bottom"/>
            <w:hideMark/>
          </w:tcPr>
          <w:p w:rsidR="00135D50" w:rsidRPr="002F17B5" w:rsidRDefault="00135D50" w:rsidP="00F265DF"/>
        </w:tc>
        <w:tc>
          <w:tcPr>
            <w:tcW w:w="963" w:type="dxa"/>
            <w:tcBorders>
              <w:bottom w:val="single" w:sz="4" w:space="0" w:color="auto"/>
            </w:tcBorders>
            <w:shd w:val="clear" w:color="auto" w:fill="FFFFFF" w:themeFill="background1"/>
            <w:textDirection w:val="btLr"/>
            <w:vAlign w:val="bottom"/>
            <w:hideMark/>
          </w:tcPr>
          <w:p w:rsidR="00135D50" w:rsidRPr="002F17B5" w:rsidRDefault="00135D50" w:rsidP="00D65BD0">
            <w:pPr>
              <w:jc w:val="center"/>
              <w:rPr>
                <w:rFonts w:cs="Arial"/>
                <w:sz w:val="20"/>
                <w:szCs w:val="20"/>
              </w:rPr>
            </w:pPr>
            <w:r w:rsidRPr="002F17B5">
              <w:rPr>
                <w:rFonts w:cs="Arial"/>
                <w:sz w:val="20"/>
                <w:szCs w:val="20"/>
              </w:rPr>
              <w:t>Financial Liabilities at Amortised Cost</w:t>
            </w:r>
          </w:p>
        </w:tc>
        <w:tc>
          <w:tcPr>
            <w:tcW w:w="709" w:type="dxa"/>
            <w:tcBorders>
              <w:bottom w:val="single" w:sz="4" w:space="0" w:color="auto"/>
            </w:tcBorders>
            <w:shd w:val="clear" w:color="auto" w:fill="FFFFFF" w:themeFill="background1"/>
            <w:textDirection w:val="btLr"/>
            <w:vAlign w:val="bottom"/>
            <w:hideMark/>
          </w:tcPr>
          <w:p w:rsidR="00135D50" w:rsidRPr="002F17B5" w:rsidRDefault="00135D50" w:rsidP="00F265DF">
            <w:pPr>
              <w:jc w:val="center"/>
              <w:rPr>
                <w:rFonts w:cs="Arial"/>
                <w:sz w:val="20"/>
                <w:szCs w:val="20"/>
              </w:rPr>
            </w:pPr>
            <w:r w:rsidRPr="002F17B5">
              <w:rPr>
                <w:rFonts w:cs="Arial"/>
                <w:sz w:val="20"/>
                <w:szCs w:val="20"/>
              </w:rPr>
              <w:t>Financial Assets: Loans &amp; Receivables</w:t>
            </w:r>
          </w:p>
        </w:tc>
        <w:tc>
          <w:tcPr>
            <w:tcW w:w="850" w:type="dxa"/>
            <w:tcBorders>
              <w:bottom w:val="single" w:sz="4" w:space="0" w:color="auto"/>
            </w:tcBorders>
            <w:shd w:val="clear" w:color="auto" w:fill="FFFFFF" w:themeFill="background1"/>
            <w:textDirection w:val="btLr"/>
            <w:vAlign w:val="bottom"/>
            <w:hideMark/>
          </w:tcPr>
          <w:p w:rsidR="00135D50" w:rsidRPr="002F17B5" w:rsidRDefault="00135D50" w:rsidP="00F265DF">
            <w:pPr>
              <w:jc w:val="center"/>
              <w:rPr>
                <w:rFonts w:cs="Arial"/>
                <w:sz w:val="20"/>
                <w:szCs w:val="20"/>
              </w:rPr>
            </w:pPr>
            <w:r w:rsidRPr="002F17B5">
              <w:rPr>
                <w:rFonts w:cs="Arial"/>
                <w:sz w:val="20"/>
                <w:szCs w:val="20"/>
              </w:rPr>
              <w:t>Financial Assets: Available for Sale</w:t>
            </w:r>
          </w:p>
        </w:tc>
        <w:tc>
          <w:tcPr>
            <w:tcW w:w="882" w:type="dxa"/>
            <w:gridSpan w:val="2"/>
            <w:tcBorders>
              <w:bottom w:val="single" w:sz="4" w:space="0" w:color="auto"/>
            </w:tcBorders>
            <w:shd w:val="clear" w:color="auto" w:fill="FFFFFF" w:themeFill="background1"/>
            <w:textDirection w:val="btLr"/>
            <w:vAlign w:val="bottom"/>
            <w:hideMark/>
          </w:tcPr>
          <w:p w:rsidR="00135D50" w:rsidRPr="002F17B5" w:rsidRDefault="00135D50" w:rsidP="00F265DF">
            <w:pPr>
              <w:jc w:val="center"/>
              <w:rPr>
                <w:rFonts w:cs="Arial"/>
                <w:sz w:val="20"/>
                <w:szCs w:val="20"/>
              </w:rPr>
            </w:pPr>
            <w:r w:rsidRPr="002F17B5">
              <w:rPr>
                <w:rFonts w:cs="Arial"/>
                <w:sz w:val="20"/>
                <w:szCs w:val="20"/>
              </w:rPr>
              <w:t>Assets and Liabilities at Fair Value through Profit &amp; Loss</w:t>
            </w:r>
          </w:p>
        </w:tc>
        <w:tc>
          <w:tcPr>
            <w:tcW w:w="888" w:type="dxa"/>
            <w:tcBorders>
              <w:bottom w:val="single" w:sz="4" w:space="0" w:color="auto"/>
            </w:tcBorders>
            <w:shd w:val="clear" w:color="auto" w:fill="FFFFFF" w:themeFill="background1"/>
            <w:textDirection w:val="btLr"/>
            <w:vAlign w:val="bottom"/>
            <w:hideMark/>
          </w:tcPr>
          <w:p w:rsidR="00135D50" w:rsidRPr="002F17B5" w:rsidRDefault="00135D50" w:rsidP="00F265DF">
            <w:pPr>
              <w:jc w:val="left"/>
              <w:rPr>
                <w:rFonts w:cs="Arial"/>
                <w:b/>
                <w:bCs/>
                <w:sz w:val="20"/>
                <w:szCs w:val="20"/>
              </w:rPr>
            </w:pPr>
            <w:r w:rsidRPr="002F17B5">
              <w:rPr>
                <w:rFonts w:cs="Arial"/>
                <w:b/>
                <w:bCs/>
                <w:sz w:val="20"/>
                <w:szCs w:val="20"/>
              </w:rPr>
              <w:t>Total</w:t>
            </w:r>
          </w:p>
        </w:tc>
        <w:tc>
          <w:tcPr>
            <w:tcW w:w="993" w:type="dxa"/>
            <w:tcBorders>
              <w:bottom w:val="single" w:sz="4" w:space="0" w:color="auto"/>
            </w:tcBorders>
            <w:shd w:val="clear" w:color="auto" w:fill="FFFFFF" w:themeFill="background1"/>
            <w:textDirection w:val="btLr"/>
            <w:vAlign w:val="bottom"/>
            <w:hideMark/>
          </w:tcPr>
          <w:p w:rsidR="00135D50" w:rsidRPr="002F17B5" w:rsidRDefault="00135D50" w:rsidP="00D65BD0">
            <w:pPr>
              <w:jc w:val="center"/>
              <w:rPr>
                <w:rFonts w:cs="Arial"/>
                <w:sz w:val="20"/>
                <w:szCs w:val="20"/>
              </w:rPr>
            </w:pPr>
            <w:r w:rsidRPr="002F17B5">
              <w:rPr>
                <w:rFonts w:cs="Arial"/>
                <w:sz w:val="20"/>
                <w:szCs w:val="20"/>
              </w:rPr>
              <w:t>Financial Liabilities at Amortised Cost</w:t>
            </w:r>
          </w:p>
        </w:tc>
        <w:tc>
          <w:tcPr>
            <w:tcW w:w="850" w:type="dxa"/>
            <w:tcBorders>
              <w:bottom w:val="single" w:sz="4" w:space="0" w:color="auto"/>
            </w:tcBorders>
            <w:shd w:val="clear" w:color="auto" w:fill="FFFFFF" w:themeFill="background1"/>
            <w:textDirection w:val="btLr"/>
            <w:vAlign w:val="bottom"/>
            <w:hideMark/>
          </w:tcPr>
          <w:p w:rsidR="00135D50" w:rsidRPr="002F17B5" w:rsidRDefault="00135D50" w:rsidP="00F265DF">
            <w:pPr>
              <w:jc w:val="center"/>
              <w:rPr>
                <w:rFonts w:cs="Arial"/>
                <w:sz w:val="20"/>
                <w:szCs w:val="20"/>
              </w:rPr>
            </w:pPr>
            <w:r w:rsidRPr="002F17B5">
              <w:rPr>
                <w:rFonts w:cs="Arial"/>
                <w:sz w:val="20"/>
                <w:szCs w:val="20"/>
              </w:rPr>
              <w:t>Financial Assets: Loans &amp; Receivables</w:t>
            </w:r>
          </w:p>
        </w:tc>
        <w:tc>
          <w:tcPr>
            <w:tcW w:w="992" w:type="dxa"/>
            <w:tcBorders>
              <w:bottom w:val="single" w:sz="4" w:space="0" w:color="auto"/>
            </w:tcBorders>
            <w:shd w:val="clear" w:color="auto" w:fill="FFFFFF" w:themeFill="background1"/>
            <w:textDirection w:val="btLr"/>
            <w:vAlign w:val="bottom"/>
            <w:hideMark/>
          </w:tcPr>
          <w:p w:rsidR="00135D50" w:rsidRPr="002F17B5" w:rsidRDefault="00135D50" w:rsidP="00F265DF">
            <w:pPr>
              <w:jc w:val="center"/>
              <w:rPr>
                <w:rFonts w:cs="Arial"/>
                <w:sz w:val="20"/>
                <w:szCs w:val="20"/>
              </w:rPr>
            </w:pPr>
            <w:r w:rsidRPr="002F17B5">
              <w:rPr>
                <w:rFonts w:cs="Arial"/>
                <w:sz w:val="20"/>
                <w:szCs w:val="20"/>
              </w:rPr>
              <w:t>Financial Assets: Available for Sale</w:t>
            </w:r>
          </w:p>
        </w:tc>
        <w:tc>
          <w:tcPr>
            <w:tcW w:w="880" w:type="dxa"/>
            <w:gridSpan w:val="2"/>
            <w:tcBorders>
              <w:bottom w:val="single" w:sz="4" w:space="0" w:color="auto"/>
            </w:tcBorders>
            <w:shd w:val="clear" w:color="auto" w:fill="FFFFFF" w:themeFill="background1"/>
            <w:textDirection w:val="btLr"/>
            <w:vAlign w:val="bottom"/>
            <w:hideMark/>
          </w:tcPr>
          <w:p w:rsidR="00135D50" w:rsidRPr="002F17B5" w:rsidRDefault="00135D50" w:rsidP="00F265DF">
            <w:pPr>
              <w:jc w:val="center"/>
              <w:rPr>
                <w:rFonts w:cs="Arial"/>
                <w:sz w:val="20"/>
                <w:szCs w:val="20"/>
              </w:rPr>
            </w:pPr>
            <w:r w:rsidRPr="002F17B5">
              <w:rPr>
                <w:rFonts w:cs="Arial"/>
                <w:sz w:val="20"/>
                <w:szCs w:val="20"/>
              </w:rPr>
              <w:t>Assets and Liabilities at Fair Value through Profit &amp; Loss</w:t>
            </w:r>
          </w:p>
        </w:tc>
        <w:tc>
          <w:tcPr>
            <w:tcW w:w="963" w:type="dxa"/>
            <w:tcBorders>
              <w:bottom w:val="single" w:sz="4" w:space="0" w:color="auto"/>
            </w:tcBorders>
            <w:shd w:val="clear" w:color="auto" w:fill="FFFFFF" w:themeFill="background1"/>
            <w:textDirection w:val="btLr"/>
            <w:vAlign w:val="bottom"/>
            <w:hideMark/>
          </w:tcPr>
          <w:p w:rsidR="00135D50" w:rsidRPr="002F17B5" w:rsidRDefault="00135D50" w:rsidP="00F265DF">
            <w:pPr>
              <w:rPr>
                <w:rFonts w:cs="Arial"/>
                <w:b/>
                <w:bCs/>
                <w:sz w:val="20"/>
                <w:szCs w:val="20"/>
              </w:rPr>
            </w:pPr>
            <w:r w:rsidRPr="002F17B5">
              <w:rPr>
                <w:rFonts w:cs="Arial"/>
                <w:b/>
                <w:bCs/>
                <w:sz w:val="20"/>
                <w:szCs w:val="20"/>
              </w:rPr>
              <w:t>Total</w:t>
            </w:r>
          </w:p>
        </w:tc>
      </w:tr>
      <w:tr w:rsidR="00635EBB" w:rsidRPr="002F17B5" w:rsidTr="00637F7A">
        <w:trPr>
          <w:trHeight w:val="301"/>
          <w:jc w:val="center"/>
        </w:trPr>
        <w:tc>
          <w:tcPr>
            <w:tcW w:w="2122" w:type="dxa"/>
            <w:tcBorders>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p>
        </w:tc>
        <w:tc>
          <w:tcPr>
            <w:tcW w:w="963" w:type="dxa"/>
            <w:tcBorders>
              <w:bottom w:val="nil"/>
            </w:tcBorders>
            <w:shd w:val="clear" w:color="auto" w:fill="FFFFFF" w:themeFill="background1"/>
            <w:noWrap/>
            <w:vAlign w:val="bottom"/>
            <w:hideMark/>
          </w:tcPr>
          <w:p w:rsidR="00635EBB" w:rsidRPr="00630928" w:rsidRDefault="00635EBB" w:rsidP="00630928">
            <w:pPr>
              <w:jc w:val="center"/>
              <w:rPr>
                <w:rFonts w:ascii="Arial Narrow" w:hAnsi="Arial Narrow"/>
                <w:b/>
              </w:rPr>
            </w:pPr>
            <w:r w:rsidRPr="00630928">
              <w:rPr>
                <w:rFonts w:ascii="Arial Narrow" w:hAnsi="Arial Narrow"/>
                <w:b/>
                <w:sz w:val="22"/>
                <w:szCs w:val="22"/>
              </w:rPr>
              <w:t>£m</w:t>
            </w:r>
          </w:p>
        </w:tc>
        <w:tc>
          <w:tcPr>
            <w:tcW w:w="709" w:type="dxa"/>
            <w:tcBorders>
              <w:bottom w:val="nil"/>
            </w:tcBorders>
            <w:shd w:val="clear" w:color="auto" w:fill="FFFFFF" w:themeFill="background1"/>
            <w:noWrap/>
            <w:hideMark/>
          </w:tcPr>
          <w:p w:rsidR="00635EBB" w:rsidRPr="00630928" w:rsidRDefault="00635EBB" w:rsidP="00630928">
            <w:pPr>
              <w:jc w:val="center"/>
              <w:rPr>
                <w:rFonts w:ascii="Arial Narrow" w:hAnsi="Arial Narrow"/>
                <w:b/>
              </w:rPr>
            </w:pPr>
            <w:r w:rsidRPr="00630928">
              <w:rPr>
                <w:rFonts w:ascii="Arial Narrow" w:hAnsi="Arial Narrow"/>
                <w:b/>
                <w:sz w:val="22"/>
                <w:szCs w:val="22"/>
              </w:rPr>
              <w:t>£m</w:t>
            </w:r>
          </w:p>
        </w:tc>
        <w:tc>
          <w:tcPr>
            <w:tcW w:w="850" w:type="dxa"/>
            <w:tcBorders>
              <w:bottom w:val="nil"/>
            </w:tcBorders>
            <w:shd w:val="clear" w:color="auto" w:fill="FFFFFF" w:themeFill="background1"/>
            <w:noWrap/>
            <w:hideMark/>
          </w:tcPr>
          <w:p w:rsidR="00635EBB" w:rsidRPr="00630928" w:rsidRDefault="00635EBB" w:rsidP="00630928">
            <w:pPr>
              <w:jc w:val="center"/>
              <w:rPr>
                <w:rFonts w:ascii="Arial Narrow" w:hAnsi="Arial Narrow"/>
                <w:b/>
              </w:rPr>
            </w:pPr>
            <w:r w:rsidRPr="00630928">
              <w:rPr>
                <w:rFonts w:ascii="Arial Narrow" w:hAnsi="Arial Narrow"/>
                <w:b/>
                <w:sz w:val="22"/>
                <w:szCs w:val="22"/>
              </w:rPr>
              <w:t>£m</w:t>
            </w:r>
          </w:p>
        </w:tc>
        <w:tc>
          <w:tcPr>
            <w:tcW w:w="851" w:type="dxa"/>
            <w:tcBorders>
              <w:bottom w:val="nil"/>
            </w:tcBorders>
            <w:shd w:val="clear" w:color="auto" w:fill="FFFFFF" w:themeFill="background1"/>
            <w:noWrap/>
            <w:hideMark/>
          </w:tcPr>
          <w:p w:rsidR="00635EBB" w:rsidRPr="00630928" w:rsidRDefault="00635EBB" w:rsidP="00630928">
            <w:pPr>
              <w:jc w:val="center"/>
              <w:rPr>
                <w:rFonts w:ascii="Arial Narrow" w:hAnsi="Arial Narrow"/>
                <w:b/>
              </w:rPr>
            </w:pPr>
            <w:r w:rsidRPr="00630928">
              <w:rPr>
                <w:rFonts w:ascii="Arial Narrow" w:hAnsi="Arial Narrow"/>
                <w:b/>
                <w:sz w:val="22"/>
                <w:szCs w:val="22"/>
              </w:rPr>
              <w:t>£m</w:t>
            </w:r>
          </w:p>
        </w:tc>
        <w:tc>
          <w:tcPr>
            <w:tcW w:w="919" w:type="dxa"/>
            <w:gridSpan w:val="2"/>
            <w:tcBorders>
              <w:bottom w:val="nil"/>
            </w:tcBorders>
            <w:shd w:val="clear" w:color="auto" w:fill="FFFFFF" w:themeFill="background1"/>
            <w:noWrap/>
            <w:hideMark/>
          </w:tcPr>
          <w:p w:rsidR="00635EBB" w:rsidRPr="00630928" w:rsidRDefault="00635EBB" w:rsidP="00630928">
            <w:pPr>
              <w:keepNext/>
              <w:keepLines/>
              <w:spacing w:before="60"/>
              <w:jc w:val="center"/>
              <w:outlineLvl w:val="2"/>
              <w:rPr>
                <w:rFonts w:ascii="Arial Narrow" w:hAnsi="Arial Narrow"/>
                <w:b/>
              </w:rPr>
            </w:pPr>
            <w:r w:rsidRPr="00630928">
              <w:rPr>
                <w:rFonts w:ascii="Arial Narrow" w:hAnsi="Arial Narrow"/>
                <w:b/>
                <w:sz w:val="22"/>
                <w:szCs w:val="22"/>
              </w:rPr>
              <w:t>£m</w:t>
            </w:r>
          </w:p>
        </w:tc>
        <w:tc>
          <w:tcPr>
            <w:tcW w:w="993" w:type="dxa"/>
            <w:tcBorders>
              <w:bottom w:val="nil"/>
            </w:tcBorders>
            <w:shd w:val="clear" w:color="auto" w:fill="FFFFFF" w:themeFill="background1"/>
            <w:noWrap/>
            <w:hideMark/>
          </w:tcPr>
          <w:p w:rsidR="00635EBB" w:rsidRPr="00630928" w:rsidRDefault="00635EBB" w:rsidP="00630928">
            <w:pPr>
              <w:jc w:val="center"/>
              <w:rPr>
                <w:rFonts w:ascii="Arial Narrow" w:hAnsi="Arial Narrow"/>
                <w:b/>
              </w:rPr>
            </w:pPr>
            <w:r w:rsidRPr="00630928">
              <w:rPr>
                <w:rFonts w:ascii="Arial Narrow" w:hAnsi="Arial Narrow"/>
                <w:b/>
                <w:sz w:val="22"/>
                <w:szCs w:val="22"/>
              </w:rPr>
              <w:t>£m</w:t>
            </w:r>
          </w:p>
        </w:tc>
        <w:tc>
          <w:tcPr>
            <w:tcW w:w="850" w:type="dxa"/>
            <w:tcBorders>
              <w:bottom w:val="nil"/>
            </w:tcBorders>
            <w:shd w:val="clear" w:color="auto" w:fill="FFFFFF" w:themeFill="background1"/>
            <w:noWrap/>
            <w:hideMark/>
          </w:tcPr>
          <w:p w:rsidR="00635EBB" w:rsidRPr="00630928" w:rsidRDefault="00635EBB" w:rsidP="00630928">
            <w:pPr>
              <w:jc w:val="center"/>
              <w:rPr>
                <w:rFonts w:ascii="Arial Narrow" w:hAnsi="Arial Narrow"/>
                <w:b/>
              </w:rPr>
            </w:pPr>
            <w:r w:rsidRPr="00630928">
              <w:rPr>
                <w:rFonts w:ascii="Arial Narrow" w:hAnsi="Arial Narrow"/>
                <w:b/>
                <w:sz w:val="22"/>
                <w:szCs w:val="22"/>
              </w:rPr>
              <w:t>£m</w:t>
            </w:r>
          </w:p>
        </w:tc>
        <w:tc>
          <w:tcPr>
            <w:tcW w:w="992" w:type="dxa"/>
            <w:tcBorders>
              <w:bottom w:val="nil"/>
            </w:tcBorders>
            <w:shd w:val="clear" w:color="auto" w:fill="FFFFFF" w:themeFill="background1"/>
            <w:noWrap/>
            <w:hideMark/>
          </w:tcPr>
          <w:p w:rsidR="00635EBB" w:rsidRPr="00630928" w:rsidRDefault="00635EBB" w:rsidP="00630928">
            <w:pPr>
              <w:jc w:val="center"/>
              <w:rPr>
                <w:rFonts w:ascii="Arial Narrow" w:hAnsi="Arial Narrow"/>
                <w:b/>
              </w:rPr>
            </w:pPr>
            <w:r w:rsidRPr="00630928">
              <w:rPr>
                <w:rFonts w:ascii="Arial Narrow" w:hAnsi="Arial Narrow"/>
                <w:b/>
                <w:sz w:val="22"/>
                <w:szCs w:val="22"/>
              </w:rPr>
              <w:t>£m</w:t>
            </w:r>
          </w:p>
        </w:tc>
        <w:tc>
          <w:tcPr>
            <w:tcW w:w="851" w:type="dxa"/>
            <w:tcBorders>
              <w:bottom w:val="nil"/>
            </w:tcBorders>
            <w:shd w:val="clear" w:color="auto" w:fill="FFFFFF" w:themeFill="background1"/>
            <w:noWrap/>
            <w:hideMark/>
          </w:tcPr>
          <w:p w:rsidR="00635EBB" w:rsidRPr="00630928" w:rsidRDefault="00635EBB" w:rsidP="00630928">
            <w:pPr>
              <w:jc w:val="center"/>
              <w:rPr>
                <w:rFonts w:ascii="Arial Narrow" w:hAnsi="Arial Narrow"/>
                <w:b/>
              </w:rPr>
            </w:pPr>
            <w:r w:rsidRPr="00630928">
              <w:rPr>
                <w:rFonts w:ascii="Arial Narrow" w:hAnsi="Arial Narrow"/>
                <w:b/>
                <w:sz w:val="22"/>
                <w:szCs w:val="22"/>
              </w:rPr>
              <w:t>£m</w:t>
            </w:r>
          </w:p>
        </w:tc>
        <w:tc>
          <w:tcPr>
            <w:tcW w:w="992" w:type="dxa"/>
            <w:gridSpan w:val="2"/>
            <w:tcBorders>
              <w:bottom w:val="nil"/>
            </w:tcBorders>
            <w:shd w:val="clear" w:color="auto" w:fill="FFFFFF" w:themeFill="background1"/>
            <w:noWrap/>
            <w:hideMark/>
          </w:tcPr>
          <w:p w:rsidR="00635EBB" w:rsidRPr="00630928" w:rsidRDefault="00635EBB" w:rsidP="00630928">
            <w:pPr>
              <w:keepNext/>
              <w:keepLines/>
              <w:spacing w:before="60"/>
              <w:jc w:val="center"/>
              <w:outlineLvl w:val="2"/>
              <w:rPr>
                <w:rFonts w:ascii="Arial Narrow" w:hAnsi="Arial Narrow"/>
                <w:b/>
              </w:rPr>
            </w:pPr>
            <w:r w:rsidRPr="00630928">
              <w:rPr>
                <w:rFonts w:ascii="Arial Narrow" w:hAnsi="Arial Narrow"/>
                <w:b/>
                <w:sz w:val="22"/>
                <w:szCs w:val="22"/>
              </w:rPr>
              <w:t>£m</w:t>
            </w:r>
          </w:p>
        </w:tc>
      </w:tr>
      <w:tr w:rsidR="00635EBB" w:rsidRPr="002F17B5" w:rsidTr="00637F7A">
        <w:trPr>
          <w:trHeight w:val="301"/>
          <w:jc w:val="center"/>
        </w:trPr>
        <w:tc>
          <w:tcPr>
            <w:tcW w:w="2122" w:type="dxa"/>
            <w:tcBorders>
              <w:top w:val="nil"/>
              <w:bottom w:val="nil"/>
            </w:tcBorders>
            <w:shd w:val="clear" w:color="auto" w:fill="FFFFFF" w:themeFill="background1"/>
            <w:noWrap/>
            <w:vAlign w:val="bottom"/>
          </w:tcPr>
          <w:p w:rsidR="00635EBB" w:rsidRPr="002F17B5" w:rsidRDefault="00635EBB" w:rsidP="00635EBB">
            <w:pPr>
              <w:jc w:val="left"/>
              <w:rPr>
                <w:rFonts w:ascii="Arial Narrow" w:hAnsi="Arial Narrow"/>
                <w:sz w:val="22"/>
                <w:szCs w:val="22"/>
              </w:rPr>
            </w:pPr>
            <w:r w:rsidRPr="002F17B5">
              <w:rPr>
                <w:rFonts w:ascii="Arial Narrow" w:hAnsi="Arial Narrow"/>
                <w:sz w:val="22"/>
                <w:szCs w:val="22"/>
              </w:rPr>
              <w:t>Interest Expense</w:t>
            </w:r>
          </w:p>
        </w:tc>
        <w:tc>
          <w:tcPr>
            <w:tcW w:w="963" w:type="dxa"/>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63.3</w:t>
            </w:r>
          </w:p>
        </w:tc>
        <w:tc>
          <w:tcPr>
            <w:tcW w:w="709" w:type="dxa"/>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 -</w:t>
            </w:r>
          </w:p>
        </w:tc>
        <w:tc>
          <w:tcPr>
            <w:tcW w:w="850" w:type="dxa"/>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 </w:t>
            </w:r>
          </w:p>
        </w:tc>
        <w:tc>
          <w:tcPr>
            <w:tcW w:w="919" w:type="dxa"/>
            <w:gridSpan w:val="2"/>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63.3</w:t>
            </w:r>
          </w:p>
        </w:tc>
        <w:tc>
          <w:tcPr>
            <w:tcW w:w="993" w:type="dxa"/>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70.9</w:t>
            </w:r>
          </w:p>
        </w:tc>
        <w:tc>
          <w:tcPr>
            <w:tcW w:w="850" w:type="dxa"/>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 -</w:t>
            </w:r>
          </w:p>
        </w:tc>
        <w:tc>
          <w:tcPr>
            <w:tcW w:w="992" w:type="dxa"/>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 </w:t>
            </w:r>
          </w:p>
        </w:tc>
        <w:tc>
          <w:tcPr>
            <w:tcW w:w="992" w:type="dxa"/>
            <w:gridSpan w:val="2"/>
            <w:tcBorders>
              <w:top w:val="nil"/>
              <w:bottom w:val="nil"/>
            </w:tcBorders>
            <w:shd w:val="clear" w:color="auto" w:fill="FFFFFF" w:themeFill="background1"/>
            <w:noWrap/>
            <w:vAlign w:val="bottom"/>
          </w:tcPr>
          <w:p w:rsidR="00635EBB" w:rsidRPr="002F17B5" w:rsidRDefault="00635EBB" w:rsidP="00635EBB">
            <w:pPr>
              <w:jc w:val="right"/>
              <w:rPr>
                <w:rFonts w:ascii="Arial Narrow" w:hAnsi="Arial Narrow"/>
                <w:sz w:val="22"/>
                <w:szCs w:val="22"/>
              </w:rPr>
            </w:pPr>
            <w:r w:rsidRPr="002F17B5">
              <w:rPr>
                <w:rFonts w:ascii="Arial Narrow" w:hAnsi="Arial Narrow"/>
                <w:sz w:val="22"/>
                <w:szCs w:val="22"/>
              </w:rPr>
              <w:t>70.9</w:t>
            </w:r>
          </w:p>
        </w:tc>
      </w:tr>
      <w:tr w:rsidR="00635EBB" w:rsidRPr="002F17B5" w:rsidTr="00637F7A">
        <w:trPr>
          <w:trHeight w:val="301"/>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r w:rsidRPr="002F17B5">
              <w:rPr>
                <w:rFonts w:ascii="Arial Narrow" w:hAnsi="Arial Narrow"/>
                <w:sz w:val="22"/>
                <w:szCs w:val="22"/>
              </w:rPr>
              <w:t>Fee Expense</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0.4</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 -</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 </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0.4</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1.1</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 -</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 </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1.1</w:t>
            </w:r>
          </w:p>
        </w:tc>
      </w:tr>
      <w:tr w:rsidR="00635EBB" w:rsidRPr="002F17B5" w:rsidTr="00637F7A">
        <w:trPr>
          <w:trHeight w:val="677"/>
          <w:jc w:val="center"/>
        </w:trPr>
        <w:tc>
          <w:tcPr>
            <w:tcW w:w="2122" w:type="dxa"/>
            <w:tcBorders>
              <w:top w:val="nil"/>
              <w:bottom w:val="nil"/>
            </w:tcBorders>
            <w:shd w:val="clear" w:color="auto" w:fill="FFFFFF" w:themeFill="background1"/>
            <w:vAlign w:val="bottom"/>
            <w:hideMark/>
          </w:tcPr>
          <w:p w:rsidR="00635EBB" w:rsidRPr="002F17B5" w:rsidRDefault="00635EBB" w:rsidP="00635EBB">
            <w:pPr>
              <w:jc w:val="left"/>
              <w:rPr>
                <w:rFonts w:ascii="Arial Narrow" w:hAnsi="Arial Narrow"/>
                <w:b/>
                <w:bCs/>
              </w:rPr>
            </w:pPr>
            <w:r w:rsidRPr="002F17B5">
              <w:rPr>
                <w:rFonts w:ascii="Arial Narrow" w:hAnsi="Arial Narrow"/>
                <w:b/>
                <w:bCs/>
                <w:sz w:val="22"/>
                <w:szCs w:val="22"/>
              </w:rPr>
              <w:t>Total Expense in Surplus/Deficit on the Provision of Services</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63.7</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63.7</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72.0</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72.0</w:t>
            </w:r>
          </w:p>
        </w:tc>
      </w:tr>
      <w:tr w:rsidR="00635EBB" w:rsidRPr="002F17B5" w:rsidTr="00637F7A">
        <w:trPr>
          <w:trHeight w:val="618"/>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r w:rsidRPr="002F17B5">
              <w:rPr>
                <w:rFonts w:ascii="Arial Narrow" w:hAnsi="Arial Narrow"/>
                <w:sz w:val="22"/>
                <w:szCs w:val="22"/>
              </w:rPr>
              <w:t>Interest Income</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(5.7)</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(11.2)</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(1.8)</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(18.7)</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(8.8)</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(6.5)</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(15.3)</w:t>
            </w:r>
          </w:p>
        </w:tc>
      </w:tr>
      <w:tr w:rsidR="00635EBB" w:rsidRPr="002F17B5" w:rsidTr="00637F7A">
        <w:trPr>
          <w:trHeight w:val="288"/>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r w:rsidRPr="002F17B5">
              <w:rPr>
                <w:rFonts w:ascii="Arial Narrow" w:hAnsi="Arial Narrow"/>
                <w:sz w:val="22"/>
                <w:szCs w:val="22"/>
              </w:rPr>
              <w:t>Increases in fair value</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(0.2)</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(0.2)</w:t>
            </w:r>
          </w:p>
        </w:tc>
      </w:tr>
      <w:tr w:rsidR="00635EBB" w:rsidRPr="002F17B5" w:rsidTr="00637F7A">
        <w:trPr>
          <w:trHeight w:val="678"/>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r w:rsidRPr="002F17B5">
              <w:rPr>
                <w:rFonts w:ascii="Arial Narrow" w:hAnsi="Arial Narrow"/>
                <w:sz w:val="22"/>
                <w:szCs w:val="22"/>
              </w:rPr>
              <w:t>Decreases in fair value</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0.3</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0.3</w:t>
            </w:r>
          </w:p>
        </w:tc>
      </w:tr>
      <w:tr w:rsidR="00635EBB" w:rsidRPr="002F17B5" w:rsidTr="00637F7A">
        <w:trPr>
          <w:trHeight w:val="301"/>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r w:rsidRPr="002F17B5">
              <w:rPr>
                <w:rFonts w:ascii="Arial Narrow" w:hAnsi="Arial Narrow"/>
                <w:sz w:val="22"/>
                <w:szCs w:val="22"/>
              </w:rPr>
              <w:t xml:space="preserve">Gains on </w:t>
            </w:r>
            <w:proofErr w:type="spellStart"/>
            <w:r w:rsidRPr="002F17B5">
              <w:rPr>
                <w:rFonts w:ascii="Arial Narrow" w:hAnsi="Arial Narrow"/>
                <w:sz w:val="22"/>
                <w:szCs w:val="22"/>
              </w:rPr>
              <w:t>derecognition</w:t>
            </w:r>
            <w:proofErr w:type="spellEnd"/>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(2.</w:t>
            </w:r>
            <w:r>
              <w:rPr>
                <w:rFonts w:ascii="Arial Narrow" w:hAnsi="Arial Narrow"/>
                <w:sz w:val="22"/>
                <w:szCs w:val="22"/>
              </w:rPr>
              <w:t>2</w:t>
            </w: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(2.</w:t>
            </w:r>
            <w:r>
              <w:rPr>
                <w:rFonts w:ascii="Arial Narrow" w:hAnsi="Arial Narrow"/>
                <w:sz w:val="22"/>
                <w:szCs w:val="22"/>
              </w:rPr>
              <w:t>7</w:t>
            </w:r>
            <w:r w:rsidRPr="002F17B5">
              <w:rPr>
                <w:rFonts w:ascii="Arial Narrow" w:hAnsi="Arial Narrow"/>
                <w:sz w:val="22"/>
                <w:szCs w:val="22"/>
              </w:rPr>
              <w:t>)</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(4.9)</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(21.1)</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(21.1)</w:t>
            </w:r>
          </w:p>
        </w:tc>
      </w:tr>
      <w:tr w:rsidR="00635EBB" w:rsidRPr="002F17B5" w:rsidTr="00637F7A">
        <w:trPr>
          <w:trHeight w:val="301"/>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r w:rsidRPr="002F17B5">
              <w:rPr>
                <w:rFonts w:ascii="Arial Narrow" w:hAnsi="Arial Narrow"/>
                <w:sz w:val="22"/>
                <w:szCs w:val="22"/>
              </w:rPr>
              <w:t xml:space="preserve">Loss on </w:t>
            </w:r>
            <w:proofErr w:type="spellStart"/>
            <w:r w:rsidRPr="002F17B5">
              <w:rPr>
                <w:rFonts w:ascii="Arial Narrow" w:hAnsi="Arial Narrow"/>
                <w:sz w:val="22"/>
                <w:szCs w:val="22"/>
              </w:rPr>
              <w:t>derecognition</w:t>
            </w:r>
            <w:proofErr w:type="spellEnd"/>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0.5</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3.6</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4.1</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8.2</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8.2</w:t>
            </w:r>
          </w:p>
        </w:tc>
      </w:tr>
      <w:tr w:rsidR="00635EBB" w:rsidRPr="002F17B5" w:rsidTr="00637F7A">
        <w:trPr>
          <w:trHeight w:val="981"/>
          <w:jc w:val="center"/>
        </w:trPr>
        <w:tc>
          <w:tcPr>
            <w:tcW w:w="2122" w:type="dxa"/>
            <w:tcBorders>
              <w:top w:val="nil"/>
              <w:bottom w:val="nil"/>
            </w:tcBorders>
            <w:shd w:val="clear" w:color="auto" w:fill="FFFFFF" w:themeFill="background1"/>
            <w:vAlign w:val="bottom"/>
            <w:hideMark/>
          </w:tcPr>
          <w:p w:rsidR="00635EBB" w:rsidRPr="002F17B5" w:rsidRDefault="00635EBB" w:rsidP="00635EBB">
            <w:pPr>
              <w:jc w:val="left"/>
              <w:rPr>
                <w:rFonts w:ascii="Arial Narrow" w:hAnsi="Arial Narrow"/>
                <w:b/>
                <w:bCs/>
              </w:rPr>
            </w:pPr>
            <w:r w:rsidRPr="002F17B5">
              <w:rPr>
                <w:rFonts w:ascii="Arial Narrow" w:hAnsi="Arial Narrow"/>
                <w:b/>
                <w:bCs/>
                <w:sz w:val="22"/>
                <w:szCs w:val="22"/>
              </w:rPr>
              <w:t>Total income in Surplus/Deficit on the Provision of Services</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(5.7)</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(12.</w:t>
            </w:r>
            <w:r>
              <w:rPr>
                <w:rFonts w:ascii="Arial Narrow" w:hAnsi="Arial Narrow"/>
                <w:b/>
                <w:sz w:val="22"/>
                <w:szCs w:val="22"/>
              </w:rPr>
              <w:t>9</w:t>
            </w:r>
            <w:r w:rsidRPr="002F17B5">
              <w:rPr>
                <w:rFonts w:ascii="Arial Narrow" w:hAnsi="Arial Narrow"/>
                <w:b/>
                <w:sz w:val="22"/>
                <w:szCs w:val="22"/>
              </w:rPr>
              <w:t>)</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r>
              <w:rPr>
                <w:rFonts w:ascii="Arial Narrow" w:hAnsi="Arial Narrow"/>
                <w:b/>
                <w:sz w:val="22"/>
                <w:szCs w:val="22"/>
              </w:rPr>
              <w:t>0.9</w:t>
            </w:r>
            <w:r w:rsidRPr="002F17B5">
              <w:rPr>
                <w:rFonts w:ascii="Arial Narrow" w:hAnsi="Arial Narrow"/>
                <w:b/>
                <w:sz w:val="22"/>
                <w:szCs w:val="22"/>
              </w:rPr>
              <w:t>)</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(19.5)</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(8.8)</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(6.5)</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(12.8)</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(28.1)</w:t>
            </w:r>
          </w:p>
        </w:tc>
      </w:tr>
      <w:tr w:rsidR="00635EBB" w:rsidRPr="002F17B5" w:rsidTr="00637F7A">
        <w:trPr>
          <w:trHeight w:val="242"/>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sz w:val="6"/>
                <w:szCs w:val="6"/>
              </w:rPr>
            </w:pP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sz w:val="6"/>
                <w:szCs w:val="6"/>
              </w:rPr>
            </w:pPr>
            <w:r w:rsidRPr="002F17B5">
              <w:rPr>
                <w:rFonts w:ascii="Arial Narrow" w:hAnsi="Arial Narrow"/>
                <w:sz w:val="6"/>
                <w:szCs w:val="6"/>
              </w:rPr>
              <w:t> </w:t>
            </w:r>
          </w:p>
        </w:tc>
      </w:tr>
      <w:tr w:rsidR="00635EBB" w:rsidRPr="002F17B5" w:rsidTr="00637F7A">
        <w:trPr>
          <w:trHeight w:val="301"/>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r w:rsidRPr="002F17B5">
              <w:rPr>
                <w:rFonts w:ascii="Arial Narrow" w:hAnsi="Arial Narrow"/>
                <w:sz w:val="22"/>
                <w:szCs w:val="22"/>
              </w:rPr>
              <w:t>Gains on revaluation</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hideMark/>
          </w:tcPr>
          <w:p w:rsidR="00635EBB" w:rsidRPr="002F17B5" w:rsidRDefault="00635EBB" w:rsidP="00635EBB">
            <w:pPr>
              <w:jc w:val="right"/>
              <w:rPr>
                <w:rFonts w:ascii="Arial Narrow" w:hAnsi="Arial Narrow"/>
              </w:rPr>
            </w:pPr>
            <w:r>
              <w:rPr>
                <w:rFonts w:ascii="Arial Narrow" w:hAnsi="Arial Narrow"/>
              </w:rPr>
              <w:t>-</w:t>
            </w:r>
          </w:p>
        </w:tc>
        <w:tc>
          <w:tcPr>
            <w:tcW w:w="851" w:type="dxa"/>
            <w:tcBorders>
              <w:top w:val="nil"/>
              <w:bottom w:val="nil"/>
            </w:tcBorders>
            <w:shd w:val="clear" w:color="auto" w:fill="FFFFFF" w:themeFill="background1"/>
            <w:noWrap/>
            <w:hideMark/>
          </w:tcPr>
          <w:p w:rsidR="00635EBB" w:rsidRPr="002F17B5" w:rsidRDefault="00635EBB" w:rsidP="00635EBB">
            <w:pPr>
              <w:jc w:val="right"/>
            </w:pPr>
            <w:r>
              <w:t>-</w:t>
            </w:r>
          </w:p>
        </w:tc>
        <w:tc>
          <w:tcPr>
            <w:tcW w:w="919" w:type="dxa"/>
            <w:gridSpan w:val="2"/>
            <w:tcBorders>
              <w:top w:val="nil"/>
              <w:bottom w:val="nil"/>
            </w:tcBorders>
            <w:shd w:val="clear" w:color="auto" w:fill="FFFFFF" w:themeFill="background1"/>
            <w:noWrap/>
            <w:hideMark/>
          </w:tcPr>
          <w:p w:rsidR="00635EBB" w:rsidRPr="002F17B5" w:rsidRDefault="00635EBB" w:rsidP="00635EBB">
            <w:pPr>
              <w:jc w:val="right"/>
              <w:rPr>
                <w:rFonts w:ascii="Arial Narrow" w:hAnsi="Arial Narrow"/>
              </w:rPr>
            </w:pPr>
            <w:r>
              <w:rPr>
                <w:rFonts w:ascii="Arial Narrow" w:hAnsi="Arial Narrow"/>
              </w:rPr>
              <w:t>-</w:t>
            </w:r>
          </w:p>
        </w:tc>
        <w:tc>
          <w:tcPr>
            <w:tcW w:w="993" w:type="dxa"/>
            <w:tcBorders>
              <w:top w:val="nil"/>
              <w:bottom w:val="nil"/>
            </w:tcBorders>
            <w:shd w:val="clear" w:color="auto" w:fill="FFFFFF" w:themeFill="background1"/>
            <w:noWrap/>
            <w:hideMark/>
          </w:tcPr>
          <w:p w:rsidR="00635EBB" w:rsidRPr="002F17B5" w:rsidRDefault="00635EBB" w:rsidP="00635EBB">
            <w:pPr>
              <w:jc w:val="right"/>
            </w:pPr>
            <w: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(1.1)</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(1.1)</w:t>
            </w:r>
          </w:p>
        </w:tc>
      </w:tr>
      <w:tr w:rsidR="00635EBB" w:rsidRPr="002F17B5" w:rsidTr="00637F7A">
        <w:trPr>
          <w:trHeight w:val="301"/>
          <w:jc w:val="center"/>
        </w:trPr>
        <w:tc>
          <w:tcPr>
            <w:tcW w:w="2122" w:type="dxa"/>
            <w:tcBorders>
              <w:top w:val="nil"/>
              <w:bottom w:val="nil"/>
            </w:tcBorders>
            <w:shd w:val="clear" w:color="auto" w:fill="FFFFFF" w:themeFill="background1"/>
            <w:noWrap/>
            <w:vAlign w:val="bottom"/>
            <w:hideMark/>
          </w:tcPr>
          <w:p w:rsidR="00635EBB" w:rsidRPr="002F17B5" w:rsidRDefault="00635EBB" w:rsidP="00635EBB">
            <w:pPr>
              <w:jc w:val="left"/>
              <w:rPr>
                <w:rFonts w:ascii="Arial Narrow" w:hAnsi="Arial Narrow"/>
              </w:rPr>
            </w:pPr>
            <w:r w:rsidRPr="002F17B5">
              <w:rPr>
                <w:rFonts w:ascii="Arial Narrow" w:hAnsi="Arial Narrow"/>
                <w:sz w:val="22"/>
                <w:szCs w:val="22"/>
              </w:rPr>
              <w:t>Losses on revaluation</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26.3</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26.3</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1.7</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rPr>
            </w:pPr>
            <w:r w:rsidRPr="002F17B5">
              <w:rPr>
                <w:rFonts w:ascii="Arial Narrow" w:hAnsi="Arial Narrow"/>
                <w:sz w:val="22"/>
                <w:szCs w:val="22"/>
              </w:rPr>
              <w:t>1.7</w:t>
            </w:r>
          </w:p>
        </w:tc>
      </w:tr>
      <w:tr w:rsidR="00635EBB" w:rsidRPr="002F17B5" w:rsidTr="00637F7A">
        <w:trPr>
          <w:trHeight w:val="1273"/>
          <w:jc w:val="center"/>
        </w:trPr>
        <w:tc>
          <w:tcPr>
            <w:tcW w:w="2122" w:type="dxa"/>
            <w:tcBorders>
              <w:top w:val="nil"/>
              <w:bottom w:val="nil"/>
            </w:tcBorders>
            <w:shd w:val="clear" w:color="auto" w:fill="FFFFFF" w:themeFill="background1"/>
            <w:vAlign w:val="bottom"/>
            <w:hideMark/>
          </w:tcPr>
          <w:p w:rsidR="00635EBB" w:rsidRPr="002F17B5" w:rsidRDefault="00635EBB" w:rsidP="00635EBB">
            <w:pPr>
              <w:jc w:val="left"/>
              <w:rPr>
                <w:rFonts w:ascii="Arial Narrow" w:hAnsi="Arial Narrow"/>
                <w:b/>
                <w:bCs/>
              </w:rPr>
            </w:pPr>
            <w:r w:rsidRPr="002F17B5">
              <w:rPr>
                <w:rFonts w:ascii="Arial Narrow" w:hAnsi="Arial Narrow"/>
                <w:b/>
                <w:bCs/>
                <w:sz w:val="22"/>
                <w:szCs w:val="22"/>
              </w:rPr>
              <w:t>Surplus/Deficit arising on revaluation of financial assets in Other Comprehensive Income &amp; Expenditure</w:t>
            </w:r>
          </w:p>
        </w:tc>
        <w:tc>
          <w:tcPr>
            <w:tcW w:w="96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709"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26.3</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919"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26.3</w:t>
            </w:r>
          </w:p>
        </w:tc>
        <w:tc>
          <w:tcPr>
            <w:tcW w:w="993"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 -</w:t>
            </w:r>
          </w:p>
        </w:tc>
        <w:tc>
          <w:tcPr>
            <w:tcW w:w="850"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992"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0.6</w:t>
            </w:r>
          </w:p>
        </w:tc>
        <w:tc>
          <w:tcPr>
            <w:tcW w:w="851" w:type="dxa"/>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w:t>
            </w:r>
          </w:p>
        </w:tc>
        <w:tc>
          <w:tcPr>
            <w:tcW w:w="992" w:type="dxa"/>
            <w:gridSpan w:val="2"/>
            <w:tcBorders>
              <w:top w:val="nil"/>
              <w:bottom w:val="nil"/>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0.6</w:t>
            </w:r>
          </w:p>
        </w:tc>
      </w:tr>
      <w:tr w:rsidR="00635EBB" w:rsidRPr="002F17B5" w:rsidTr="00637F7A">
        <w:trPr>
          <w:trHeight w:val="316"/>
          <w:jc w:val="center"/>
        </w:trPr>
        <w:tc>
          <w:tcPr>
            <w:tcW w:w="2122" w:type="dxa"/>
            <w:tcBorders>
              <w:top w:val="nil"/>
              <w:bottom w:val="single" w:sz="4" w:space="0" w:color="auto"/>
            </w:tcBorders>
            <w:shd w:val="clear" w:color="auto" w:fill="FFFFFF" w:themeFill="background1"/>
            <w:noWrap/>
            <w:vAlign w:val="bottom"/>
            <w:hideMark/>
          </w:tcPr>
          <w:p w:rsidR="00635EBB" w:rsidRPr="002F17B5" w:rsidRDefault="00635EBB" w:rsidP="00635EBB">
            <w:pPr>
              <w:jc w:val="left"/>
              <w:rPr>
                <w:rFonts w:ascii="Arial Narrow" w:hAnsi="Arial Narrow"/>
                <w:b/>
                <w:bCs/>
              </w:rPr>
            </w:pPr>
            <w:r w:rsidRPr="002F17B5">
              <w:rPr>
                <w:rFonts w:ascii="Arial Narrow" w:hAnsi="Arial Narrow"/>
                <w:b/>
                <w:bCs/>
                <w:sz w:val="22"/>
                <w:szCs w:val="22"/>
              </w:rPr>
              <w:t>Net (Gain)/Loss for the Year</w:t>
            </w:r>
          </w:p>
        </w:tc>
        <w:tc>
          <w:tcPr>
            <w:tcW w:w="963" w:type="dxa"/>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63.7</w:t>
            </w:r>
          </w:p>
        </w:tc>
        <w:tc>
          <w:tcPr>
            <w:tcW w:w="709" w:type="dxa"/>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(5.7)</w:t>
            </w:r>
          </w:p>
        </w:tc>
        <w:tc>
          <w:tcPr>
            <w:tcW w:w="850" w:type="dxa"/>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13.4</w:t>
            </w:r>
          </w:p>
        </w:tc>
        <w:tc>
          <w:tcPr>
            <w:tcW w:w="851" w:type="dxa"/>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(0.9)</w:t>
            </w:r>
          </w:p>
        </w:tc>
        <w:tc>
          <w:tcPr>
            <w:tcW w:w="919" w:type="dxa"/>
            <w:gridSpan w:val="2"/>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70.5</w:t>
            </w:r>
          </w:p>
        </w:tc>
        <w:tc>
          <w:tcPr>
            <w:tcW w:w="993" w:type="dxa"/>
            <w:tcBorders>
              <w:top w:val="nil"/>
              <w:bottom w:val="single" w:sz="4" w:space="0" w:color="auto"/>
            </w:tcBorders>
            <w:shd w:val="clear" w:color="auto" w:fill="FFFFFF" w:themeFill="background1"/>
            <w:noWrap/>
            <w:vAlign w:val="bottom"/>
            <w:hideMark/>
          </w:tcPr>
          <w:p w:rsidR="00635EBB" w:rsidRPr="002F17B5" w:rsidRDefault="00015CBD" w:rsidP="00635EBB">
            <w:pPr>
              <w:jc w:val="right"/>
              <w:rPr>
                <w:rFonts w:ascii="Arial Narrow" w:hAnsi="Arial Narrow"/>
                <w:b/>
              </w:rPr>
            </w:pPr>
            <w:r>
              <w:rPr>
                <w:rFonts w:ascii="Arial Narrow" w:hAnsi="Arial Narrow"/>
                <w:b/>
              </w:rPr>
              <w:t>72.0</w:t>
            </w:r>
          </w:p>
        </w:tc>
        <w:tc>
          <w:tcPr>
            <w:tcW w:w="850" w:type="dxa"/>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(8.8)</w:t>
            </w:r>
          </w:p>
        </w:tc>
        <w:tc>
          <w:tcPr>
            <w:tcW w:w="992" w:type="dxa"/>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(5.9)</w:t>
            </w:r>
          </w:p>
        </w:tc>
        <w:tc>
          <w:tcPr>
            <w:tcW w:w="851" w:type="dxa"/>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(12.8)</w:t>
            </w:r>
          </w:p>
        </w:tc>
        <w:tc>
          <w:tcPr>
            <w:tcW w:w="992" w:type="dxa"/>
            <w:gridSpan w:val="2"/>
            <w:tcBorders>
              <w:top w:val="nil"/>
              <w:bottom w:val="single" w:sz="4" w:space="0" w:color="auto"/>
            </w:tcBorders>
            <w:shd w:val="clear" w:color="auto" w:fill="FFFFFF" w:themeFill="background1"/>
            <w:noWrap/>
            <w:vAlign w:val="bottom"/>
            <w:hideMark/>
          </w:tcPr>
          <w:p w:rsidR="00635EBB" w:rsidRPr="002F17B5" w:rsidRDefault="00635EBB" w:rsidP="00635EBB">
            <w:pPr>
              <w:jc w:val="right"/>
              <w:rPr>
                <w:rFonts w:ascii="Arial Narrow" w:hAnsi="Arial Narrow"/>
                <w:b/>
              </w:rPr>
            </w:pPr>
            <w:r w:rsidRPr="002F17B5">
              <w:rPr>
                <w:rFonts w:ascii="Arial Narrow" w:hAnsi="Arial Narrow"/>
                <w:b/>
                <w:sz w:val="22"/>
                <w:szCs w:val="22"/>
              </w:rPr>
              <w:t>44.5</w:t>
            </w:r>
          </w:p>
        </w:tc>
      </w:tr>
    </w:tbl>
    <w:p w:rsidR="00C470C1" w:rsidRPr="002F17B5" w:rsidRDefault="00024017" w:rsidP="005855CE">
      <w:pPr>
        <w:pStyle w:val="Heading3-numbered"/>
        <w:rPr>
          <w:i w:val="0"/>
          <w:sz w:val="26"/>
        </w:rPr>
      </w:pPr>
      <w:r w:rsidRPr="002F17B5">
        <w:rPr>
          <w:i w:val="0"/>
          <w:sz w:val="26"/>
        </w:rPr>
        <w:lastRenderedPageBreak/>
        <w:t xml:space="preserve">  </w:t>
      </w:r>
      <w:r w:rsidR="000C0436" w:rsidRPr="002F17B5">
        <w:rPr>
          <w:i w:val="0"/>
          <w:sz w:val="26"/>
        </w:rPr>
        <w:t xml:space="preserve">Treatment of </w:t>
      </w:r>
      <w:r w:rsidR="00286D86" w:rsidRPr="002F17B5">
        <w:rPr>
          <w:i w:val="0"/>
          <w:sz w:val="26"/>
        </w:rPr>
        <w:t>Icelandic Deposit</w:t>
      </w:r>
      <w:r w:rsidR="000C0436" w:rsidRPr="002F17B5">
        <w:rPr>
          <w:i w:val="0"/>
          <w:sz w:val="26"/>
        </w:rPr>
        <w:t>s</w:t>
      </w:r>
    </w:p>
    <w:p w:rsidR="00473E49" w:rsidRPr="002F17B5" w:rsidRDefault="00473E49" w:rsidP="00C470C1">
      <w:pPr>
        <w:widowControl w:val="0"/>
        <w:tabs>
          <w:tab w:val="num" w:pos="0"/>
        </w:tabs>
        <w:suppressAutoHyphens/>
        <w:rPr>
          <w:sz w:val="2"/>
          <w:szCs w:val="22"/>
        </w:rPr>
      </w:pPr>
    </w:p>
    <w:p w:rsidR="00135D50" w:rsidRPr="002F17B5" w:rsidRDefault="00135D50" w:rsidP="00135D50">
      <w:pPr>
        <w:widowControl w:val="0"/>
        <w:tabs>
          <w:tab w:val="num" w:pos="0"/>
        </w:tabs>
        <w:suppressAutoHyphens/>
      </w:pPr>
      <w:r w:rsidRPr="002F17B5">
        <w:rPr>
          <w:szCs w:val="22"/>
        </w:rPr>
        <w:t xml:space="preserve">Lancashire County Council had £6.4m on deposit with the Icelandic Bank </w:t>
      </w:r>
      <w:proofErr w:type="spellStart"/>
      <w:r w:rsidRPr="002F17B5">
        <w:rPr>
          <w:szCs w:val="22"/>
        </w:rPr>
        <w:t>Landsbanki</w:t>
      </w:r>
      <w:proofErr w:type="spellEnd"/>
      <w:r w:rsidRPr="002F17B5">
        <w:rPr>
          <w:szCs w:val="22"/>
        </w:rPr>
        <w:t xml:space="preserve"> (LBI) when it collapsed in October 2008. </w:t>
      </w:r>
      <w:r w:rsidRPr="002F17B5">
        <w:t>The Winding up Board published details of LBI's financial position as at 31 December 2012; this showed that LBI's assets, including partial payments already made in respect of priority claims were greater than the sum of priority claims. It is therefore still considered likely that UK local authorities will recover 100% of their deposits, subject to potential future exchange rate fluctuations.  Approximately 53% of the total claim has now been repaid and the outstanding amount at 31 March 2014 is £3.1m.</w:t>
      </w:r>
      <w:r w:rsidR="00635EBB">
        <w:t xml:space="preserve"> (The total outstanding amount at 31 March 2013 was £3.4m)</w:t>
      </w:r>
    </w:p>
    <w:p w:rsidR="00135D50" w:rsidRPr="002F17B5" w:rsidRDefault="00135D50" w:rsidP="00135D50">
      <w:pPr>
        <w:widowControl w:val="0"/>
        <w:tabs>
          <w:tab w:val="num" w:pos="0"/>
        </w:tabs>
        <w:suppressAutoHyphens/>
        <w:rPr>
          <w:sz w:val="10"/>
        </w:rPr>
      </w:pPr>
    </w:p>
    <w:p w:rsidR="00135D50" w:rsidRPr="002F17B5" w:rsidRDefault="00135D50" w:rsidP="00135D50">
      <w:pPr>
        <w:widowControl w:val="0"/>
        <w:tabs>
          <w:tab w:val="num" w:pos="0"/>
        </w:tabs>
        <w:suppressAutoHyphens/>
      </w:pPr>
      <w:r w:rsidRPr="002F17B5">
        <w:t xml:space="preserve">The exact timing and amounts of future distributions is not known at this stage. </w:t>
      </w:r>
    </w:p>
    <w:p w:rsidR="00135D50" w:rsidRPr="002F17B5" w:rsidRDefault="00135D50" w:rsidP="00135D50">
      <w:pPr>
        <w:widowControl w:val="0"/>
        <w:tabs>
          <w:tab w:val="num" w:pos="0"/>
        </w:tabs>
        <w:suppressAutoHyphens/>
        <w:rPr>
          <w:sz w:val="12"/>
        </w:rPr>
      </w:pPr>
    </w:p>
    <w:p w:rsidR="00135D50" w:rsidRPr="002F17B5" w:rsidRDefault="00135D50" w:rsidP="00135D50">
      <w:pPr>
        <w:widowControl w:val="0"/>
        <w:tabs>
          <w:tab w:val="num" w:pos="0"/>
        </w:tabs>
        <w:suppressAutoHyphens/>
      </w:pPr>
      <w:r w:rsidRPr="002F17B5">
        <w:t>The deposit is treated as an asset on the balance sheet and the carrying value is written down as distributions are received.</w:t>
      </w:r>
    </w:p>
    <w:p w:rsidR="00C470C1" w:rsidRPr="002F17B5" w:rsidRDefault="00C470C1" w:rsidP="00C470C1">
      <w:pPr>
        <w:tabs>
          <w:tab w:val="num" w:pos="0"/>
        </w:tabs>
        <w:spacing w:after="240"/>
        <w:rPr>
          <w:sz w:val="22"/>
        </w:rPr>
      </w:pPr>
    </w:p>
    <w:p w:rsidR="00135D50" w:rsidRPr="002F17B5" w:rsidRDefault="00D41223" w:rsidP="00135D50">
      <w:pPr>
        <w:pStyle w:val="Heading3-numbered"/>
        <w:rPr>
          <w:i w:val="0"/>
          <w:sz w:val="26"/>
        </w:rPr>
      </w:pPr>
      <w:r w:rsidRPr="002F17B5">
        <w:rPr>
          <w:i w:val="0"/>
          <w:sz w:val="26"/>
        </w:rPr>
        <w:t xml:space="preserve">  </w:t>
      </w:r>
      <w:r w:rsidR="00135D50" w:rsidRPr="002F17B5">
        <w:rPr>
          <w:i w:val="0"/>
          <w:sz w:val="26"/>
        </w:rPr>
        <w:t>Fair Value of Financial Assets and Liabilities</w:t>
      </w:r>
    </w:p>
    <w:p w:rsidR="00135D50" w:rsidRPr="002F17B5" w:rsidRDefault="00135D50" w:rsidP="00135D50">
      <w:pPr>
        <w:pStyle w:val="Heading3-numbered"/>
        <w:numPr>
          <w:ilvl w:val="0"/>
          <w:numId w:val="0"/>
        </w:numPr>
        <w:ind w:left="360"/>
        <w:rPr>
          <w:sz w:val="2"/>
        </w:rPr>
      </w:pPr>
    </w:p>
    <w:p w:rsidR="00135D50" w:rsidRPr="002F17B5" w:rsidRDefault="00135D50" w:rsidP="00135D50">
      <w:pPr>
        <w:pStyle w:val="ListParagraph"/>
        <w:tabs>
          <w:tab w:val="num" w:pos="0"/>
        </w:tabs>
        <w:ind w:left="0"/>
      </w:pPr>
      <w:r w:rsidRPr="002F17B5">
        <w:t>Financial liabilities, financial assets represented by loans and receivables and long-term debtors and creditors are carried in the balance sheet at amortised cost. Their fair value can be</w:t>
      </w:r>
      <w:r w:rsidRPr="002F17B5">
        <w:rPr>
          <w:i/>
          <w:iCs/>
        </w:rPr>
        <w:t xml:space="preserve"> </w:t>
      </w:r>
      <w:r w:rsidRPr="002F17B5">
        <w:t xml:space="preserve">assessed by calculating the present value of the cash flows that will take place over the remaining term of the instruments, using the following assumptions; </w:t>
      </w:r>
    </w:p>
    <w:p w:rsidR="00135D50" w:rsidRPr="002F17B5" w:rsidRDefault="00135D50" w:rsidP="00135D50">
      <w:pPr>
        <w:pStyle w:val="ListParagraph"/>
        <w:tabs>
          <w:tab w:val="num" w:pos="0"/>
        </w:tabs>
        <w:ind w:left="0"/>
      </w:pPr>
    </w:p>
    <w:p w:rsidR="00135D50" w:rsidRPr="002F17B5" w:rsidRDefault="00135D50" w:rsidP="00D55D63">
      <w:pPr>
        <w:pStyle w:val="ListParagraph"/>
        <w:numPr>
          <w:ilvl w:val="0"/>
          <w:numId w:val="58"/>
        </w:numPr>
        <w:spacing w:after="80"/>
        <w:ind w:left="714" w:hanging="357"/>
      </w:pPr>
      <w:r w:rsidRPr="002F17B5">
        <w:t xml:space="preserve">Estimated ranges of interest rates at 31 March 2014 of 0.685% to 4.625% for loans from the PWLB and 0.35% to 3.8% for other loans receivable and payable based on new lending rates for equivalent loans at that date. </w:t>
      </w:r>
    </w:p>
    <w:p w:rsidR="00135D50" w:rsidRPr="002F17B5" w:rsidRDefault="00135D50" w:rsidP="00135D50">
      <w:pPr>
        <w:pStyle w:val="ListParagraph"/>
        <w:spacing w:after="80"/>
        <w:ind w:left="714"/>
        <w:rPr>
          <w:sz w:val="12"/>
        </w:rPr>
      </w:pPr>
    </w:p>
    <w:p w:rsidR="00135D50" w:rsidRPr="002F17B5" w:rsidRDefault="00135D50" w:rsidP="00D55D63">
      <w:pPr>
        <w:pStyle w:val="ListParagraph"/>
        <w:numPr>
          <w:ilvl w:val="0"/>
          <w:numId w:val="58"/>
        </w:numPr>
        <w:spacing w:after="80"/>
        <w:ind w:left="714" w:hanging="357"/>
      </w:pPr>
      <w:r w:rsidRPr="002F17B5">
        <w:t>No early repayment or impairment is recognised.</w:t>
      </w:r>
    </w:p>
    <w:p w:rsidR="00135D50" w:rsidRPr="002F17B5" w:rsidRDefault="00135D50" w:rsidP="00135D50">
      <w:pPr>
        <w:spacing w:after="80"/>
        <w:rPr>
          <w:sz w:val="2"/>
        </w:rPr>
      </w:pPr>
    </w:p>
    <w:p w:rsidR="00135D50" w:rsidRPr="002F17B5" w:rsidRDefault="00135D50" w:rsidP="00D55D63">
      <w:pPr>
        <w:pStyle w:val="ListParagraph"/>
        <w:numPr>
          <w:ilvl w:val="0"/>
          <w:numId w:val="58"/>
        </w:numPr>
        <w:spacing w:after="80"/>
        <w:ind w:left="714" w:hanging="357"/>
      </w:pPr>
      <w:r w:rsidRPr="002F17B5">
        <w:t xml:space="preserve">Where an instrument will mature in the next 12 months, carrying amount is assumed to approximate to fair value. </w:t>
      </w:r>
    </w:p>
    <w:p w:rsidR="00135D50" w:rsidRPr="002F17B5" w:rsidRDefault="00135D50" w:rsidP="00135D50">
      <w:pPr>
        <w:spacing w:after="80"/>
        <w:rPr>
          <w:sz w:val="4"/>
        </w:rPr>
      </w:pPr>
    </w:p>
    <w:p w:rsidR="00135D50" w:rsidRPr="002F17B5" w:rsidRDefault="00135D50" w:rsidP="00D55D63">
      <w:pPr>
        <w:pStyle w:val="ListParagraph"/>
        <w:numPr>
          <w:ilvl w:val="0"/>
          <w:numId w:val="58"/>
        </w:numPr>
        <w:spacing w:after="80"/>
        <w:ind w:left="714" w:hanging="357"/>
      </w:pPr>
      <w:r w:rsidRPr="002F17B5">
        <w:t>The fair value of trade and other receivables is taken to be the invoiced or billed amount.</w:t>
      </w:r>
    </w:p>
    <w:p w:rsidR="004B001A" w:rsidRPr="002F17B5" w:rsidRDefault="004B001A" w:rsidP="004B001A">
      <w:pPr>
        <w:pStyle w:val="ListParagraph"/>
      </w:pPr>
    </w:p>
    <w:p w:rsidR="00135D50" w:rsidRPr="002F17B5" w:rsidRDefault="004B001A" w:rsidP="000C6AF1">
      <w:pPr>
        <w:pStyle w:val="ListParagraph"/>
        <w:numPr>
          <w:ilvl w:val="0"/>
          <w:numId w:val="58"/>
        </w:numPr>
        <w:spacing w:after="80"/>
        <w:ind w:left="714" w:hanging="357"/>
        <w:rPr>
          <w:sz w:val="28"/>
        </w:rPr>
      </w:pPr>
      <w:r w:rsidRPr="002F17B5">
        <w:t xml:space="preserve">The fair value of PFI </w:t>
      </w:r>
      <w:r w:rsidR="000C6AF1" w:rsidRPr="002F17B5">
        <w:t>– using rates determined by the treasury based on a gilt zero coupon curve</w:t>
      </w:r>
    </w:p>
    <w:p w:rsidR="00135D50" w:rsidRPr="002F17B5" w:rsidRDefault="00135D50" w:rsidP="00135D50">
      <w:pPr>
        <w:pStyle w:val="ListParagraph"/>
        <w:tabs>
          <w:tab w:val="num" w:pos="0"/>
        </w:tabs>
        <w:ind w:left="0"/>
        <w:rPr>
          <w:sz w:val="16"/>
        </w:rPr>
      </w:pPr>
    </w:p>
    <w:p w:rsidR="00135D50" w:rsidRPr="002F17B5" w:rsidRDefault="00135D50" w:rsidP="00135D50">
      <w:pPr>
        <w:pStyle w:val="ListParagraph"/>
        <w:tabs>
          <w:tab w:val="num" w:pos="0"/>
        </w:tabs>
        <w:ind w:left="0"/>
      </w:pPr>
      <w:r w:rsidRPr="002F17B5">
        <w:t>The carrying values of the financial instruments can be seen in Note 2</w:t>
      </w:r>
      <w:r w:rsidR="00125764">
        <w:t>3</w:t>
      </w:r>
      <w:r w:rsidRPr="002F17B5">
        <w:t xml:space="preserve">. The tables below disclose the fair value of the financial instruments, except for the following:  </w:t>
      </w:r>
    </w:p>
    <w:p w:rsidR="00135D50" w:rsidRPr="002F17B5" w:rsidRDefault="00135D50" w:rsidP="00135D50">
      <w:pPr>
        <w:pStyle w:val="ListParagraph"/>
        <w:tabs>
          <w:tab w:val="num" w:pos="0"/>
        </w:tabs>
        <w:ind w:left="0"/>
      </w:pPr>
    </w:p>
    <w:p w:rsidR="00135D50" w:rsidRPr="00927A03" w:rsidRDefault="00135D50" w:rsidP="00630928">
      <w:pPr>
        <w:pStyle w:val="ListParagraph"/>
        <w:numPr>
          <w:ilvl w:val="0"/>
          <w:numId w:val="59"/>
        </w:numPr>
        <w:rPr>
          <w:sz w:val="12"/>
        </w:rPr>
      </w:pPr>
      <w:r w:rsidRPr="002F17B5">
        <w:t xml:space="preserve">short term debtors and creditors, as carrying value is reasonable approximation of fair value. </w:t>
      </w:r>
    </w:p>
    <w:p w:rsidR="00135D50" w:rsidRPr="002F17B5" w:rsidRDefault="00135D50" w:rsidP="00135D50">
      <w:pPr>
        <w:rPr>
          <w:sz w:val="2"/>
        </w:rPr>
      </w:pPr>
    </w:p>
    <w:p w:rsidR="00135D50" w:rsidRPr="002F17B5" w:rsidRDefault="00135D50" w:rsidP="00D55D63">
      <w:pPr>
        <w:pStyle w:val="ListParagraph"/>
        <w:numPr>
          <w:ilvl w:val="0"/>
          <w:numId w:val="59"/>
        </w:numPr>
        <w:ind w:right="57"/>
      </w:pPr>
      <w:r w:rsidRPr="002F17B5">
        <w:rPr>
          <w:rFonts w:cs="Arial"/>
        </w:rPr>
        <w:t>available for sale assets and assets and liabilities at fair value through profit or loss because these are carried in the balance sheet at their fair value. These fair values are based on public price quotations where there is an active market for the instrument</w:t>
      </w:r>
    </w:p>
    <w:p w:rsidR="00135D50" w:rsidRPr="002F17B5" w:rsidRDefault="00135D50" w:rsidP="00135D50">
      <w:pPr>
        <w:pStyle w:val="ListParagraph"/>
      </w:pPr>
    </w:p>
    <w:p w:rsidR="00135D50" w:rsidRPr="002F17B5" w:rsidRDefault="00635EBB" w:rsidP="00135D50">
      <w:pPr>
        <w:ind w:right="57"/>
        <w:rPr>
          <w:b/>
          <w:u w:val="single"/>
        </w:rPr>
      </w:pPr>
      <w:r>
        <w:rPr>
          <w:b/>
          <w:u w:val="single"/>
        </w:rPr>
        <w:lastRenderedPageBreak/>
        <w:t>Table 1</w:t>
      </w:r>
    </w:p>
    <w:tbl>
      <w:tblPr>
        <w:tblW w:w="0" w:type="auto"/>
        <w:tblInd w:w="250" w:type="dxa"/>
        <w:tblCellMar>
          <w:left w:w="0" w:type="dxa"/>
          <w:right w:w="0" w:type="dxa"/>
        </w:tblCellMar>
        <w:tblLook w:val="04A0" w:firstRow="1" w:lastRow="0" w:firstColumn="1" w:lastColumn="0" w:noHBand="0" w:noVBand="1"/>
      </w:tblPr>
      <w:tblGrid>
        <w:gridCol w:w="2233"/>
        <w:gridCol w:w="2161"/>
        <w:gridCol w:w="1552"/>
        <w:gridCol w:w="1418"/>
        <w:gridCol w:w="2417"/>
      </w:tblGrid>
      <w:tr w:rsidR="00135D50" w:rsidRPr="002F17B5" w:rsidTr="001353C9">
        <w:trPr>
          <w:trHeight w:hRule="exact" w:val="397"/>
        </w:trPr>
        <w:tc>
          <w:tcPr>
            <w:tcW w:w="2233" w:type="dxa"/>
            <w:vMerge w:val="restart"/>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tcPr>
          <w:p w:rsidR="00135D50" w:rsidRPr="002F17B5" w:rsidRDefault="00135D50" w:rsidP="00F265DF">
            <w:pPr>
              <w:spacing w:after="240" w:line="276" w:lineRule="auto"/>
              <w:rPr>
                <w:rFonts w:eastAsiaTheme="minorHAnsi"/>
              </w:rPr>
            </w:pPr>
          </w:p>
          <w:p w:rsidR="00135D50" w:rsidRPr="002F17B5" w:rsidRDefault="00135D50" w:rsidP="00F265DF">
            <w:pPr>
              <w:spacing w:after="240" w:line="276" w:lineRule="auto"/>
              <w:rPr>
                <w:rFonts w:eastAsiaTheme="minorHAnsi"/>
              </w:rPr>
            </w:pPr>
          </w:p>
          <w:p w:rsidR="00135D50" w:rsidRPr="002F17B5" w:rsidRDefault="00135D50" w:rsidP="00F265DF">
            <w:pPr>
              <w:spacing w:after="240" w:line="276" w:lineRule="auto"/>
              <w:rPr>
                <w:rFonts w:eastAsiaTheme="minorHAnsi"/>
              </w:rPr>
            </w:pPr>
          </w:p>
        </w:tc>
        <w:tc>
          <w:tcPr>
            <w:tcW w:w="3713" w:type="dxa"/>
            <w:gridSpan w:val="2"/>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135D50" w:rsidRPr="002F17B5" w:rsidRDefault="00135D50" w:rsidP="00F265DF">
            <w:pPr>
              <w:spacing w:after="240" w:line="276" w:lineRule="auto"/>
              <w:jc w:val="center"/>
              <w:rPr>
                <w:b/>
              </w:rPr>
            </w:pPr>
            <w:r w:rsidRPr="002F17B5">
              <w:rPr>
                <w:b/>
              </w:rPr>
              <w:t>31/03/2014</w:t>
            </w:r>
          </w:p>
          <w:p w:rsidR="00135D50" w:rsidRPr="002F17B5" w:rsidRDefault="00135D50" w:rsidP="00F265DF">
            <w:pPr>
              <w:spacing w:after="240" w:line="276" w:lineRule="auto"/>
              <w:jc w:val="center"/>
              <w:rPr>
                <w:rFonts w:eastAsiaTheme="minorHAnsi"/>
                <w:b/>
              </w:rPr>
            </w:pPr>
          </w:p>
        </w:tc>
        <w:tc>
          <w:tcPr>
            <w:tcW w:w="3835" w:type="dxa"/>
            <w:gridSpan w:val="2"/>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135D50" w:rsidRPr="002F17B5" w:rsidRDefault="00135D50" w:rsidP="00F265DF">
            <w:pPr>
              <w:spacing w:after="240" w:line="276" w:lineRule="auto"/>
              <w:jc w:val="center"/>
              <w:rPr>
                <w:b/>
              </w:rPr>
            </w:pPr>
            <w:r w:rsidRPr="002F17B5">
              <w:rPr>
                <w:b/>
              </w:rPr>
              <w:t>31/03/2013</w:t>
            </w:r>
            <w:r w:rsidR="00EB52CA" w:rsidRPr="002F17B5">
              <w:rPr>
                <w:b/>
              </w:rPr>
              <w:t xml:space="preserve"> (restated)</w:t>
            </w:r>
          </w:p>
          <w:p w:rsidR="00135D50" w:rsidRPr="002F17B5" w:rsidRDefault="00135D50" w:rsidP="00F265DF">
            <w:pPr>
              <w:spacing w:after="240" w:line="276" w:lineRule="auto"/>
              <w:jc w:val="center"/>
              <w:rPr>
                <w:rFonts w:eastAsiaTheme="minorHAnsi"/>
                <w:b/>
              </w:rPr>
            </w:pPr>
            <w:r w:rsidRPr="002F17B5">
              <w:rPr>
                <w:b/>
              </w:rPr>
              <w:t>*restated</w:t>
            </w:r>
          </w:p>
        </w:tc>
      </w:tr>
      <w:tr w:rsidR="00135D50" w:rsidRPr="002F17B5" w:rsidTr="001353C9">
        <w:trPr>
          <w:trHeight w:hRule="exact" w:val="340"/>
        </w:trPr>
        <w:tc>
          <w:tcPr>
            <w:tcW w:w="2233" w:type="dxa"/>
            <w:vMerge/>
            <w:tcBorders>
              <w:left w:val="single" w:sz="8" w:space="0" w:color="auto"/>
              <w:right w:val="single" w:sz="8" w:space="0" w:color="auto"/>
            </w:tcBorders>
            <w:shd w:val="clear" w:color="auto" w:fill="FFFFFF" w:themeFill="background1"/>
            <w:tcMar>
              <w:top w:w="0" w:type="dxa"/>
              <w:left w:w="108" w:type="dxa"/>
              <w:bottom w:w="0" w:type="dxa"/>
              <w:right w:w="108" w:type="dxa"/>
            </w:tcMar>
          </w:tcPr>
          <w:p w:rsidR="00135D50" w:rsidRPr="002F17B5" w:rsidRDefault="00135D50" w:rsidP="00F265DF">
            <w:pPr>
              <w:spacing w:after="240" w:line="276" w:lineRule="auto"/>
              <w:rPr>
                <w:rFonts w:eastAsiaTheme="minorHAnsi"/>
              </w:rPr>
            </w:pPr>
          </w:p>
        </w:tc>
        <w:tc>
          <w:tcPr>
            <w:tcW w:w="2161" w:type="dxa"/>
            <w:tcBorders>
              <w:top w:val="nil"/>
              <w:left w:val="single" w:sz="8" w:space="0" w:color="auto"/>
            </w:tcBorders>
            <w:shd w:val="clear" w:color="auto" w:fill="FFFFFF" w:themeFill="background1"/>
            <w:tcMar>
              <w:top w:w="0" w:type="dxa"/>
              <w:left w:w="108" w:type="dxa"/>
              <w:bottom w:w="0" w:type="dxa"/>
              <w:right w:w="108" w:type="dxa"/>
            </w:tcMar>
            <w:vAlign w:val="center"/>
            <w:hideMark/>
          </w:tcPr>
          <w:p w:rsidR="00135D50" w:rsidRPr="002F17B5" w:rsidRDefault="00135D50" w:rsidP="00F265DF">
            <w:pPr>
              <w:spacing w:after="240" w:line="276" w:lineRule="auto"/>
              <w:jc w:val="right"/>
              <w:rPr>
                <w:rFonts w:eastAsiaTheme="minorHAnsi"/>
                <w:b/>
              </w:rPr>
            </w:pPr>
            <w:r w:rsidRPr="002F17B5">
              <w:rPr>
                <w:b/>
              </w:rPr>
              <w:t>Amortised Cost</w:t>
            </w:r>
          </w:p>
        </w:tc>
        <w:tc>
          <w:tcPr>
            <w:tcW w:w="1552" w:type="dxa"/>
            <w:tcBorders>
              <w:top w:val="nil"/>
              <w:right w:val="single" w:sz="8" w:space="0" w:color="auto"/>
            </w:tcBorders>
            <w:shd w:val="clear" w:color="auto" w:fill="FFFFFF" w:themeFill="background1"/>
            <w:tcMar>
              <w:top w:w="0" w:type="dxa"/>
              <w:left w:w="108" w:type="dxa"/>
              <w:bottom w:w="0" w:type="dxa"/>
              <w:right w:w="108" w:type="dxa"/>
            </w:tcMar>
            <w:vAlign w:val="center"/>
            <w:hideMark/>
          </w:tcPr>
          <w:p w:rsidR="00135D50" w:rsidRPr="002F17B5" w:rsidRDefault="00135D50" w:rsidP="00F265DF">
            <w:pPr>
              <w:spacing w:after="240" w:line="276" w:lineRule="auto"/>
              <w:jc w:val="right"/>
              <w:rPr>
                <w:rFonts w:eastAsiaTheme="minorHAnsi"/>
                <w:b/>
              </w:rPr>
            </w:pPr>
            <w:r w:rsidRPr="002F17B5">
              <w:rPr>
                <w:b/>
              </w:rPr>
              <w:t>Fair Value</w:t>
            </w:r>
          </w:p>
        </w:tc>
        <w:tc>
          <w:tcPr>
            <w:tcW w:w="1418" w:type="dxa"/>
            <w:tcBorders>
              <w:top w:val="nil"/>
              <w:left w:val="single" w:sz="8" w:space="0" w:color="auto"/>
            </w:tcBorders>
            <w:shd w:val="clear" w:color="auto" w:fill="FFFFFF" w:themeFill="background1"/>
            <w:tcMar>
              <w:top w:w="0" w:type="dxa"/>
              <w:left w:w="108" w:type="dxa"/>
              <w:bottom w:w="0" w:type="dxa"/>
              <w:right w:w="108" w:type="dxa"/>
            </w:tcMar>
            <w:vAlign w:val="center"/>
            <w:hideMark/>
          </w:tcPr>
          <w:p w:rsidR="00135D50" w:rsidRPr="002F17B5" w:rsidRDefault="00135D50" w:rsidP="00F265DF">
            <w:pPr>
              <w:spacing w:after="240" w:line="276" w:lineRule="auto"/>
              <w:jc w:val="right"/>
              <w:rPr>
                <w:rFonts w:eastAsiaTheme="minorHAnsi"/>
                <w:b/>
              </w:rPr>
            </w:pPr>
            <w:r w:rsidRPr="002F17B5">
              <w:rPr>
                <w:b/>
              </w:rPr>
              <w:t>Amortised Cost</w:t>
            </w:r>
          </w:p>
        </w:tc>
        <w:tc>
          <w:tcPr>
            <w:tcW w:w="2417" w:type="dxa"/>
            <w:tcBorders>
              <w:top w:val="nil"/>
              <w:right w:val="single" w:sz="8" w:space="0" w:color="auto"/>
            </w:tcBorders>
            <w:shd w:val="clear" w:color="auto" w:fill="FFFFFF" w:themeFill="background1"/>
            <w:tcMar>
              <w:top w:w="0" w:type="dxa"/>
              <w:left w:w="108" w:type="dxa"/>
              <w:bottom w:w="0" w:type="dxa"/>
              <w:right w:w="108" w:type="dxa"/>
            </w:tcMar>
            <w:vAlign w:val="center"/>
            <w:hideMark/>
          </w:tcPr>
          <w:p w:rsidR="00135D50" w:rsidRPr="002F17B5" w:rsidRDefault="00135D50" w:rsidP="00F265DF">
            <w:pPr>
              <w:spacing w:after="240" w:line="276" w:lineRule="auto"/>
              <w:ind w:right="176"/>
              <w:jc w:val="right"/>
              <w:rPr>
                <w:rFonts w:eastAsiaTheme="minorHAnsi"/>
                <w:b/>
              </w:rPr>
            </w:pPr>
            <w:r w:rsidRPr="002F17B5">
              <w:rPr>
                <w:b/>
              </w:rPr>
              <w:t>Fair Value</w:t>
            </w:r>
            <w:r w:rsidR="00BF2894" w:rsidRPr="002F17B5">
              <w:rPr>
                <w:b/>
              </w:rPr>
              <w:t>*</w:t>
            </w:r>
          </w:p>
        </w:tc>
      </w:tr>
      <w:tr w:rsidR="00135D50" w:rsidRPr="002F17B5" w:rsidTr="001353C9">
        <w:trPr>
          <w:trHeight w:hRule="exact" w:val="486"/>
        </w:trPr>
        <w:tc>
          <w:tcPr>
            <w:tcW w:w="2233" w:type="dxa"/>
            <w:vMerge/>
            <w:tcBorders>
              <w:left w:val="single" w:sz="8" w:space="0" w:color="auto"/>
              <w:right w:val="single" w:sz="8" w:space="0" w:color="auto"/>
            </w:tcBorders>
            <w:shd w:val="clear" w:color="auto" w:fill="FFFFFF" w:themeFill="background1"/>
            <w:tcMar>
              <w:top w:w="0" w:type="dxa"/>
              <w:left w:w="108" w:type="dxa"/>
              <w:bottom w:w="0" w:type="dxa"/>
              <w:right w:w="108" w:type="dxa"/>
            </w:tcMar>
          </w:tcPr>
          <w:p w:rsidR="00135D50" w:rsidRPr="002F17B5" w:rsidRDefault="00135D50" w:rsidP="00F265DF">
            <w:pPr>
              <w:spacing w:after="240" w:line="276" w:lineRule="auto"/>
              <w:rPr>
                <w:rFonts w:eastAsiaTheme="minorHAnsi"/>
              </w:rPr>
            </w:pPr>
          </w:p>
        </w:tc>
        <w:tc>
          <w:tcPr>
            <w:tcW w:w="2161" w:type="dxa"/>
            <w:tcBorders>
              <w:top w:val="nil"/>
              <w:left w:val="single" w:sz="8" w:space="0" w:color="auto"/>
            </w:tcBorders>
            <w:shd w:val="clear" w:color="auto" w:fill="FFFFFF" w:themeFill="background1"/>
            <w:tcMar>
              <w:top w:w="0" w:type="dxa"/>
              <w:left w:w="108" w:type="dxa"/>
              <w:bottom w:w="0" w:type="dxa"/>
              <w:right w:w="108" w:type="dxa"/>
            </w:tcMar>
            <w:vAlign w:val="center"/>
            <w:hideMark/>
          </w:tcPr>
          <w:p w:rsidR="00135D50" w:rsidRPr="002F17B5" w:rsidRDefault="008B055A" w:rsidP="00630928">
            <w:pPr>
              <w:spacing w:after="240" w:line="276" w:lineRule="auto"/>
              <w:jc w:val="center"/>
              <w:rPr>
                <w:rFonts w:eastAsiaTheme="minorHAnsi"/>
                <w:b/>
              </w:rPr>
            </w:pPr>
            <w:r>
              <w:rPr>
                <w:b/>
              </w:rPr>
              <w:t xml:space="preserve">               </w:t>
            </w:r>
            <w:r w:rsidR="00135D50" w:rsidRPr="002F17B5">
              <w:rPr>
                <w:b/>
              </w:rPr>
              <w:t>£m</w:t>
            </w:r>
          </w:p>
        </w:tc>
        <w:tc>
          <w:tcPr>
            <w:tcW w:w="1552" w:type="dxa"/>
            <w:tcBorders>
              <w:top w:val="nil"/>
              <w:right w:val="single" w:sz="8" w:space="0" w:color="auto"/>
            </w:tcBorders>
            <w:shd w:val="clear" w:color="auto" w:fill="FFFFFF" w:themeFill="background1"/>
            <w:tcMar>
              <w:top w:w="0" w:type="dxa"/>
              <w:left w:w="108" w:type="dxa"/>
              <w:bottom w:w="0" w:type="dxa"/>
              <w:right w:w="108" w:type="dxa"/>
            </w:tcMar>
            <w:hideMark/>
          </w:tcPr>
          <w:p w:rsidR="00135D50" w:rsidRPr="002F17B5" w:rsidRDefault="008B055A" w:rsidP="00630928">
            <w:pPr>
              <w:spacing w:line="276" w:lineRule="auto"/>
              <w:jc w:val="center"/>
              <w:rPr>
                <w:rFonts w:eastAsiaTheme="minorHAnsi"/>
                <w:b/>
              </w:rPr>
            </w:pPr>
            <w:r>
              <w:rPr>
                <w:b/>
              </w:rPr>
              <w:t xml:space="preserve">      </w:t>
            </w:r>
            <w:r w:rsidR="00135D50" w:rsidRPr="002F17B5">
              <w:rPr>
                <w:b/>
              </w:rPr>
              <w:t>£m</w:t>
            </w:r>
          </w:p>
        </w:tc>
        <w:tc>
          <w:tcPr>
            <w:tcW w:w="1418" w:type="dxa"/>
            <w:tcBorders>
              <w:top w:val="nil"/>
              <w:left w:val="single" w:sz="8" w:space="0" w:color="auto"/>
            </w:tcBorders>
            <w:shd w:val="clear" w:color="auto" w:fill="FFFFFF" w:themeFill="background1"/>
            <w:tcMar>
              <w:top w:w="0" w:type="dxa"/>
              <w:left w:w="108" w:type="dxa"/>
              <w:bottom w:w="0" w:type="dxa"/>
              <w:right w:w="108" w:type="dxa"/>
            </w:tcMar>
            <w:hideMark/>
          </w:tcPr>
          <w:p w:rsidR="00135D50" w:rsidRPr="002F17B5" w:rsidRDefault="008B055A" w:rsidP="00630928">
            <w:pPr>
              <w:spacing w:line="276" w:lineRule="auto"/>
              <w:jc w:val="center"/>
              <w:rPr>
                <w:rFonts w:eastAsiaTheme="minorHAnsi"/>
                <w:b/>
              </w:rPr>
            </w:pPr>
            <w:r>
              <w:rPr>
                <w:b/>
              </w:rPr>
              <w:t xml:space="preserve">  </w:t>
            </w:r>
            <w:r w:rsidR="00135D50" w:rsidRPr="002F17B5">
              <w:rPr>
                <w:b/>
              </w:rPr>
              <w:t>£m</w:t>
            </w:r>
          </w:p>
        </w:tc>
        <w:tc>
          <w:tcPr>
            <w:tcW w:w="2417" w:type="dxa"/>
            <w:tcBorders>
              <w:top w:val="nil"/>
              <w:right w:val="single" w:sz="8" w:space="0" w:color="auto"/>
            </w:tcBorders>
            <w:shd w:val="clear" w:color="auto" w:fill="FFFFFF" w:themeFill="background1"/>
            <w:tcMar>
              <w:top w:w="0" w:type="dxa"/>
              <w:left w:w="108" w:type="dxa"/>
              <w:bottom w:w="0" w:type="dxa"/>
              <w:right w:w="108" w:type="dxa"/>
            </w:tcMar>
            <w:hideMark/>
          </w:tcPr>
          <w:p w:rsidR="00135D50" w:rsidRPr="002F17B5" w:rsidRDefault="008B055A" w:rsidP="00630928">
            <w:pPr>
              <w:spacing w:line="276" w:lineRule="auto"/>
              <w:ind w:right="176"/>
              <w:jc w:val="center"/>
              <w:rPr>
                <w:b/>
              </w:rPr>
            </w:pPr>
            <w:r>
              <w:rPr>
                <w:b/>
              </w:rPr>
              <w:t xml:space="preserve">                   </w:t>
            </w:r>
            <w:r w:rsidR="00135D50" w:rsidRPr="002F17B5">
              <w:rPr>
                <w:b/>
              </w:rPr>
              <w:t>£m</w:t>
            </w:r>
          </w:p>
          <w:p w:rsidR="00135D50" w:rsidRPr="002F17B5" w:rsidRDefault="00135D50" w:rsidP="00F265DF">
            <w:pPr>
              <w:spacing w:line="276" w:lineRule="auto"/>
              <w:ind w:right="176"/>
              <w:jc w:val="right"/>
              <w:rPr>
                <w:rFonts w:eastAsiaTheme="minorHAnsi"/>
                <w:b/>
              </w:rPr>
            </w:pPr>
          </w:p>
        </w:tc>
      </w:tr>
      <w:tr w:rsidR="00135D50" w:rsidRPr="002F17B5" w:rsidTr="001353C9">
        <w:trPr>
          <w:trHeight w:hRule="exact" w:val="562"/>
        </w:trPr>
        <w:tc>
          <w:tcPr>
            <w:tcW w:w="2233" w:type="dxa"/>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hideMark/>
          </w:tcPr>
          <w:p w:rsidR="00135D50" w:rsidRPr="002F17B5" w:rsidRDefault="00135D50" w:rsidP="00F265DF">
            <w:pPr>
              <w:spacing w:after="240" w:line="276" w:lineRule="auto"/>
              <w:rPr>
                <w:rFonts w:eastAsiaTheme="minorHAnsi"/>
              </w:rPr>
            </w:pPr>
            <w:r w:rsidRPr="002F17B5">
              <w:t xml:space="preserve">Financial liabilities </w:t>
            </w:r>
          </w:p>
        </w:tc>
        <w:tc>
          <w:tcPr>
            <w:tcW w:w="2161" w:type="dxa"/>
            <w:tcBorders>
              <w:left w:val="single" w:sz="8" w:space="0" w:color="auto"/>
              <w:bottom w:val="single" w:sz="8" w:space="0" w:color="auto"/>
            </w:tcBorders>
            <w:shd w:val="clear" w:color="auto" w:fill="FFFFFF" w:themeFill="background1"/>
            <w:tcMar>
              <w:top w:w="0" w:type="dxa"/>
              <w:left w:w="108" w:type="dxa"/>
              <w:bottom w:w="0" w:type="dxa"/>
              <w:right w:w="108" w:type="dxa"/>
            </w:tcMar>
            <w:vAlign w:val="bottom"/>
            <w:hideMark/>
          </w:tcPr>
          <w:p w:rsidR="00135D50" w:rsidRPr="002F17B5" w:rsidRDefault="00135D50">
            <w:pPr>
              <w:spacing w:after="240" w:line="276" w:lineRule="auto"/>
              <w:jc w:val="right"/>
              <w:rPr>
                <w:rFonts w:eastAsiaTheme="minorHAnsi"/>
              </w:rPr>
            </w:pPr>
            <w:r w:rsidRPr="002F17B5">
              <w:rPr>
                <w:rFonts w:eastAsiaTheme="minorHAnsi"/>
              </w:rPr>
              <w:t>1,22</w:t>
            </w:r>
            <w:r w:rsidR="008B055A">
              <w:rPr>
                <w:rFonts w:eastAsiaTheme="minorHAnsi"/>
              </w:rPr>
              <w:t>3.0</w:t>
            </w:r>
          </w:p>
        </w:tc>
        <w:tc>
          <w:tcPr>
            <w:tcW w:w="1552" w:type="dxa"/>
            <w:tcBorders>
              <w:bottom w:val="single" w:sz="8" w:space="0" w:color="auto"/>
              <w:right w:val="single" w:sz="8" w:space="0" w:color="auto"/>
            </w:tcBorders>
            <w:shd w:val="clear" w:color="auto" w:fill="FFFFFF" w:themeFill="background1"/>
            <w:tcMar>
              <w:top w:w="0" w:type="dxa"/>
              <w:left w:w="108" w:type="dxa"/>
              <w:bottom w:w="0" w:type="dxa"/>
              <w:right w:w="108" w:type="dxa"/>
            </w:tcMar>
            <w:vAlign w:val="bottom"/>
            <w:hideMark/>
          </w:tcPr>
          <w:p w:rsidR="00135D50" w:rsidRPr="002F17B5" w:rsidRDefault="00135D50" w:rsidP="002C48FC">
            <w:pPr>
              <w:spacing w:after="240" w:line="276" w:lineRule="auto"/>
              <w:jc w:val="right"/>
              <w:rPr>
                <w:rFonts w:eastAsiaTheme="minorHAnsi"/>
              </w:rPr>
            </w:pPr>
            <w:r w:rsidRPr="002F17B5">
              <w:rPr>
                <w:rFonts w:eastAsiaTheme="minorHAnsi"/>
              </w:rPr>
              <w:t>1,</w:t>
            </w:r>
            <w:r w:rsidR="006D6283">
              <w:rPr>
                <w:rFonts w:eastAsiaTheme="minorHAnsi"/>
              </w:rPr>
              <w:t>5</w:t>
            </w:r>
            <w:r w:rsidR="002C48FC">
              <w:rPr>
                <w:rFonts w:eastAsiaTheme="minorHAnsi"/>
              </w:rPr>
              <w:t>52</w:t>
            </w:r>
            <w:r w:rsidR="006D6283">
              <w:rPr>
                <w:rFonts w:eastAsiaTheme="minorHAnsi"/>
              </w:rPr>
              <w:t>.</w:t>
            </w:r>
            <w:r w:rsidR="002C48FC">
              <w:rPr>
                <w:rFonts w:eastAsiaTheme="minorHAnsi"/>
              </w:rPr>
              <w:t>6</w:t>
            </w:r>
          </w:p>
        </w:tc>
        <w:tc>
          <w:tcPr>
            <w:tcW w:w="1418" w:type="dxa"/>
            <w:tcBorders>
              <w:left w:val="single" w:sz="8" w:space="0" w:color="auto"/>
              <w:bottom w:val="single" w:sz="8" w:space="0" w:color="auto"/>
            </w:tcBorders>
            <w:shd w:val="clear" w:color="auto" w:fill="FFFFFF" w:themeFill="background1"/>
            <w:tcMar>
              <w:top w:w="0" w:type="dxa"/>
              <w:left w:w="108" w:type="dxa"/>
              <w:bottom w:w="0" w:type="dxa"/>
              <w:right w:w="108" w:type="dxa"/>
            </w:tcMar>
            <w:vAlign w:val="bottom"/>
            <w:hideMark/>
          </w:tcPr>
          <w:p w:rsidR="00135D50" w:rsidRPr="002F17B5" w:rsidRDefault="00135D50">
            <w:pPr>
              <w:spacing w:after="240" w:line="276" w:lineRule="auto"/>
              <w:jc w:val="right"/>
              <w:rPr>
                <w:rFonts w:eastAsiaTheme="minorHAnsi"/>
              </w:rPr>
            </w:pPr>
            <w:r w:rsidRPr="002F17B5">
              <w:rPr>
                <w:rFonts w:eastAsiaTheme="minorHAnsi"/>
              </w:rPr>
              <w:t>1,15</w:t>
            </w:r>
            <w:r w:rsidR="008B055A">
              <w:rPr>
                <w:rFonts w:eastAsiaTheme="minorHAnsi"/>
              </w:rPr>
              <w:t>5.8</w:t>
            </w:r>
          </w:p>
        </w:tc>
        <w:tc>
          <w:tcPr>
            <w:tcW w:w="2417" w:type="dxa"/>
            <w:tcBorders>
              <w:bottom w:val="single" w:sz="8" w:space="0" w:color="auto"/>
              <w:right w:val="single" w:sz="8" w:space="0" w:color="auto"/>
            </w:tcBorders>
            <w:shd w:val="clear" w:color="auto" w:fill="FFFFFF" w:themeFill="background1"/>
            <w:tcMar>
              <w:top w:w="0" w:type="dxa"/>
              <w:left w:w="108" w:type="dxa"/>
              <w:bottom w:w="0" w:type="dxa"/>
              <w:right w:w="108" w:type="dxa"/>
            </w:tcMar>
            <w:vAlign w:val="bottom"/>
            <w:hideMark/>
          </w:tcPr>
          <w:p w:rsidR="00135D50" w:rsidRPr="002F17B5" w:rsidRDefault="00C15B70" w:rsidP="008B7741">
            <w:pPr>
              <w:spacing w:after="240" w:line="276" w:lineRule="auto"/>
              <w:jc w:val="center"/>
              <w:rPr>
                <w:rFonts w:eastAsiaTheme="minorHAnsi"/>
              </w:rPr>
            </w:pPr>
            <w:r>
              <w:rPr>
                <w:rFonts w:eastAsiaTheme="minorHAnsi"/>
              </w:rPr>
              <w:t xml:space="preserve">            </w:t>
            </w:r>
            <w:r w:rsidR="00135D50" w:rsidRPr="002F17B5">
              <w:rPr>
                <w:rFonts w:eastAsiaTheme="minorHAnsi"/>
              </w:rPr>
              <w:t>1,</w:t>
            </w:r>
            <w:r>
              <w:rPr>
                <w:rFonts w:eastAsiaTheme="minorHAnsi"/>
              </w:rPr>
              <w:t>560.</w:t>
            </w:r>
            <w:r w:rsidR="008B7741">
              <w:rPr>
                <w:rFonts w:eastAsiaTheme="minorHAnsi"/>
              </w:rPr>
              <w:t>3</w:t>
            </w:r>
          </w:p>
        </w:tc>
      </w:tr>
    </w:tbl>
    <w:p w:rsidR="00135D50" w:rsidRPr="002F17B5" w:rsidRDefault="00135D50" w:rsidP="00135D50">
      <w:pPr>
        <w:pStyle w:val="ListParagraph"/>
        <w:spacing w:after="240"/>
      </w:pPr>
    </w:p>
    <w:p w:rsidR="00EB52CA" w:rsidRPr="00E6494C" w:rsidRDefault="00EB52CA" w:rsidP="00135D50">
      <w:pPr>
        <w:pStyle w:val="ListParagraph"/>
        <w:spacing w:after="240"/>
        <w:ind w:left="0"/>
        <w:rPr>
          <w:sz w:val="16"/>
        </w:rPr>
      </w:pPr>
    </w:p>
    <w:p w:rsidR="00135D50" w:rsidRPr="002F17B5" w:rsidRDefault="00135D50" w:rsidP="00135D50">
      <w:pPr>
        <w:pStyle w:val="ListParagraph"/>
        <w:spacing w:after="240"/>
        <w:ind w:left="0"/>
      </w:pPr>
      <w:r w:rsidRPr="002F17B5">
        <w:t>The fair value of the liabilities is higher than the carrying amount because the council’s portfolio of loans includes a number of fixed rate loans where the interest rate payable is higher than the prevailing rates at the balance sheet date.  This shows a notional future loss (based on economic conditions at 31 March 2014) arising from a commitment to pay interest to lenders above current market rates.</w:t>
      </w:r>
    </w:p>
    <w:p w:rsidR="00927A03" w:rsidRPr="002F17B5" w:rsidRDefault="00927A03" w:rsidP="00927A03">
      <w:pPr>
        <w:pStyle w:val="Heading3-numbered"/>
        <w:numPr>
          <w:ilvl w:val="0"/>
          <w:numId w:val="0"/>
        </w:numPr>
        <w:spacing w:before="120"/>
        <w:ind w:left="417" w:hanging="360"/>
        <w:rPr>
          <w:b w:val="0"/>
          <w:i w:val="0"/>
          <w:sz w:val="22"/>
        </w:rPr>
      </w:pPr>
      <w:r w:rsidRPr="002F17B5">
        <w:rPr>
          <w:b w:val="0"/>
          <w:i w:val="0"/>
          <w:sz w:val="22"/>
        </w:rPr>
        <w:t xml:space="preserve">*Prior year comparatives have been restated in accordance with guidance </w:t>
      </w:r>
    </w:p>
    <w:p w:rsidR="00135D50" w:rsidRDefault="00135D50" w:rsidP="00135D50">
      <w:pPr>
        <w:pStyle w:val="ListParagraph"/>
        <w:spacing w:after="240"/>
        <w:ind w:left="0"/>
      </w:pPr>
    </w:p>
    <w:p w:rsidR="00635EBB" w:rsidRPr="00630928" w:rsidRDefault="00635EBB" w:rsidP="00135D50">
      <w:pPr>
        <w:pStyle w:val="ListParagraph"/>
        <w:spacing w:after="240"/>
        <w:ind w:left="0"/>
        <w:rPr>
          <w:b/>
          <w:u w:val="single"/>
        </w:rPr>
      </w:pPr>
      <w:r w:rsidRPr="00630928">
        <w:rPr>
          <w:b/>
          <w:u w:val="single"/>
        </w:rPr>
        <w:t>Table 2</w:t>
      </w:r>
    </w:p>
    <w:p w:rsidR="00135D50" w:rsidRPr="00E6494C" w:rsidRDefault="00135D50" w:rsidP="00135D50">
      <w:pPr>
        <w:pStyle w:val="ListParagraph"/>
        <w:spacing w:after="240"/>
        <w:rPr>
          <w:sz w:val="16"/>
        </w:rPr>
      </w:pPr>
    </w:p>
    <w:tbl>
      <w:tblPr>
        <w:tblW w:w="0" w:type="auto"/>
        <w:tblInd w:w="250" w:type="dxa"/>
        <w:tblBorders>
          <w:top w:val="single" w:sz="8" w:space="0" w:color="auto"/>
          <w:left w:val="single" w:sz="8" w:space="0" w:color="auto"/>
          <w:bottom w:val="single" w:sz="8" w:space="0" w:color="auto"/>
          <w:right w:val="single" w:sz="8" w:space="0" w:color="auto"/>
        </w:tblBorders>
        <w:shd w:val="clear" w:color="auto" w:fill="FFFFFF" w:themeFill="background1"/>
        <w:tblLook w:val="04A0" w:firstRow="1" w:lastRow="0" w:firstColumn="1" w:lastColumn="0" w:noHBand="0" w:noVBand="1"/>
      </w:tblPr>
      <w:tblGrid>
        <w:gridCol w:w="2278"/>
        <w:gridCol w:w="1425"/>
        <w:gridCol w:w="691"/>
        <w:gridCol w:w="1560"/>
        <w:gridCol w:w="2126"/>
        <w:gridCol w:w="1701"/>
      </w:tblGrid>
      <w:tr w:rsidR="00135D50" w:rsidRPr="002F17B5" w:rsidTr="001353C9">
        <w:trPr>
          <w:trHeight w:hRule="exact" w:val="397"/>
        </w:trPr>
        <w:tc>
          <w:tcPr>
            <w:tcW w:w="2278" w:type="dxa"/>
            <w:vMerge w:val="restart"/>
            <w:tcBorders>
              <w:right w:val="single" w:sz="8" w:space="0" w:color="auto"/>
            </w:tcBorders>
            <w:shd w:val="clear" w:color="auto" w:fill="FFFFFF" w:themeFill="background1"/>
          </w:tcPr>
          <w:p w:rsidR="00135D50" w:rsidRPr="002F17B5" w:rsidRDefault="00135D50" w:rsidP="00F265DF">
            <w:pPr>
              <w:pStyle w:val="ListParagraph"/>
              <w:spacing w:after="240"/>
              <w:ind w:left="0"/>
              <w:jc w:val="center"/>
            </w:pPr>
          </w:p>
        </w:tc>
        <w:tc>
          <w:tcPr>
            <w:tcW w:w="3676" w:type="dxa"/>
            <w:gridSpan w:val="3"/>
            <w:tcBorders>
              <w:top w:val="single" w:sz="8" w:space="0" w:color="auto"/>
              <w:left w:val="single" w:sz="8" w:space="0" w:color="auto"/>
              <w:bottom w:val="nil"/>
              <w:right w:val="single" w:sz="8" w:space="0" w:color="auto"/>
            </w:tcBorders>
            <w:shd w:val="clear" w:color="auto" w:fill="FFFFFF" w:themeFill="background1"/>
          </w:tcPr>
          <w:p w:rsidR="00135D50" w:rsidRPr="002F17B5" w:rsidRDefault="00135D50" w:rsidP="00F265DF">
            <w:pPr>
              <w:jc w:val="center"/>
              <w:rPr>
                <w:b/>
              </w:rPr>
            </w:pPr>
            <w:r w:rsidRPr="002F17B5">
              <w:rPr>
                <w:b/>
              </w:rPr>
              <w:t>31/03/2014</w:t>
            </w:r>
          </w:p>
        </w:tc>
        <w:tc>
          <w:tcPr>
            <w:tcW w:w="3827" w:type="dxa"/>
            <w:gridSpan w:val="2"/>
            <w:tcBorders>
              <w:left w:val="single" w:sz="8" w:space="0" w:color="auto"/>
            </w:tcBorders>
            <w:shd w:val="clear" w:color="auto" w:fill="FFFFFF" w:themeFill="background1"/>
          </w:tcPr>
          <w:p w:rsidR="00135D50" w:rsidRPr="002F17B5" w:rsidRDefault="00135D50">
            <w:pPr>
              <w:jc w:val="center"/>
              <w:rPr>
                <w:b/>
              </w:rPr>
            </w:pPr>
            <w:r w:rsidRPr="002F17B5">
              <w:rPr>
                <w:b/>
              </w:rPr>
              <w:t>31/03/2013</w:t>
            </w:r>
            <w:r w:rsidR="00EB52CA" w:rsidRPr="002F17B5">
              <w:rPr>
                <w:b/>
              </w:rPr>
              <w:t xml:space="preserve"> </w:t>
            </w:r>
          </w:p>
        </w:tc>
      </w:tr>
      <w:tr w:rsidR="00135D50" w:rsidRPr="002F17B5" w:rsidTr="001353C9">
        <w:trPr>
          <w:trHeight w:hRule="exact" w:val="460"/>
        </w:trPr>
        <w:tc>
          <w:tcPr>
            <w:tcW w:w="2278" w:type="dxa"/>
            <w:vMerge/>
            <w:tcBorders>
              <w:right w:val="single" w:sz="8" w:space="0" w:color="auto"/>
            </w:tcBorders>
            <w:shd w:val="clear" w:color="auto" w:fill="FFFFFF" w:themeFill="background1"/>
          </w:tcPr>
          <w:p w:rsidR="00135D50" w:rsidRPr="002F17B5" w:rsidRDefault="00135D50" w:rsidP="00F265DF">
            <w:pPr>
              <w:pStyle w:val="ListParagraph"/>
              <w:spacing w:after="240"/>
              <w:ind w:left="0"/>
              <w:jc w:val="center"/>
            </w:pPr>
          </w:p>
        </w:tc>
        <w:tc>
          <w:tcPr>
            <w:tcW w:w="2116" w:type="dxa"/>
            <w:gridSpan w:val="2"/>
            <w:tcBorders>
              <w:top w:val="nil"/>
              <w:left w:val="single" w:sz="8" w:space="0" w:color="auto"/>
              <w:bottom w:val="nil"/>
            </w:tcBorders>
            <w:shd w:val="clear" w:color="auto" w:fill="FFFFFF" w:themeFill="background1"/>
          </w:tcPr>
          <w:p w:rsidR="00135D50" w:rsidRPr="002F17B5" w:rsidRDefault="00135D50" w:rsidP="00F265DF">
            <w:pPr>
              <w:pStyle w:val="ListParagraph"/>
              <w:spacing w:after="240"/>
              <w:ind w:left="0"/>
              <w:jc w:val="right"/>
              <w:rPr>
                <w:b/>
              </w:rPr>
            </w:pPr>
            <w:r w:rsidRPr="002F17B5">
              <w:rPr>
                <w:b/>
              </w:rPr>
              <w:t>Amortised Cost</w:t>
            </w:r>
          </w:p>
        </w:tc>
        <w:tc>
          <w:tcPr>
            <w:tcW w:w="1560" w:type="dxa"/>
            <w:tcBorders>
              <w:top w:val="nil"/>
              <w:bottom w:val="nil"/>
              <w:right w:val="single" w:sz="8" w:space="0" w:color="auto"/>
            </w:tcBorders>
            <w:shd w:val="clear" w:color="auto" w:fill="FFFFFF" w:themeFill="background1"/>
          </w:tcPr>
          <w:p w:rsidR="00135D50" w:rsidRPr="002F17B5" w:rsidRDefault="00135D50" w:rsidP="00F265DF">
            <w:pPr>
              <w:pStyle w:val="ListParagraph"/>
              <w:spacing w:after="240"/>
              <w:ind w:left="0"/>
              <w:jc w:val="right"/>
              <w:rPr>
                <w:b/>
              </w:rPr>
            </w:pPr>
            <w:r w:rsidRPr="002F17B5">
              <w:rPr>
                <w:b/>
              </w:rPr>
              <w:t>Fair Value</w:t>
            </w:r>
          </w:p>
        </w:tc>
        <w:tc>
          <w:tcPr>
            <w:tcW w:w="2126" w:type="dxa"/>
            <w:tcBorders>
              <w:left w:val="single" w:sz="8" w:space="0" w:color="auto"/>
            </w:tcBorders>
            <w:shd w:val="clear" w:color="auto" w:fill="FFFFFF" w:themeFill="background1"/>
          </w:tcPr>
          <w:p w:rsidR="00135D50" w:rsidRPr="002F17B5" w:rsidRDefault="00135D50" w:rsidP="00F265DF">
            <w:pPr>
              <w:pStyle w:val="ListParagraph"/>
              <w:spacing w:after="240"/>
              <w:ind w:left="0"/>
              <w:jc w:val="right"/>
              <w:rPr>
                <w:b/>
              </w:rPr>
            </w:pPr>
            <w:r w:rsidRPr="002F17B5">
              <w:rPr>
                <w:b/>
              </w:rPr>
              <w:t>Amortised Cost</w:t>
            </w:r>
          </w:p>
        </w:tc>
        <w:tc>
          <w:tcPr>
            <w:tcW w:w="1701" w:type="dxa"/>
            <w:shd w:val="clear" w:color="auto" w:fill="FFFFFF" w:themeFill="background1"/>
          </w:tcPr>
          <w:p w:rsidR="00135D50" w:rsidRPr="002F17B5" w:rsidRDefault="00135D50" w:rsidP="00F265DF">
            <w:pPr>
              <w:pStyle w:val="ListParagraph"/>
              <w:spacing w:after="240"/>
              <w:ind w:left="0" w:right="176"/>
              <w:jc w:val="right"/>
              <w:rPr>
                <w:b/>
              </w:rPr>
            </w:pPr>
            <w:r w:rsidRPr="002F17B5">
              <w:rPr>
                <w:b/>
              </w:rPr>
              <w:t>Fair Value</w:t>
            </w:r>
          </w:p>
        </w:tc>
      </w:tr>
      <w:tr w:rsidR="00135D50" w:rsidRPr="002F17B5" w:rsidTr="001353C9">
        <w:trPr>
          <w:trHeight w:hRule="exact" w:val="340"/>
        </w:trPr>
        <w:tc>
          <w:tcPr>
            <w:tcW w:w="2278" w:type="dxa"/>
            <w:vMerge/>
            <w:tcBorders>
              <w:right w:val="single" w:sz="8" w:space="0" w:color="auto"/>
            </w:tcBorders>
            <w:shd w:val="clear" w:color="auto" w:fill="FFFFFF" w:themeFill="background1"/>
          </w:tcPr>
          <w:p w:rsidR="00135D50" w:rsidRPr="002F17B5" w:rsidRDefault="00135D50" w:rsidP="00F265DF">
            <w:pPr>
              <w:pStyle w:val="ListParagraph"/>
              <w:spacing w:after="240"/>
              <w:ind w:left="0"/>
              <w:jc w:val="center"/>
            </w:pPr>
          </w:p>
        </w:tc>
        <w:tc>
          <w:tcPr>
            <w:tcW w:w="1425" w:type="dxa"/>
            <w:tcBorders>
              <w:top w:val="nil"/>
              <w:left w:val="single" w:sz="8" w:space="0" w:color="auto"/>
              <w:bottom w:val="nil"/>
            </w:tcBorders>
            <w:shd w:val="clear" w:color="auto" w:fill="FFFFFF" w:themeFill="background1"/>
            <w:vAlign w:val="center"/>
          </w:tcPr>
          <w:p w:rsidR="00135D50" w:rsidRPr="002F17B5" w:rsidRDefault="00135D50" w:rsidP="00F265DF">
            <w:pPr>
              <w:spacing w:after="240" w:line="276" w:lineRule="auto"/>
              <w:jc w:val="right"/>
              <w:rPr>
                <w:rFonts w:eastAsiaTheme="minorHAnsi"/>
                <w:b/>
              </w:rPr>
            </w:pPr>
            <w:r w:rsidRPr="002F17B5">
              <w:rPr>
                <w:b/>
              </w:rPr>
              <w:t>£m</w:t>
            </w:r>
          </w:p>
        </w:tc>
        <w:tc>
          <w:tcPr>
            <w:tcW w:w="2251" w:type="dxa"/>
            <w:gridSpan w:val="2"/>
            <w:tcBorders>
              <w:top w:val="nil"/>
              <w:bottom w:val="nil"/>
              <w:right w:val="single" w:sz="8" w:space="0" w:color="auto"/>
            </w:tcBorders>
            <w:shd w:val="clear" w:color="auto" w:fill="FFFFFF" w:themeFill="background1"/>
          </w:tcPr>
          <w:p w:rsidR="00135D50" w:rsidRPr="002F17B5" w:rsidRDefault="00135D50" w:rsidP="00F265DF">
            <w:pPr>
              <w:spacing w:line="276" w:lineRule="auto"/>
              <w:ind w:right="175"/>
              <w:jc w:val="right"/>
              <w:rPr>
                <w:rFonts w:eastAsiaTheme="minorHAnsi"/>
                <w:b/>
              </w:rPr>
            </w:pPr>
            <w:r w:rsidRPr="002F17B5">
              <w:rPr>
                <w:b/>
              </w:rPr>
              <w:t>£m</w:t>
            </w:r>
          </w:p>
        </w:tc>
        <w:tc>
          <w:tcPr>
            <w:tcW w:w="2126" w:type="dxa"/>
            <w:tcBorders>
              <w:left w:val="single" w:sz="8" w:space="0" w:color="auto"/>
            </w:tcBorders>
            <w:shd w:val="clear" w:color="auto" w:fill="FFFFFF" w:themeFill="background1"/>
          </w:tcPr>
          <w:p w:rsidR="00135D50" w:rsidRPr="002F17B5" w:rsidRDefault="00135D50" w:rsidP="00F265DF">
            <w:pPr>
              <w:spacing w:line="276" w:lineRule="auto"/>
              <w:ind w:right="175"/>
              <w:jc w:val="right"/>
              <w:rPr>
                <w:rFonts w:eastAsiaTheme="minorHAnsi"/>
                <w:b/>
              </w:rPr>
            </w:pPr>
            <w:r w:rsidRPr="002F17B5">
              <w:rPr>
                <w:b/>
              </w:rPr>
              <w:t>£m</w:t>
            </w:r>
          </w:p>
        </w:tc>
        <w:tc>
          <w:tcPr>
            <w:tcW w:w="1701" w:type="dxa"/>
            <w:shd w:val="clear" w:color="auto" w:fill="FFFFFF" w:themeFill="background1"/>
          </w:tcPr>
          <w:p w:rsidR="00135D50" w:rsidRPr="002F17B5" w:rsidRDefault="00135D50" w:rsidP="00F265DF">
            <w:pPr>
              <w:spacing w:line="276" w:lineRule="auto"/>
              <w:ind w:right="176"/>
              <w:jc w:val="right"/>
              <w:rPr>
                <w:rFonts w:eastAsiaTheme="minorHAnsi"/>
                <w:b/>
              </w:rPr>
            </w:pPr>
            <w:r w:rsidRPr="002F17B5">
              <w:rPr>
                <w:b/>
              </w:rPr>
              <w:t>£m</w:t>
            </w:r>
          </w:p>
        </w:tc>
      </w:tr>
      <w:tr w:rsidR="00135D50" w:rsidRPr="002F17B5" w:rsidTr="001353C9">
        <w:trPr>
          <w:trHeight w:val="776"/>
        </w:trPr>
        <w:tc>
          <w:tcPr>
            <w:tcW w:w="2278" w:type="dxa"/>
            <w:tcBorders>
              <w:right w:val="single" w:sz="8" w:space="0" w:color="auto"/>
            </w:tcBorders>
            <w:shd w:val="clear" w:color="auto" w:fill="FFFFFF" w:themeFill="background1"/>
          </w:tcPr>
          <w:p w:rsidR="00135D50" w:rsidRPr="002F17B5" w:rsidRDefault="00135D50" w:rsidP="00F265DF">
            <w:pPr>
              <w:pStyle w:val="ListParagraph"/>
              <w:spacing w:after="240"/>
              <w:ind w:left="0"/>
              <w:jc w:val="left"/>
            </w:pPr>
            <w:r w:rsidRPr="002F17B5">
              <w:t>Loans &amp; Receivables</w:t>
            </w:r>
          </w:p>
        </w:tc>
        <w:tc>
          <w:tcPr>
            <w:tcW w:w="1425" w:type="dxa"/>
            <w:tcBorders>
              <w:top w:val="nil"/>
              <w:left w:val="single" w:sz="8" w:space="0" w:color="auto"/>
              <w:bottom w:val="nil"/>
            </w:tcBorders>
            <w:shd w:val="clear" w:color="auto" w:fill="FFFFFF" w:themeFill="background1"/>
            <w:vAlign w:val="center"/>
          </w:tcPr>
          <w:p w:rsidR="00135D50" w:rsidRPr="002F17B5" w:rsidRDefault="00927A03">
            <w:pPr>
              <w:pStyle w:val="ListParagraph"/>
              <w:spacing w:after="240"/>
              <w:ind w:left="0"/>
              <w:jc w:val="right"/>
            </w:pPr>
            <w:r>
              <w:t>242.2</w:t>
            </w:r>
          </w:p>
        </w:tc>
        <w:tc>
          <w:tcPr>
            <w:tcW w:w="2251" w:type="dxa"/>
            <w:gridSpan w:val="2"/>
            <w:tcBorders>
              <w:top w:val="nil"/>
              <w:bottom w:val="nil"/>
              <w:right w:val="single" w:sz="8" w:space="0" w:color="auto"/>
            </w:tcBorders>
            <w:shd w:val="clear" w:color="auto" w:fill="FFFFFF" w:themeFill="background1"/>
            <w:vAlign w:val="center"/>
          </w:tcPr>
          <w:p w:rsidR="001D73DF" w:rsidRPr="002F17B5" w:rsidRDefault="00927A03">
            <w:pPr>
              <w:pStyle w:val="ListParagraph"/>
              <w:spacing w:after="240"/>
              <w:ind w:left="0" w:right="175"/>
              <w:jc w:val="right"/>
            </w:pPr>
            <w:r>
              <w:t>244.3</w:t>
            </w:r>
          </w:p>
        </w:tc>
        <w:tc>
          <w:tcPr>
            <w:tcW w:w="2126" w:type="dxa"/>
            <w:tcBorders>
              <w:left w:val="single" w:sz="8" w:space="0" w:color="auto"/>
            </w:tcBorders>
            <w:shd w:val="clear" w:color="auto" w:fill="FFFFFF" w:themeFill="background1"/>
            <w:vAlign w:val="center"/>
          </w:tcPr>
          <w:p w:rsidR="001D73DF" w:rsidRPr="002F17B5" w:rsidRDefault="00135D50">
            <w:pPr>
              <w:pStyle w:val="ListParagraph"/>
              <w:spacing w:after="240"/>
              <w:ind w:left="0"/>
              <w:jc w:val="right"/>
            </w:pPr>
            <w:r w:rsidRPr="002F17B5">
              <w:t xml:space="preserve">             274.8</w:t>
            </w:r>
          </w:p>
        </w:tc>
        <w:tc>
          <w:tcPr>
            <w:tcW w:w="1701" w:type="dxa"/>
            <w:shd w:val="clear" w:color="auto" w:fill="FFFFFF" w:themeFill="background1"/>
            <w:vAlign w:val="center"/>
          </w:tcPr>
          <w:p w:rsidR="00135D50" w:rsidRPr="002F17B5" w:rsidRDefault="00135D50" w:rsidP="00782000">
            <w:pPr>
              <w:pStyle w:val="ListParagraph"/>
              <w:spacing w:after="240"/>
              <w:ind w:left="0" w:right="175"/>
              <w:jc w:val="right"/>
            </w:pPr>
          </w:p>
          <w:p w:rsidR="001D73DF" w:rsidRPr="002F17B5" w:rsidRDefault="00135D50">
            <w:pPr>
              <w:pStyle w:val="ListParagraph"/>
              <w:spacing w:after="240"/>
              <w:ind w:left="0" w:right="175"/>
              <w:jc w:val="right"/>
            </w:pPr>
            <w:r w:rsidRPr="002F17B5">
              <w:t>290.8</w:t>
            </w:r>
          </w:p>
        </w:tc>
      </w:tr>
      <w:tr w:rsidR="00135D50" w:rsidRPr="002F17B5" w:rsidTr="001353C9">
        <w:trPr>
          <w:trHeight w:val="776"/>
        </w:trPr>
        <w:tc>
          <w:tcPr>
            <w:tcW w:w="2278" w:type="dxa"/>
            <w:tcBorders>
              <w:right w:val="single" w:sz="8" w:space="0" w:color="auto"/>
            </w:tcBorders>
            <w:shd w:val="clear" w:color="auto" w:fill="FFFFFF" w:themeFill="background1"/>
            <w:vAlign w:val="center"/>
          </w:tcPr>
          <w:p w:rsidR="00135D50" w:rsidRPr="002F17B5" w:rsidRDefault="00135D50" w:rsidP="00F265DF">
            <w:pPr>
              <w:pStyle w:val="ListParagraph"/>
              <w:spacing w:after="240"/>
              <w:ind w:left="0"/>
              <w:jc w:val="left"/>
            </w:pPr>
            <w:r w:rsidRPr="002F17B5">
              <w:t>Long term Debtors</w:t>
            </w:r>
          </w:p>
        </w:tc>
        <w:tc>
          <w:tcPr>
            <w:tcW w:w="1425" w:type="dxa"/>
            <w:tcBorders>
              <w:top w:val="nil"/>
              <w:left w:val="single" w:sz="8" w:space="0" w:color="auto"/>
              <w:bottom w:val="single" w:sz="8" w:space="0" w:color="auto"/>
            </w:tcBorders>
            <w:shd w:val="clear" w:color="auto" w:fill="FFFFFF" w:themeFill="background1"/>
            <w:vAlign w:val="center"/>
          </w:tcPr>
          <w:p w:rsidR="00135D50" w:rsidRPr="002F17B5" w:rsidRDefault="00135D50" w:rsidP="00782000">
            <w:pPr>
              <w:pStyle w:val="ListParagraph"/>
              <w:spacing w:after="240"/>
              <w:ind w:left="0"/>
              <w:jc w:val="right"/>
            </w:pPr>
            <w:r w:rsidRPr="002F17B5">
              <w:t>41.1</w:t>
            </w:r>
          </w:p>
        </w:tc>
        <w:tc>
          <w:tcPr>
            <w:tcW w:w="2251" w:type="dxa"/>
            <w:gridSpan w:val="2"/>
            <w:tcBorders>
              <w:top w:val="nil"/>
              <w:bottom w:val="single" w:sz="8" w:space="0" w:color="auto"/>
              <w:right w:val="single" w:sz="8" w:space="0" w:color="auto"/>
            </w:tcBorders>
            <w:shd w:val="clear" w:color="auto" w:fill="FFFFFF" w:themeFill="background1"/>
            <w:vAlign w:val="center"/>
          </w:tcPr>
          <w:p w:rsidR="001D73DF" w:rsidRPr="002F17B5" w:rsidRDefault="00135D50">
            <w:pPr>
              <w:pStyle w:val="ListParagraph"/>
              <w:spacing w:after="240"/>
              <w:ind w:left="0" w:right="175"/>
              <w:jc w:val="right"/>
            </w:pPr>
            <w:r w:rsidRPr="002F17B5">
              <w:t>41.1</w:t>
            </w:r>
          </w:p>
        </w:tc>
        <w:tc>
          <w:tcPr>
            <w:tcW w:w="2126" w:type="dxa"/>
            <w:tcBorders>
              <w:left w:val="single" w:sz="8" w:space="0" w:color="auto"/>
            </w:tcBorders>
            <w:shd w:val="clear" w:color="auto" w:fill="FFFFFF" w:themeFill="background1"/>
            <w:vAlign w:val="center"/>
          </w:tcPr>
          <w:p w:rsidR="001D73DF" w:rsidRPr="002F17B5" w:rsidRDefault="00135D50">
            <w:pPr>
              <w:pStyle w:val="ListParagraph"/>
              <w:spacing w:after="240"/>
              <w:ind w:left="0" w:right="175"/>
              <w:jc w:val="right"/>
            </w:pPr>
            <w:r w:rsidRPr="002F17B5">
              <w:t>43.1</w:t>
            </w:r>
          </w:p>
        </w:tc>
        <w:tc>
          <w:tcPr>
            <w:tcW w:w="1701" w:type="dxa"/>
            <w:shd w:val="clear" w:color="auto" w:fill="FFFFFF" w:themeFill="background1"/>
            <w:vAlign w:val="bottom"/>
          </w:tcPr>
          <w:p w:rsidR="001D73DF" w:rsidRPr="002F17B5" w:rsidRDefault="00135D50">
            <w:pPr>
              <w:pStyle w:val="ListParagraph"/>
              <w:spacing w:after="240"/>
              <w:ind w:left="0" w:right="176"/>
              <w:jc w:val="right"/>
            </w:pPr>
            <w:r w:rsidRPr="002F17B5">
              <w:t>43.1</w:t>
            </w:r>
          </w:p>
        </w:tc>
      </w:tr>
    </w:tbl>
    <w:p w:rsidR="00135D50" w:rsidRPr="002F17B5" w:rsidRDefault="00135D50" w:rsidP="00135D50">
      <w:pPr>
        <w:pStyle w:val="ListParagraph"/>
        <w:spacing w:after="240"/>
        <w:ind w:left="0"/>
        <w:rPr>
          <w:sz w:val="18"/>
          <w:szCs w:val="18"/>
        </w:rPr>
      </w:pPr>
    </w:p>
    <w:p w:rsidR="0094549C" w:rsidRPr="002F17B5" w:rsidRDefault="0094549C" w:rsidP="00135D50">
      <w:pPr>
        <w:pStyle w:val="ListParagraph"/>
        <w:spacing w:after="240"/>
        <w:ind w:left="0"/>
        <w:rPr>
          <w:sz w:val="18"/>
          <w:szCs w:val="18"/>
        </w:rPr>
      </w:pPr>
    </w:p>
    <w:p w:rsidR="00135D50" w:rsidRPr="002F17B5" w:rsidRDefault="00135D50" w:rsidP="00135D50">
      <w:pPr>
        <w:pStyle w:val="ListParagraph"/>
        <w:spacing w:after="240"/>
        <w:ind w:left="0"/>
      </w:pPr>
      <w:r w:rsidRPr="002F17B5">
        <w:t>The fair value of the assets is higher than the carrying amount because the council’s portfolio of investments includes a number of fixed rate loans where the interest rate receivable is higher than the rates available for similar loans at the balance sheet date.  This shows a notional future profit (based on economic conditions at 31 March 2014) attributable to the commitment to receive interest above current market rates.</w:t>
      </w:r>
    </w:p>
    <w:p w:rsidR="0094549C" w:rsidRPr="002F17B5" w:rsidRDefault="0094549C" w:rsidP="0094549C">
      <w:pPr>
        <w:pStyle w:val="ListParagraph"/>
        <w:spacing w:after="240"/>
        <w:rPr>
          <w:b/>
          <w:u w:val="single"/>
        </w:rPr>
      </w:pPr>
    </w:p>
    <w:p w:rsidR="00C46A78" w:rsidRPr="002F17B5" w:rsidRDefault="00C46A78" w:rsidP="00135D50">
      <w:pPr>
        <w:pStyle w:val="Heading3-numbered"/>
        <w:numPr>
          <w:ilvl w:val="0"/>
          <w:numId w:val="0"/>
        </w:numPr>
        <w:ind w:left="644" w:hanging="360"/>
        <w:rPr>
          <w:sz w:val="22"/>
        </w:rPr>
      </w:pPr>
    </w:p>
    <w:p w:rsidR="00C46A78" w:rsidRPr="002F17B5" w:rsidRDefault="00C46A78">
      <w:pPr>
        <w:autoSpaceDE/>
        <w:autoSpaceDN/>
        <w:adjustRightInd/>
        <w:spacing w:after="20"/>
        <w:jc w:val="right"/>
        <w:rPr>
          <w:rFonts w:eastAsia="Times New Roman" w:cs="Arial"/>
          <w:b/>
          <w:bCs/>
          <w:i/>
          <w:color w:val="auto"/>
          <w:sz w:val="22"/>
          <w:szCs w:val="28"/>
        </w:rPr>
      </w:pPr>
      <w:r w:rsidRPr="002F17B5">
        <w:rPr>
          <w:sz w:val="22"/>
        </w:rPr>
        <w:br w:type="page"/>
      </w:r>
    </w:p>
    <w:p w:rsidR="00AA0715" w:rsidRPr="002F17B5" w:rsidRDefault="00090E48" w:rsidP="00AA0715">
      <w:pPr>
        <w:pStyle w:val="Heading3-numbered"/>
        <w:rPr>
          <w:i w:val="0"/>
          <w:sz w:val="26"/>
        </w:rPr>
      </w:pPr>
      <w:r w:rsidRPr="002F17B5">
        <w:rPr>
          <w:sz w:val="12"/>
        </w:rPr>
        <w:lastRenderedPageBreak/>
        <w:t xml:space="preserve">  </w:t>
      </w:r>
      <w:r w:rsidR="00AA0715" w:rsidRPr="002F17B5">
        <w:rPr>
          <w:i w:val="0"/>
          <w:sz w:val="26"/>
        </w:rPr>
        <w:t xml:space="preserve">Nature and Extent of Risks Arising From Financial Instruments </w:t>
      </w:r>
    </w:p>
    <w:p w:rsidR="00AA0715" w:rsidRPr="002F17B5" w:rsidRDefault="00AA0715" w:rsidP="00AA0715">
      <w:pPr>
        <w:autoSpaceDE/>
        <w:autoSpaceDN/>
        <w:adjustRightInd/>
        <w:spacing w:before="0" w:after="240"/>
        <w:ind w:left="720"/>
        <w:rPr>
          <w:sz w:val="2"/>
        </w:rPr>
      </w:pPr>
    </w:p>
    <w:p w:rsidR="00AA0715" w:rsidRPr="002F17B5" w:rsidRDefault="00AA0715" w:rsidP="00AA0715">
      <w:r w:rsidRPr="002F17B5">
        <w:t>The council's activities expose it to a variety of financial risks:</w:t>
      </w:r>
    </w:p>
    <w:p w:rsidR="00AA0715" w:rsidRPr="002F17B5" w:rsidRDefault="00AA0715" w:rsidP="00AA0715">
      <w:pPr>
        <w:rPr>
          <w:sz w:val="4"/>
        </w:rPr>
      </w:pPr>
    </w:p>
    <w:p w:rsidR="00AA0715" w:rsidRPr="002F17B5" w:rsidRDefault="00AA0715" w:rsidP="00AA0715">
      <w:pPr>
        <w:numPr>
          <w:ilvl w:val="0"/>
          <w:numId w:val="43"/>
        </w:numPr>
        <w:autoSpaceDE/>
        <w:autoSpaceDN/>
        <w:adjustRightInd/>
        <w:spacing w:before="0" w:after="0"/>
        <w:ind w:left="709" w:hanging="425"/>
      </w:pPr>
      <w:r w:rsidRPr="002F17B5">
        <w:rPr>
          <w:b/>
        </w:rPr>
        <w:t>Credit risk</w:t>
      </w:r>
      <w:r w:rsidRPr="002F17B5">
        <w:t xml:space="preserve"> – the possibility that other parties might fail to pay amounts due to the council</w:t>
      </w:r>
    </w:p>
    <w:p w:rsidR="00AA0715" w:rsidRPr="002F17B5" w:rsidRDefault="00AA0715" w:rsidP="00AA0715">
      <w:pPr>
        <w:autoSpaceDE/>
        <w:autoSpaceDN/>
        <w:adjustRightInd/>
        <w:spacing w:before="0" w:after="0"/>
        <w:ind w:left="709" w:hanging="425"/>
        <w:rPr>
          <w:sz w:val="20"/>
        </w:rPr>
      </w:pPr>
    </w:p>
    <w:p w:rsidR="00AA0715" w:rsidRPr="002F17B5" w:rsidRDefault="00AA0715" w:rsidP="00AA0715">
      <w:pPr>
        <w:numPr>
          <w:ilvl w:val="0"/>
          <w:numId w:val="43"/>
        </w:numPr>
        <w:autoSpaceDE/>
        <w:autoSpaceDN/>
        <w:adjustRightInd/>
        <w:spacing w:before="0" w:after="0"/>
        <w:ind w:left="709" w:hanging="425"/>
      </w:pPr>
      <w:r w:rsidRPr="002F17B5">
        <w:rPr>
          <w:b/>
        </w:rPr>
        <w:t>Liquidity risk</w:t>
      </w:r>
      <w:r w:rsidRPr="002F17B5">
        <w:t xml:space="preserve"> – the possibility that the council might not have funds available to meet its commitments to make payments</w:t>
      </w:r>
    </w:p>
    <w:p w:rsidR="00AA0715" w:rsidRPr="002F17B5" w:rsidRDefault="00AA0715" w:rsidP="00AA0715">
      <w:pPr>
        <w:autoSpaceDE/>
        <w:autoSpaceDN/>
        <w:adjustRightInd/>
        <w:spacing w:before="0" w:after="0"/>
        <w:ind w:hanging="425"/>
        <w:rPr>
          <w:sz w:val="12"/>
        </w:rPr>
      </w:pPr>
    </w:p>
    <w:p w:rsidR="00AA0715" w:rsidRPr="002F17B5" w:rsidRDefault="00AA0715" w:rsidP="00AA0715">
      <w:pPr>
        <w:numPr>
          <w:ilvl w:val="0"/>
          <w:numId w:val="43"/>
        </w:numPr>
        <w:autoSpaceDE/>
        <w:autoSpaceDN/>
        <w:adjustRightInd/>
        <w:spacing w:before="0" w:after="0"/>
        <w:ind w:left="709" w:hanging="425"/>
      </w:pPr>
      <w:r w:rsidRPr="002F17B5">
        <w:rPr>
          <w:b/>
        </w:rPr>
        <w:t>Market risk</w:t>
      </w:r>
      <w:r w:rsidRPr="002F17B5">
        <w:t xml:space="preserve"> – the possibility that financial loss might arise for the council as a result of changes in such measures as interest rates and stock movements.</w:t>
      </w:r>
    </w:p>
    <w:p w:rsidR="00AA0715" w:rsidRPr="002F17B5" w:rsidRDefault="00AA0715" w:rsidP="00AA0715"/>
    <w:p w:rsidR="00AA0715" w:rsidRPr="002F17B5" w:rsidRDefault="00AA0715" w:rsidP="00AA0715">
      <w:r w:rsidRPr="002F17B5">
        <w:t>The council's overall risk management programme focuses on the unpredictability of financial markets and seeks to minimise potential adverse effects on the resources available to fund services. Risk management is carried out by a central treasury team, under policies approved by the county council in the annual treasury management strategy.</w:t>
      </w:r>
    </w:p>
    <w:p w:rsidR="00AA0715" w:rsidRPr="002F17B5" w:rsidRDefault="00AA0715" w:rsidP="00AA0715">
      <w:pPr>
        <w:rPr>
          <w:b/>
        </w:rPr>
      </w:pPr>
    </w:p>
    <w:p w:rsidR="00AA0715" w:rsidRPr="002F17B5" w:rsidRDefault="00AA0715" w:rsidP="00AA0715">
      <w:pPr>
        <w:rPr>
          <w:b/>
        </w:rPr>
      </w:pPr>
      <w:r w:rsidRPr="002F17B5">
        <w:rPr>
          <w:b/>
        </w:rPr>
        <w:t xml:space="preserve">Credit Risk </w:t>
      </w:r>
    </w:p>
    <w:p w:rsidR="00AA0715" w:rsidRPr="002F17B5" w:rsidRDefault="00AA0715" w:rsidP="00AA0715">
      <w:pPr>
        <w:rPr>
          <w:b/>
          <w:color w:val="0000FF"/>
          <w:sz w:val="2"/>
        </w:rPr>
      </w:pPr>
    </w:p>
    <w:p w:rsidR="00AA0715" w:rsidRPr="002F17B5" w:rsidRDefault="00AA0715" w:rsidP="00AA0715">
      <w:r w:rsidRPr="002F17B5">
        <w:t>Credit risk arises from deposits with banks and financial institutions, as well as credit exposures to the county council's customers.</w:t>
      </w:r>
    </w:p>
    <w:p w:rsidR="00AA0715" w:rsidRPr="002F17B5" w:rsidRDefault="00AA0715" w:rsidP="00AA0715">
      <w:pPr>
        <w:rPr>
          <w:sz w:val="14"/>
        </w:rPr>
      </w:pPr>
    </w:p>
    <w:p w:rsidR="00AA0715" w:rsidRPr="002F17B5" w:rsidRDefault="00AA0715" w:rsidP="00AA0715">
      <w:r w:rsidRPr="002F17B5">
        <w:t xml:space="preserve">With regard to financial institutions the risk is minimised through the Annual Investment Strategy, which requires that deposits are not made with an institution unless it meets identified minimum credit criteria, as laid down by the three main credit rating agencies. The strategy also imposes a maximum sum and duration which the county council can be invested in an institution depending upon the quality of credit rating and over the 2013/14 financial year, despite the downgrading of the UK Government, the investment portfolio has maintained a very high AA- credit rating. However, in the past credit ratings have been proved to be fallible, and so in addition the treasury team constantly monitor other market information such as credit default swap spreads and equity prices. </w:t>
      </w:r>
    </w:p>
    <w:p w:rsidR="00AA0715" w:rsidRPr="002F17B5" w:rsidRDefault="00AA0715" w:rsidP="00AA0715">
      <w:pPr>
        <w:ind w:left="426"/>
        <w:rPr>
          <w:sz w:val="20"/>
        </w:rPr>
      </w:pPr>
    </w:p>
    <w:p w:rsidR="00AA0715" w:rsidRPr="002F17B5" w:rsidRDefault="00AA0715" w:rsidP="00AA0715">
      <w:r w:rsidRPr="002F17B5">
        <w:t>A main principle of the 2013/14 credit risk strategy was to invest mainly in UK government credit through nationalised' banks and government guaranteed bonds. In addition, one of the bank loans is collateralised (backed by UK government securities), providing further access to government credit quality.</w:t>
      </w:r>
    </w:p>
    <w:p w:rsidR="00AA0715" w:rsidRPr="002F17B5" w:rsidRDefault="00AA0715" w:rsidP="00AA0715">
      <w:pPr>
        <w:rPr>
          <w:sz w:val="20"/>
        </w:rPr>
      </w:pPr>
    </w:p>
    <w:p w:rsidR="00AA0715" w:rsidRDefault="00AA0715" w:rsidP="00AA0715">
      <w:pPr>
        <w:rPr>
          <w:rFonts w:cs="Arial"/>
          <w:color w:val="auto"/>
        </w:rPr>
      </w:pPr>
      <w:r w:rsidRPr="002F17B5">
        <w:t xml:space="preserve">The table below analyses the portfolio by the credit rating of the counterparties at 31 March 2014 </w:t>
      </w:r>
      <w:r w:rsidRPr="002F17B5">
        <w:rPr>
          <w:rFonts w:cs="Arial"/>
          <w:color w:val="auto"/>
        </w:rPr>
        <w:t>and summarises the county council's investments as at 31 March 2014 (values exclude impairments and accrued interest), in term of credit ratings. The historic default rate for the individual investment category is applied to each group to give an overall measure of the value at risk. The chance of a default is currently calcu</w:t>
      </w:r>
      <w:r w:rsidR="00E6494C">
        <w:rPr>
          <w:rFonts w:cs="Arial"/>
          <w:color w:val="auto"/>
        </w:rPr>
        <w:t>lated as £2.18m in £538.</w:t>
      </w:r>
      <w:r w:rsidR="00BF5BA0">
        <w:rPr>
          <w:rFonts w:cs="Arial"/>
          <w:color w:val="auto"/>
        </w:rPr>
        <w:t>3</w:t>
      </w:r>
      <w:r w:rsidR="00E6494C">
        <w:rPr>
          <w:rFonts w:cs="Arial"/>
          <w:color w:val="auto"/>
        </w:rPr>
        <w:t>m or 0.4</w:t>
      </w:r>
      <w:r w:rsidRPr="002F17B5">
        <w:rPr>
          <w:rFonts w:cs="Arial"/>
          <w:color w:val="auto"/>
        </w:rPr>
        <w:t>% which is considered to be very low, especially considering the current turbulent financial environment.</w:t>
      </w:r>
    </w:p>
    <w:p w:rsidR="00517CAE" w:rsidRPr="002F17B5" w:rsidRDefault="00517CAE" w:rsidP="00AA0715">
      <w:pPr>
        <w:rPr>
          <w:rFonts w:cs="Arial"/>
          <w:color w:val="auto"/>
        </w:rPr>
      </w:pPr>
    </w:p>
    <w:p w:rsidR="00AA0715" w:rsidRPr="002F17B5" w:rsidRDefault="00AA0715" w:rsidP="00AA0715">
      <w:pPr>
        <w:rPr>
          <w:sz w:val="10"/>
        </w:rPr>
      </w:pPr>
    </w:p>
    <w:tbl>
      <w:tblPr>
        <w:tblW w:w="10715" w:type="dxa"/>
        <w:jc w:val="center"/>
        <w:shd w:val="clear" w:color="auto" w:fill="FFFFFF" w:themeFill="background1"/>
        <w:tblLayout w:type="fixed"/>
        <w:tblLook w:val="04A0" w:firstRow="1" w:lastRow="0" w:firstColumn="1" w:lastColumn="0" w:noHBand="0" w:noVBand="1"/>
      </w:tblPr>
      <w:tblGrid>
        <w:gridCol w:w="1985"/>
        <w:gridCol w:w="993"/>
        <w:gridCol w:w="992"/>
        <w:gridCol w:w="992"/>
        <w:gridCol w:w="992"/>
        <w:gridCol w:w="851"/>
        <w:gridCol w:w="850"/>
        <w:gridCol w:w="1134"/>
        <w:gridCol w:w="993"/>
        <w:gridCol w:w="933"/>
      </w:tblGrid>
      <w:tr w:rsidR="00AA0715" w:rsidRPr="002F17B5" w:rsidTr="00D641BD">
        <w:trPr>
          <w:jc w:val="center"/>
        </w:trPr>
        <w:tc>
          <w:tcPr>
            <w:tcW w:w="1985" w:type="dxa"/>
            <w:shd w:val="clear" w:color="auto" w:fill="FFFFFF" w:themeFill="background1"/>
          </w:tcPr>
          <w:p w:rsidR="00AA0715" w:rsidRPr="002F17B5" w:rsidRDefault="00AA0715" w:rsidP="00F265DF">
            <w:pPr>
              <w:jc w:val="left"/>
              <w:rPr>
                <w:b/>
              </w:rPr>
            </w:pPr>
            <w:r w:rsidRPr="002F17B5">
              <w:rPr>
                <w:b/>
                <w:sz w:val="22"/>
                <w:szCs w:val="22"/>
              </w:rPr>
              <w:lastRenderedPageBreak/>
              <w:t>Credit Risk</w:t>
            </w:r>
          </w:p>
        </w:tc>
        <w:tc>
          <w:tcPr>
            <w:tcW w:w="993" w:type="dxa"/>
            <w:shd w:val="clear" w:color="auto" w:fill="FFFFFF" w:themeFill="background1"/>
          </w:tcPr>
          <w:p w:rsidR="00AA0715" w:rsidRPr="002F17B5" w:rsidRDefault="00AA0715" w:rsidP="00F265DF">
            <w:pPr>
              <w:jc w:val="right"/>
              <w:rPr>
                <w:b/>
              </w:rPr>
            </w:pPr>
            <w:r w:rsidRPr="002F17B5">
              <w:rPr>
                <w:b/>
                <w:sz w:val="22"/>
                <w:szCs w:val="22"/>
              </w:rPr>
              <w:t>&lt;1mth</w:t>
            </w:r>
          </w:p>
        </w:tc>
        <w:tc>
          <w:tcPr>
            <w:tcW w:w="992" w:type="dxa"/>
            <w:shd w:val="clear" w:color="auto" w:fill="FFFFFF" w:themeFill="background1"/>
          </w:tcPr>
          <w:p w:rsidR="00AA0715" w:rsidRPr="002F17B5" w:rsidRDefault="00AA0715" w:rsidP="00F265DF">
            <w:pPr>
              <w:jc w:val="right"/>
              <w:rPr>
                <w:b/>
              </w:rPr>
            </w:pPr>
            <w:r w:rsidRPr="002F17B5">
              <w:rPr>
                <w:b/>
                <w:sz w:val="22"/>
                <w:szCs w:val="22"/>
              </w:rPr>
              <w:t>&lt;3mth</w:t>
            </w:r>
          </w:p>
        </w:tc>
        <w:tc>
          <w:tcPr>
            <w:tcW w:w="992" w:type="dxa"/>
            <w:shd w:val="clear" w:color="auto" w:fill="FFFFFF" w:themeFill="background1"/>
          </w:tcPr>
          <w:p w:rsidR="00AA0715" w:rsidRPr="002F17B5" w:rsidRDefault="00AA0715" w:rsidP="00F265DF">
            <w:pPr>
              <w:jc w:val="right"/>
              <w:rPr>
                <w:b/>
              </w:rPr>
            </w:pPr>
            <w:r w:rsidRPr="002F17B5">
              <w:rPr>
                <w:b/>
                <w:sz w:val="22"/>
                <w:szCs w:val="22"/>
              </w:rPr>
              <w:t>&lt;6mth</w:t>
            </w:r>
          </w:p>
        </w:tc>
        <w:tc>
          <w:tcPr>
            <w:tcW w:w="992" w:type="dxa"/>
            <w:shd w:val="clear" w:color="auto" w:fill="FFFFFF" w:themeFill="background1"/>
          </w:tcPr>
          <w:p w:rsidR="00AA0715" w:rsidRPr="002F17B5" w:rsidRDefault="00AA0715" w:rsidP="00F265DF">
            <w:pPr>
              <w:jc w:val="right"/>
              <w:rPr>
                <w:b/>
              </w:rPr>
            </w:pPr>
            <w:r w:rsidRPr="002F17B5">
              <w:rPr>
                <w:b/>
                <w:sz w:val="22"/>
                <w:szCs w:val="22"/>
              </w:rPr>
              <w:t>&lt;1yr</w:t>
            </w:r>
          </w:p>
        </w:tc>
        <w:tc>
          <w:tcPr>
            <w:tcW w:w="851" w:type="dxa"/>
            <w:shd w:val="clear" w:color="auto" w:fill="FFFFFF" w:themeFill="background1"/>
          </w:tcPr>
          <w:p w:rsidR="00AA0715" w:rsidRPr="002F17B5" w:rsidRDefault="00AA0715" w:rsidP="00F265DF">
            <w:pPr>
              <w:jc w:val="right"/>
              <w:rPr>
                <w:b/>
              </w:rPr>
            </w:pPr>
            <w:r w:rsidRPr="002F17B5">
              <w:rPr>
                <w:b/>
                <w:sz w:val="22"/>
                <w:szCs w:val="22"/>
              </w:rPr>
              <w:t>&lt;2yr</w:t>
            </w:r>
          </w:p>
        </w:tc>
        <w:tc>
          <w:tcPr>
            <w:tcW w:w="850" w:type="dxa"/>
            <w:shd w:val="clear" w:color="auto" w:fill="FFFFFF" w:themeFill="background1"/>
          </w:tcPr>
          <w:p w:rsidR="00AA0715" w:rsidRPr="002F17B5" w:rsidRDefault="00AA0715" w:rsidP="00F265DF">
            <w:pPr>
              <w:jc w:val="right"/>
              <w:rPr>
                <w:b/>
              </w:rPr>
            </w:pPr>
            <w:r w:rsidRPr="002F17B5">
              <w:rPr>
                <w:b/>
                <w:sz w:val="22"/>
                <w:szCs w:val="22"/>
              </w:rPr>
              <w:t>&lt;5yr</w:t>
            </w:r>
          </w:p>
        </w:tc>
        <w:tc>
          <w:tcPr>
            <w:tcW w:w="1134" w:type="dxa"/>
            <w:shd w:val="clear" w:color="auto" w:fill="FFFFFF" w:themeFill="background1"/>
          </w:tcPr>
          <w:p w:rsidR="00AA0715" w:rsidRPr="002F17B5" w:rsidRDefault="00AA0715" w:rsidP="00F265DF">
            <w:pPr>
              <w:jc w:val="right"/>
              <w:rPr>
                <w:b/>
              </w:rPr>
            </w:pPr>
            <w:r w:rsidRPr="002F17B5">
              <w:rPr>
                <w:b/>
                <w:sz w:val="22"/>
                <w:szCs w:val="22"/>
              </w:rPr>
              <w:t>&lt;10yr</w:t>
            </w:r>
          </w:p>
        </w:tc>
        <w:tc>
          <w:tcPr>
            <w:tcW w:w="993" w:type="dxa"/>
            <w:shd w:val="clear" w:color="auto" w:fill="FFFFFF" w:themeFill="background1"/>
          </w:tcPr>
          <w:p w:rsidR="00AA0715" w:rsidRPr="002F17B5" w:rsidRDefault="00AA0715" w:rsidP="00F265DF">
            <w:pPr>
              <w:jc w:val="right"/>
              <w:rPr>
                <w:b/>
              </w:rPr>
            </w:pPr>
            <w:r w:rsidRPr="002F17B5">
              <w:rPr>
                <w:b/>
                <w:sz w:val="22"/>
                <w:szCs w:val="22"/>
              </w:rPr>
              <w:t>&gt;10yr</w:t>
            </w:r>
          </w:p>
        </w:tc>
        <w:tc>
          <w:tcPr>
            <w:tcW w:w="933" w:type="dxa"/>
            <w:shd w:val="clear" w:color="auto" w:fill="FFFFFF" w:themeFill="background1"/>
          </w:tcPr>
          <w:p w:rsidR="00AA0715" w:rsidRPr="002F17B5" w:rsidRDefault="00AA0715" w:rsidP="00F265DF">
            <w:pPr>
              <w:jc w:val="right"/>
              <w:rPr>
                <w:b/>
              </w:rPr>
            </w:pPr>
            <w:r w:rsidRPr="002F17B5">
              <w:rPr>
                <w:b/>
                <w:sz w:val="22"/>
                <w:szCs w:val="22"/>
              </w:rPr>
              <w:t>Total</w:t>
            </w:r>
          </w:p>
        </w:tc>
      </w:tr>
      <w:tr w:rsidR="00AA0715" w:rsidRPr="002F17B5" w:rsidTr="00D641BD">
        <w:trPr>
          <w:jc w:val="center"/>
        </w:trPr>
        <w:tc>
          <w:tcPr>
            <w:tcW w:w="1985" w:type="dxa"/>
            <w:shd w:val="clear" w:color="auto" w:fill="FFFFFF" w:themeFill="background1"/>
          </w:tcPr>
          <w:p w:rsidR="00AA0715" w:rsidRPr="002F17B5" w:rsidRDefault="00AA0715" w:rsidP="00F265DF">
            <w:pPr>
              <w:rPr>
                <w:rFonts w:cs="Arial"/>
              </w:rPr>
            </w:pPr>
          </w:p>
        </w:tc>
        <w:tc>
          <w:tcPr>
            <w:tcW w:w="993" w:type="dxa"/>
            <w:shd w:val="clear" w:color="auto" w:fill="FFFFFF" w:themeFill="background1"/>
          </w:tcPr>
          <w:p w:rsidR="00AA0715" w:rsidRPr="002F17B5" w:rsidRDefault="00AA0715" w:rsidP="00F265DF">
            <w:pPr>
              <w:jc w:val="right"/>
              <w:rPr>
                <w:rFonts w:cs="Arial"/>
              </w:rPr>
            </w:pPr>
          </w:p>
        </w:tc>
        <w:tc>
          <w:tcPr>
            <w:tcW w:w="992" w:type="dxa"/>
            <w:shd w:val="clear" w:color="auto" w:fill="FFFFFF" w:themeFill="background1"/>
          </w:tcPr>
          <w:p w:rsidR="00AA0715" w:rsidRPr="002F17B5" w:rsidRDefault="00AA0715" w:rsidP="00F265DF">
            <w:pPr>
              <w:jc w:val="right"/>
              <w:rPr>
                <w:rFonts w:cs="Arial"/>
              </w:rPr>
            </w:pPr>
          </w:p>
        </w:tc>
        <w:tc>
          <w:tcPr>
            <w:tcW w:w="992" w:type="dxa"/>
            <w:shd w:val="clear" w:color="auto" w:fill="FFFFFF" w:themeFill="background1"/>
          </w:tcPr>
          <w:p w:rsidR="00AA0715" w:rsidRPr="002F17B5" w:rsidRDefault="00AA0715" w:rsidP="00F265DF">
            <w:pPr>
              <w:jc w:val="right"/>
              <w:rPr>
                <w:rFonts w:cs="Arial"/>
              </w:rPr>
            </w:pPr>
          </w:p>
        </w:tc>
        <w:tc>
          <w:tcPr>
            <w:tcW w:w="992" w:type="dxa"/>
            <w:shd w:val="clear" w:color="auto" w:fill="FFFFFF" w:themeFill="background1"/>
          </w:tcPr>
          <w:p w:rsidR="00AA0715" w:rsidRPr="002F17B5" w:rsidRDefault="00AA0715" w:rsidP="00F265DF">
            <w:pPr>
              <w:jc w:val="right"/>
              <w:rPr>
                <w:rFonts w:cs="Arial"/>
              </w:rPr>
            </w:pPr>
          </w:p>
        </w:tc>
        <w:tc>
          <w:tcPr>
            <w:tcW w:w="851" w:type="dxa"/>
            <w:shd w:val="clear" w:color="auto" w:fill="FFFFFF" w:themeFill="background1"/>
          </w:tcPr>
          <w:p w:rsidR="00AA0715" w:rsidRPr="002F17B5" w:rsidRDefault="00AA0715" w:rsidP="00F265DF">
            <w:pPr>
              <w:jc w:val="right"/>
              <w:rPr>
                <w:rFonts w:cs="Arial"/>
              </w:rPr>
            </w:pPr>
          </w:p>
        </w:tc>
        <w:tc>
          <w:tcPr>
            <w:tcW w:w="850" w:type="dxa"/>
            <w:shd w:val="clear" w:color="auto" w:fill="FFFFFF" w:themeFill="background1"/>
          </w:tcPr>
          <w:p w:rsidR="00AA0715" w:rsidRPr="002F17B5" w:rsidRDefault="00AA0715" w:rsidP="00F265DF">
            <w:pPr>
              <w:jc w:val="right"/>
              <w:rPr>
                <w:rFonts w:cs="Arial"/>
              </w:rPr>
            </w:pPr>
          </w:p>
        </w:tc>
        <w:tc>
          <w:tcPr>
            <w:tcW w:w="1134" w:type="dxa"/>
            <w:shd w:val="clear" w:color="auto" w:fill="FFFFFF" w:themeFill="background1"/>
          </w:tcPr>
          <w:p w:rsidR="00AA0715" w:rsidRPr="002F17B5" w:rsidRDefault="00AA0715" w:rsidP="00F265DF">
            <w:pPr>
              <w:jc w:val="right"/>
              <w:rPr>
                <w:rFonts w:cs="Arial"/>
              </w:rPr>
            </w:pPr>
          </w:p>
        </w:tc>
        <w:tc>
          <w:tcPr>
            <w:tcW w:w="993" w:type="dxa"/>
            <w:shd w:val="clear" w:color="auto" w:fill="FFFFFF" w:themeFill="background1"/>
          </w:tcPr>
          <w:p w:rsidR="00AA0715" w:rsidRPr="002F17B5" w:rsidRDefault="00AA0715" w:rsidP="00F265DF">
            <w:pPr>
              <w:jc w:val="right"/>
              <w:rPr>
                <w:rFonts w:cs="Arial"/>
              </w:rPr>
            </w:pPr>
          </w:p>
        </w:tc>
        <w:tc>
          <w:tcPr>
            <w:tcW w:w="933" w:type="dxa"/>
            <w:shd w:val="clear" w:color="auto" w:fill="FFFFFF" w:themeFill="background1"/>
          </w:tcPr>
          <w:p w:rsidR="00AA0715" w:rsidRPr="002F17B5" w:rsidRDefault="00AA0715" w:rsidP="00F265DF">
            <w:pPr>
              <w:jc w:val="right"/>
              <w:rPr>
                <w:rFonts w:cs="Arial"/>
                <w:b/>
                <w:bCs/>
              </w:rPr>
            </w:pPr>
          </w:p>
        </w:tc>
      </w:tr>
      <w:tr w:rsidR="00AA0715" w:rsidRPr="002F17B5" w:rsidTr="00D641BD">
        <w:trPr>
          <w:jc w:val="center"/>
        </w:trPr>
        <w:tc>
          <w:tcPr>
            <w:tcW w:w="1985" w:type="dxa"/>
            <w:shd w:val="clear" w:color="auto" w:fill="FFFFFF" w:themeFill="background1"/>
          </w:tcPr>
          <w:p w:rsidR="00AA0715" w:rsidRPr="002F17B5" w:rsidRDefault="00AA0715" w:rsidP="00F265DF">
            <w:pPr>
              <w:rPr>
                <w:rFonts w:cs="Arial"/>
              </w:rPr>
            </w:pPr>
            <w:r w:rsidRPr="002F17B5">
              <w:rPr>
                <w:b/>
                <w:sz w:val="22"/>
                <w:szCs w:val="22"/>
              </w:rPr>
              <w:t>Total Investments (£m)</w:t>
            </w:r>
          </w:p>
        </w:tc>
        <w:tc>
          <w:tcPr>
            <w:tcW w:w="993"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77.7</w:t>
            </w:r>
          </w:p>
        </w:tc>
        <w:tc>
          <w:tcPr>
            <w:tcW w:w="992" w:type="dxa"/>
            <w:shd w:val="clear" w:color="auto" w:fill="FFFFFF" w:themeFill="background1"/>
          </w:tcPr>
          <w:p w:rsidR="00AA0715" w:rsidRPr="002F17B5" w:rsidRDefault="00D641BD" w:rsidP="00F265DF">
            <w:pPr>
              <w:jc w:val="right"/>
              <w:rPr>
                <w:rFonts w:cs="Arial"/>
                <w:b/>
                <w:bCs/>
              </w:rPr>
            </w:pPr>
            <w:r w:rsidRPr="002F17B5">
              <w:rPr>
                <w:rFonts w:cs="Arial"/>
                <w:b/>
                <w:bCs/>
                <w:sz w:val="22"/>
                <w:szCs w:val="22"/>
              </w:rPr>
              <w:t>-</w:t>
            </w:r>
          </w:p>
        </w:tc>
        <w:tc>
          <w:tcPr>
            <w:tcW w:w="992"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0.4</w:t>
            </w:r>
          </w:p>
        </w:tc>
        <w:tc>
          <w:tcPr>
            <w:tcW w:w="992" w:type="dxa"/>
            <w:shd w:val="clear" w:color="auto" w:fill="FFFFFF" w:themeFill="background1"/>
          </w:tcPr>
          <w:p w:rsidR="00AA0715" w:rsidRPr="002F17B5" w:rsidRDefault="00D641BD" w:rsidP="00F265DF">
            <w:pPr>
              <w:jc w:val="right"/>
              <w:rPr>
                <w:rFonts w:cs="Arial"/>
                <w:b/>
                <w:bCs/>
              </w:rPr>
            </w:pPr>
            <w:r w:rsidRPr="002F17B5">
              <w:rPr>
                <w:rFonts w:cs="Arial"/>
                <w:b/>
                <w:bCs/>
                <w:sz w:val="22"/>
                <w:szCs w:val="22"/>
              </w:rPr>
              <w:t>-</w:t>
            </w:r>
          </w:p>
        </w:tc>
        <w:tc>
          <w:tcPr>
            <w:tcW w:w="851"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75.0</w:t>
            </w:r>
          </w:p>
        </w:tc>
        <w:tc>
          <w:tcPr>
            <w:tcW w:w="850"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80.2</w:t>
            </w:r>
          </w:p>
        </w:tc>
        <w:tc>
          <w:tcPr>
            <w:tcW w:w="1134"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60.8</w:t>
            </w:r>
          </w:p>
        </w:tc>
        <w:tc>
          <w:tcPr>
            <w:tcW w:w="993"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244.2</w:t>
            </w:r>
          </w:p>
        </w:tc>
        <w:tc>
          <w:tcPr>
            <w:tcW w:w="933" w:type="dxa"/>
            <w:shd w:val="clear" w:color="auto" w:fill="FFFFFF" w:themeFill="background1"/>
          </w:tcPr>
          <w:p w:rsidR="00AA0715" w:rsidRPr="002F17B5" w:rsidRDefault="00AA0715" w:rsidP="00BF5BA0">
            <w:pPr>
              <w:jc w:val="right"/>
              <w:rPr>
                <w:rFonts w:cs="Arial"/>
                <w:b/>
                <w:bCs/>
              </w:rPr>
            </w:pPr>
            <w:r w:rsidRPr="002F17B5">
              <w:rPr>
                <w:rFonts w:cs="Arial"/>
                <w:b/>
                <w:bCs/>
                <w:sz w:val="22"/>
                <w:szCs w:val="22"/>
              </w:rPr>
              <w:t>538.</w:t>
            </w:r>
            <w:r w:rsidR="00BF5BA0">
              <w:rPr>
                <w:rFonts w:cs="Arial"/>
                <w:b/>
                <w:bCs/>
                <w:sz w:val="22"/>
                <w:szCs w:val="22"/>
              </w:rPr>
              <w:t>3</w:t>
            </w:r>
          </w:p>
        </w:tc>
      </w:tr>
      <w:tr w:rsidR="00AA0715" w:rsidRPr="002F17B5" w:rsidTr="00D641BD">
        <w:trPr>
          <w:jc w:val="center"/>
        </w:trPr>
        <w:tc>
          <w:tcPr>
            <w:tcW w:w="1985" w:type="dxa"/>
            <w:shd w:val="clear" w:color="auto" w:fill="FFFFFF" w:themeFill="background1"/>
          </w:tcPr>
          <w:p w:rsidR="00AA0715" w:rsidRPr="002F17B5" w:rsidRDefault="00AA0715" w:rsidP="00F265DF">
            <w:pPr>
              <w:jc w:val="left"/>
            </w:pPr>
            <w:r w:rsidRPr="002F17B5">
              <w:rPr>
                <w:sz w:val="22"/>
                <w:szCs w:val="22"/>
              </w:rPr>
              <w:t>Historic default rate (AA-, %)</w:t>
            </w:r>
          </w:p>
        </w:tc>
        <w:tc>
          <w:tcPr>
            <w:tcW w:w="993" w:type="dxa"/>
            <w:shd w:val="clear" w:color="auto" w:fill="FFFFFF" w:themeFill="background1"/>
          </w:tcPr>
          <w:p w:rsidR="00AA0715" w:rsidRPr="002F17B5" w:rsidRDefault="00D641BD" w:rsidP="00F265DF">
            <w:pPr>
              <w:jc w:val="right"/>
              <w:rPr>
                <w:rFonts w:cs="Arial"/>
              </w:rPr>
            </w:pPr>
            <w:r w:rsidRPr="002F17B5">
              <w:rPr>
                <w:rFonts w:cs="Arial"/>
                <w:sz w:val="22"/>
                <w:szCs w:val="22"/>
              </w:rPr>
              <w:t>-</w:t>
            </w:r>
            <w:r w:rsidR="00AA0715" w:rsidRPr="002F17B5">
              <w:rPr>
                <w:rFonts w:cs="Arial"/>
                <w:sz w:val="22"/>
                <w:szCs w:val="22"/>
              </w:rPr>
              <w:t xml:space="preserve"> </w:t>
            </w:r>
          </w:p>
        </w:tc>
        <w:tc>
          <w:tcPr>
            <w:tcW w:w="992" w:type="dxa"/>
            <w:shd w:val="clear" w:color="auto" w:fill="FFFFFF" w:themeFill="background1"/>
          </w:tcPr>
          <w:p w:rsidR="00AA0715" w:rsidRPr="002F17B5" w:rsidRDefault="00D641BD" w:rsidP="00F265DF">
            <w:pPr>
              <w:jc w:val="right"/>
              <w:rPr>
                <w:rFonts w:cs="Arial"/>
              </w:rPr>
            </w:pPr>
            <w:r w:rsidRPr="002F17B5">
              <w:rPr>
                <w:rFonts w:cs="Arial"/>
                <w:sz w:val="22"/>
                <w:szCs w:val="22"/>
              </w:rPr>
              <w:t>-</w:t>
            </w:r>
            <w:r w:rsidR="00AA0715" w:rsidRPr="002F17B5">
              <w:rPr>
                <w:rFonts w:cs="Arial"/>
                <w:sz w:val="22"/>
                <w:szCs w:val="22"/>
              </w:rPr>
              <w:t xml:space="preserve"> </w:t>
            </w:r>
          </w:p>
        </w:tc>
        <w:tc>
          <w:tcPr>
            <w:tcW w:w="992" w:type="dxa"/>
            <w:shd w:val="clear" w:color="auto" w:fill="FFFFFF" w:themeFill="background1"/>
          </w:tcPr>
          <w:p w:rsidR="00AA0715" w:rsidRPr="002F17B5" w:rsidRDefault="00D641BD" w:rsidP="00F265DF">
            <w:pPr>
              <w:jc w:val="right"/>
              <w:rPr>
                <w:rFonts w:cs="Arial"/>
              </w:rPr>
            </w:pPr>
            <w:r w:rsidRPr="002F17B5">
              <w:rPr>
                <w:rFonts w:cs="Arial"/>
                <w:sz w:val="22"/>
                <w:szCs w:val="22"/>
              </w:rPr>
              <w:t>-</w:t>
            </w:r>
            <w:r w:rsidR="00AA0715" w:rsidRPr="002F17B5">
              <w:rPr>
                <w:rFonts w:cs="Arial"/>
                <w:sz w:val="22"/>
                <w:szCs w:val="22"/>
              </w:rPr>
              <w:t xml:space="preserve"> </w:t>
            </w:r>
          </w:p>
        </w:tc>
        <w:tc>
          <w:tcPr>
            <w:tcW w:w="992" w:type="dxa"/>
            <w:shd w:val="clear" w:color="auto" w:fill="FFFFFF" w:themeFill="background1"/>
          </w:tcPr>
          <w:p w:rsidR="00AA0715" w:rsidRPr="002F17B5" w:rsidRDefault="00D641BD" w:rsidP="00F265DF">
            <w:pPr>
              <w:jc w:val="right"/>
              <w:rPr>
                <w:rFonts w:cs="Arial"/>
              </w:rPr>
            </w:pPr>
            <w:r w:rsidRPr="002F17B5">
              <w:rPr>
                <w:rFonts w:cs="Arial"/>
                <w:sz w:val="22"/>
                <w:szCs w:val="22"/>
              </w:rPr>
              <w:t>-</w:t>
            </w:r>
            <w:r w:rsidR="00AA0715" w:rsidRPr="002F17B5">
              <w:rPr>
                <w:rFonts w:cs="Arial"/>
                <w:sz w:val="22"/>
                <w:szCs w:val="22"/>
              </w:rPr>
              <w:t xml:space="preserve"> </w:t>
            </w:r>
          </w:p>
        </w:tc>
        <w:tc>
          <w:tcPr>
            <w:tcW w:w="851"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0.02 </w:t>
            </w:r>
          </w:p>
        </w:tc>
        <w:tc>
          <w:tcPr>
            <w:tcW w:w="850"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0.16 </w:t>
            </w:r>
          </w:p>
        </w:tc>
        <w:tc>
          <w:tcPr>
            <w:tcW w:w="1134" w:type="dxa"/>
            <w:shd w:val="clear" w:color="auto" w:fill="FFFFFF" w:themeFill="background1"/>
          </w:tcPr>
          <w:p w:rsidR="00AA0715" w:rsidRPr="002F17B5" w:rsidRDefault="00AA0715" w:rsidP="00F265DF">
            <w:pPr>
              <w:jc w:val="right"/>
              <w:rPr>
                <w:rFonts w:cs="Arial"/>
              </w:rPr>
            </w:pPr>
            <w:r w:rsidRPr="002F17B5">
              <w:rPr>
                <w:rFonts w:cs="Arial"/>
                <w:sz w:val="22"/>
                <w:szCs w:val="22"/>
              </w:rPr>
              <w:t>0.31</w:t>
            </w:r>
          </w:p>
        </w:tc>
        <w:tc>
          <w:tcPr>
            <w:tcW w:w="993"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0.31 </w:t>
            </w:r>
          </w:p>
        </w:tc>
        <w:tc>
          <w:tcPr>
            <w:tcW w:w="933" w:type="dxa"/>
            <w:shd w:val="clear" w:color="auto" w:fill="FFFFFF" w:themeFill="background1"/>
          </w:tcPr>
          <w:p w:rsidR="00AA0715" w:rsidRPr="002F17B5" w:rsidRDefault="00AA0715" w:rsidP="00F265DF">
            <w:pPr>
              <w:jc w:val="right"/>
              <w:rPr>
                <w:rFonts w:cs="Arial"/>
                <w:b/>
                <w:bCs/>
              </w:rPr>
            </w:pPr>
            <w:r w:rsidRPr="002F17B5">
              <w:rPr>
                <w:rFonts w:cs="Arial"/>
                <w:b/>
                <w:bCs/>
              </w:rPr>
              <w:t> </w:t>
            </w:r>
          </w:p>
        </w:tc>
      </w:tr>
      <w:tr w:rsidR="00AA0715" w:rsidRPr="002F17B5" w:rsidTr="00D641BD">
        <w:trPr>
          <w:jc w:val="center"/>
        </w:trPr>
        <w:tc>
          <w:tcPr>
            <w:tcW w:w="1985" w:type="dxa"/>
            <w:shd w:val="clear" w:color="auto" w:fill="FFFFFF" w:themeFill="background1"/>
          </w:tcPr>
          <w:p w:rsidR="00AA0715" w:rsidRPr="002F17B5" w:rsidRDefault="00AA0715" w:rsidP="00F265DF">
            <w:pPr>
              <w:jc w:val="left"/>
            </w:pPr>
            <w:r w:rsidRPr="002F17B5">
              <w:rPr>
                <w:sz w:val="22"/>
                <w:szCs w:val="22"/>
              </w:rPr>
              <w:t>Historic default rate (A+, %)</w:t>
            </w:r>
          </w:p>
        </w:tc>
        <w:tc>
          <w:tcPr>
            <w:tcW w:w="993" w:type="dxa"/>
            <w:shd w:val="clear" w:color="auto" w:fill="FFFFFF" w:themeFill="background1"/>
          </w:tcPr>
          <w:p w:rsidR="00AA0715" w:rsidRPr="002F17B5" w:rsidRDefault="00D641BD" w:rsidP="00F265DF">
            <w:pPr>
              <w:jc w:val="right"/>
              <w:rPr>
                <w:rFonts w:cs="Arial"/>
              </w:rPr>
            </w:pPr>
            <w:r w:rsidRPr="002F17B5">
              <w:rPr>
                <w:rFonts w:cs="Arial"/>
                <w:sz w:val="22"/>
                <w:szCs w:val="22"/>
              </w:rPr>
              <w:t>-</w:t>
            </w:r>
            <w:r w:rsidR="00AA0715" w:rsidRPr="002F17B5">
              <w:rPr>
                <w:rFonts w:cs="Arial"/>
                <w:sz w:val="22"/>
                <w:szCs w:val="22"/>
              </w:rPr>
              <w:t xml:space="preserve"> </w:t>
            </w:r>
          </w:p>
        </w:tc>
        <w:tc>
          <w:tcPr>
            <w:tcW w:w="992"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0.01 </w:t>
            </w:r>
          </w:p>
        </w:tc>
        <w:tc>
          <w:tcPr>
            <w:tcW w:w="992"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0.02 </w:t>
            </w:r>
          </w:p>
        </w:tc>
        <w:tc>
          <w:tcPr>
            <w:tcW w:w="992"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0.03 </w:t>
            </w:r>
          </w:p>
        </w:tc>
        <w:tc>
          <w:tcPr>
            <w:tcW w:w="851" w:type="dxa"/>
            <w:shd w:val="clear" w:color="auto" w:fill="FFFFFF" w:themeFill="background1"/>
          </w:tcPr>
          <w:p w:rsidR="00AA0715" w:rsidRPr="002F17B5" w:rsidRDefault="00AA0715" w:rsidP="00F265DF">
            <w:pPr>
              <w:jc w:val="right"/>
              <w:rPr>
                <w:rFonts w:cs="Arial"/>
              </w:rPr>
            </w:pPr>
            <w:r w:rsidRPr="002F17B5">
              <w:rPr>
                <w:rFonts w:cs="Arial"/>
                <w:sz w:val="22"/>
                <w:szCs w:val="22"/>
              </w:rPr>
              <w:t>0.06</w:t>
            </w:r>
          </w:p>
        </w:tc>
        <w:tc>
          <w:tcPr>
            <w:tcW w:w="850"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0.33 </w:t>
            </w:r>
          </w:p>
        </w:tc>
        <w:tc>
          <w:tcPr>
            <w:tcW w:w="1134"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0.69 </w:t>
            </w:r>
          </w:p>
        </w:tc>
        <w:tc>
          <w:tcPr>
            <w:tcW w:w="993"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0.69 </w:t>
            </w:r>
          </w:p>
        </w:tc>
        <w:tc>
          <w:tcPr>
            <w:tcW w:w="933" w:type="dxa"/>
            <w:shd w:val="clear" w:color="auto" w:fill="FFFFFF" w:themeFill="background1"/>
          </w:tcPr>
          <w:p w:rsidR="00AA0715" w:rsidRPr="002F17B5" w:rsidRDefault="00AA0715" w:rsidP="00F265DF">
            <w:pPr>
              <w:jc w:val="right"/>
              <w:rPr>
                <w:rFonts w:cs="Arial"/>
                <w:b/>
                <w:bCs/>
              </w:rPr>
            </w:pPr>
            <w:r w:rsidRPr="002F17B5">
              <w:rPr>
                <w:rFonts w:cs="Arial"/>
                <w:b/>
                <w:bCs/>
              </w:rPr>
              <w:t> </w:t>
            </w:r>
          </w:p>
        </w:tc>
      </w:tr>
      <w:tr w:rsidR="00AA0715" w:rsidRPr="002F17B5" w:rsidTr="00D641BD">
        <w:trPr>
          <w:jc w:val="center"/>
        </w:trPr>
        <w:tc>
          <w:tcPr>
            <w:tcW w:w="1985" w:type="dxa"/>
            <w:shd w:val="clear" w:color="auto" w:fill="FFFFFF" w:themeFill="background1"/>
          </w:tcPr>
          <w:p w:rsidR="00AA0715" w:rsidRPr="002F17B5" w:rsidRDefault="00AA0715" w:rsidP="00F265DF">
            <w:pPr>
              <w:jc w:val="left"/>
            </w:pPr>
            <w:r w:rsidRPr="002F17B5">
              <w:rPr>
                <w:sz w:val="22"/>
                <w:szCs w:val="22"/>
              </w:rPr>
              <w:t>Historic default rate (A, %)</w:t>
            </w:r>
          </w:p>
        </w:tc>
        <w:tc>
          <w:tcPr>
            <w:tcW w:w="993"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0.01 </w:t>
            </w:r>
          </w:p>
        </w:tc>
        <w:tc>
          <w:tcPr>
            <w:tcW w:w="992"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0.02 </w:t>
            </w:r>
          </w:p>
        </w:tc>
        <w:tc>
          <w:tcPr>
            <w:tcW w:w="992"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0.03 </w:t>
            </w:r>
          </w:p>
        </w:tc>
        <w:tc>
          <w:tcPr>
            <w:tcW w:w="992"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0.07 </w:t>
            </w:r>
          </w:p>
        </w:tc>
        <w:tc>
          <w:tcPr>
            <w:tcW w:w="851"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0.21 </w:t>
            </w:r>
          </w:p>
        </w:tc>
        <w:tc>
          <w:tcPr>
            <w:tcW w:w="850"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0.80 </w:t>
            </w:r>
          </w:p>
        </w:tc>
        <w:tc>
          <w:tcPr>
            <w:tcW w:w="1134" w:type="dxa"/>
            <w:shd w:val="clear" w:color="auto" w:fill="FFFFFF" w:themeFill="background1"/>
          </w:tcPr>
          <w:p w:rsidR="00AA0715" w:rsidRPr="002F17B5" w:rsidRDefault="00AA0715" w:rsidP="00F265DF">
            <w:pPr>
              <w:jc w:val="right"/>
              <w:rPr>
                <w:rFonts w:cs="Arial"/>
              </w:rPr>
            </w:pPr>
            <w:r w:rsidRPr="002F17B5">
              <w:rPr>
                <w:rFonts w:cs="Arial"/>
                <w:sz w:val="22"/>
                <w:szCs w:val="22"/>
              </w:rPr>
              <w:t>2.15</w:t>
            </w:r>
          </w:p>
        </w:tc>
        <w:tc>
          <w:tcPr>
            <w:tcW w:w="993" w:type="dxa"/>
            <w:shd w:val="clear" w:color="auto" w:fill="FFFFFF" w:themeFill="background1"/>
          </w:tcPr>
          <w:p w:rsidR="00AA0715" w:rsidRPr="002F17B5" w:rsidRDefault="00AA0715" w:rsidP="00F265DF">
            <w:pPr>
              <w:jc w:val="right"/>
              <w:rPr>
                <w:rFonts w:cs="Arial"/>
              </w:rPr>
            </w:pPr>
            <w:r w:rsidRPr="002F17B5">
              <w:rPr>
                <w:rFonts w:cs="Arial"/>
                <w:sz w:val="22"/>
                <w:szCs w:val="22"/>
              </w:rPr>
              <w:t xml:space="preserve">2.15 </w:t>
            </w:r>
          </w:p>
        </w:tc>
        <w:tc>
          <w:tcPr>
            <w:tcW w:w="933" w:type="dxa"/>
            <w:shd w:val="clear" w:color="auto" w:fill="FFFFFF" w:themeFill="background1"/>
          </w:tcPr>
          <w:p w:rsidR="00AA0715" w:rsidRPr="002F17B5" w:rsidRDefault="00AA0715" w:rsidP="00F265DF">
            <w:pPr>
              <w:jc w:val="right"/>
              <w:rPr>
                <w:rFonts w:cs="Arial"/>
                <w:b/>
                <w:bCs/>
              </w:rPr>
            </w:pPr>
            <w:r w:rsidRPr="002F17B5">
              <w:rPr>
                <w:rFonts w:cs="Arial"/>
                <w:b/>
                <w:bCs/>
              </w:rPr>
              <w:t> </w:t>
            </w:r>
          </w:p>
        </w:tc>
      </w:tr>
      <w:tr w:rsidR="00AA0715" w:rsidRPr="002F17B5" w:rsidTr="00D641BD">
        <w:trPr>
          <w:jc w:val="center"/>
        </w:trPr>
        <w:tc>
          <w:tcPr>
            <w:tcW w:w="1985" w:type="dxa"/>
            <w:shd w:val="clear" w:color="auto" w:fill="FFFFFF" w:themeFill="background1"/>
          </w:tcPr>
          <w:p w:rsidR="00AA0715" w:rsidRPr="002F17B5" w:rsidRDefault="00AA0715" w:rsidP="00F265DF">
            <w:pPr>
              <w:jc w:val="left"/>
              <w:rPr>
                <w:b/>
              </w:rPr>
            </w:pPr>
            <w:r w:rsidRPr="002F17B5">
              <w:rPr>
                <w:b/>
                <w:sz w:val="22"/>
                <w:szCs w:val="22"/>
              </w:rPr>
              <w:t>Exposure to default (£m)</w:t>
            </w:r>
          </w:p>
        </w:tc>
        <w:tc>
          <w:tcPr>
            <w:tcW w:w="993" w:type="dxa"/>
            <w:shd w:val="clear" w:color="auto" w:fill="FFFFFF" w:themeFill="background1"/>
          </w:tcPr>
          <w:p w:rsidR="00AA0715" w:rsidRPr="002F17B5" w:rsidRDefault="00D641BD" w:rsidP="00F265DF">
            <w:pPr>
              <w:jc w:val="right"/>
              <w:rPr>
                <w:rFonts w:cs="Arial"/>
                <w:b/>
                <w:bCs/>
              </w:rPr>
            </w:pPr>
            <w:r w:rsidRPr="002F17B5">
              <w:rPr>
                <w:rFonts w:cs="Arial"/>
                <w:b/>
                <w:bCs/>
                <w:sz w:val="22"/>
                <w:szCs w:val="22"/>
              </w:rPr>
              <w:t>-</w:t>
            </w:r>
          </w:p>
        </w:tc>
        <w:tc>
          <w:tcPr>
            <w:tcW w:w="992" w:type="dxa"/>
            <w:shd w:val="clear" w:color="auto" w:fill="FFFFFF" w:themeFill="background1"/>
          </w:tcPr>
          <w:p w:rsidR="00AA0715" w:rsidRPr="002F17B5" w:rsidRDefault="00D641BD" w:rsidP="00F265DF">
            <w:pPr>
              <w:jc w:val="right"/>
              <w:rPr>
                <w:rFonts w:cs="Arial"/>
                <w:b/>
                <w:bCs/>
              </w:rPr>
            </w:pPr>
            <w:r w:rsidRPr="002F17B5">
              <w:rPr>
                <w:rFonts w:cs="Arial"/>
                <w:b/>
                <w:bCs/>
                <w:sz w:val="22"/>
                <w:szCs w:val="22"/>
              </w:rPr>
              <w:t>-</w:t>
            </w:r>
          </w:p>
        </w:tc>
        <w:tc>
          <w:tcPr>
            <w:tcW w:w="992" w:type="dxa"/>
            <w:shd w:val="clear" w:color="auto" w:fill="FFFFFF" w:themeFill="background1"/>
          </w:tcPr>
          <w:p w:rsidR="00AA0715" w:rsidRPr="002F17B5" w:rsidRDefault="00D641BD" w:rsidP="00F265DF">
            <w:pPr>
              <w:jc w:val="right"/>
              <w:rPr>
                <w:rFonts w:cs="Arial"/>
                <w:b/>
                <w:bCs/>
              </w:rPr>
            </w:pPr>
            <w:r w:rsidRPr="002F17B5">
              <w:rPr>
                <w:rFonts w:cs="Arial"/>
                <w:b/>
                <w:bCs/>
                <w:sz w:val="22"/>
                <w:szCs w:val="22"/>
              </w:rPr>
              <w:t>-</w:t>
            </w:r>
          </w:p>
        </w:tc>
        <w:tc>
          <w:tcPr>
            <w:tcW w:w="992" w:type="dxa"/>
            <w:shd w:val="clear" w:color="auto" w:fill="FFFFFF" w:themeFill="background1"/>
          </w:tcPr>
          <w:p w:rsidR="00AA0715" w:rsidRPr="002F17B5" w:rsidRDefault="00D641BD" w:rsidP="00F265DF">
            <w:pPr>
              <w:jc w:val="right"/>
              <w:rPr>
                <w:rFonts w:cs="Arial"/>
                <w:b/>
                <w:bCs/>
              </w:rPr>
            </w:pPr>
            <w:r w:rsidRPr="002F17B5">
              <w:rPr>
                <w:rFonts w:cs="Arial"/>
                <w:b/>
                <w:bCs/>
                <w:sz w:val="22"/>
                <w:szCs w:val="22"/>
              </w:rPr>
              <w:t>-</w:t>
            </w:r>
          </w:p>
        </w:tc>
        <w:tc>
          <w:tcPr>
            <w:tcW w:w="851"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0.16</w:t>
            </w:r>
          </w:p>
        </w:tc>
        <w:tc>
          <w:tcPr>
            <w:tcW w:w="850"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0.07</w:t>
            </w:r>
          </w:p>
        </w:tc>
        <w:tc>
          <w:tcPr>
            <w:tcW w:w="1134"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0.29</w:t>
            </w:r>
          </w:p>
        </w:tc>
        <w:tc>
          <w:tcPr>
            <w:tcW w:w="993"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1.66</w:t>
            </w:r>
          </w:p>
        </w:tc>
        <w:tc>
          <w:tcPr>
            <w:tcW w:w="933" w:type="dxa"/>
            <w:shd w:val="clear" w:color="auto" w:fill="FFFFFF" w:themeFill="background1"/>
          </w:tcPr>
          <w:p w:rsidR="00AA0715" w:rsidRPr="002F17B5" w:rsidRDefault="00AA0715" w:rsidP="00F265DF">
            <w:pPr>
              <w:jc w:val="right"/>
              <w:rPr>
                <w:rFonts w:cs="Arial"/>
                <w:b/>
                <w:bCs/>
              </w:rPr>
            </w:pPr>
            <w:r w:rsidRPr="002F17B5">
              <w:rPr>
                <w:rFonts w:cs="Arial"/>
                <w:b/>
                <w:bCs/>
                <w:sz w:val="22"/>
                <w:szCs w:val="22"/>
              </w:rPr>
              <w:t>2.18</w:t>
            </w:r>
          </w:p>
        </w:tc>
      </w:tr>
    </w:tbl>
    <w:p w:rsidR="00AA0715" w:rsidRPr="002F17B5" w:rsidRDefault="00AA0715" w:rsidP="00AA0715">
      <w:pPr>
        <w:jc w:val="left"/>
      </w:pPr>
    </w:p>
    <w:p w:rsidR="00AA0715" w:rsidRPr="002F17B5" w:rsidRDefault="00AA0715" w:rsidP="00AA0715">
      <w:pPr>
        <w:jc w:val="left"/>
      </w:pPr>
      <w:r w:rsidRPr="002F17B5">
        <w:t xml:space="preserve">Comparative data for </w:t>
      </w:r>
      <w:r w:rsidR="00D641BD" w:rsidRPr="002F17B5">
        <w:t>2012/13 can be seen</w:t>
      </w:r>
      <w:r w:rsidRPr="002F17B5">
        <w:t xml:space="preserve"> below:</w:t>
      </w:r>
    </w:p>
    <w:p w:rsidR="00AA0715" w:rsidRPr="002F17B5" w:rsidRDefault="00AA0715" w:rsidP="00AA0715">
      <w:pPr>
        <w:rPr>
          <w:sz w:val="10"/>
        </w:rPr>
      </w:pPr>
    </w:p>
    <w:tbl>
      <w:tblPr>
        <w:tblW w:w="10319" w:type="dxa"/>
        <w:shd w:val="clear" w:color="auto" w:fill="FFFFFF" w:themeFill="background1"/>
        <w:tblLook w:val="04A0" w:firstRow="1" w:lastRow="0" w:firstColumn="1" w:lastColumn="0" w:noHBand="0" w:noVBand="1"/>
      </w:tblPr>
      <w:tblGrid>
        <w:gridCol w:w="2641"/>
        <w:gridCol w:w="940"/>
        <w:gridCol w:w="881"/>
        <w:gridCol w:w="881"/>
        <w:gridCol w:w="682"/>
        <w:gridCol w:w="747"/>
        <w:gridCol w:w="942"/>
        <w:gridCol w:w="953"/>
        <w:gridCol w:w="826"/>
        <w:gridCol w:w="826"/>
      </w:tblGrid>
      <w:tr w:rsidR="00AA0715" w:rsidRPr="002F17B5" w:rsidTr="00D641BD">
        <w:trPr>
          <w:trHeight w:val="297"/>
        </w:trPr>
        <w:tc>
          <w:tcPr>
            <w:tcW w:w="2641" w:type="dxa"/>
            <w:shd w:val="clear" w:color="auto" w:fill="FFFFFF" w:themeFill="background1"/>
          </w:tcPr>
          <w:p w:rsidR="00AA0715" w:rsidRPr="002F17B5" w:rsidRDefault="00AA0715" w:rsidP="00F265DF">
            <w:pPr>
              <w:rPr>
                <w:b/>
              </w:rPr>
            </w:pPr>
            <w:r w:rsidRPr="002F17B5">
              <w:rPr>
                <w:b/>
              </w:rPr>
              <w:t>Credit Risk</w:t>
            </w:r>
          </w:p>
        </w:tc>
        <w:tc>
          <w:tcPr>
            <w:tcW w:w="940" w:type="dxa"/>
            <w:shd w:val="clear" w:color="auto" w:fill="FFFFFF" w:themeFill="background1"/>
          </w:tcPr>
          <w:p w:rsidR="00AA0715" w:rsidRPr="002F17B5" w:rsidRDefault="00AA0715" w:rsidP="00F265DF">
            <w:pPr>
              <w:jc w:val="right"/>
              <w:rPr>
                <w:b/>
              </w:rPr>
            </w:pPr>
            <w:r w:rsidRPr="002F17B5">
              <w:rPr>
                <w:b/>
              </w:rPr>
              <w:t>&lt;1mth</w:t>
            </w:r>
          </w:p>
        </w:tc>
        <w:tc>
          <w:tcPr>
            <w:tcW w:w="881" w:type="dxa"/>
            <w:shd w:val="clear" w:color="auto" w:fill="FFFFFF" w:themeFill="background1"/>
          </w:tcPr>
          <w:p w:rsidR="00AA0715" w:rsidRPr="002F17B5" w:rsidRDefault="00AA0715" w:rsidP="00F265DF">
            <w:pPr>
              <w:jc w:val="right"/>
            </w:pPr>
            <w:r w:rsidRPr="002F17B5">
              <w:rPr>
                <w:b/>
                <w:sz w:val="22"/>
                <w:szCs w:val="22"/>
              </w:rPr>
              <w:t>&lt;3mth</w:t>
            </w:r>
          </w:p>
        </w:tc>
        <w:tc>
          <w:tcPr>
            <w:tcW w:w="881" w:type="dxa"/>
            <w:shd w:val="clear" w:color="auto" w:fill="FFFFFF" w:themeFill="background1"/>
          </w:tcPr>
          <w:p w:rsidR="00AA0715" w:rsidRPr="002F17B5" w:rsidRDefault="00AA0715" w:rsidP="00F265DF">
            <w:pPr>
              <w:jc w:val="right"/>
            </w:pPr>
            <w:r w:rsidRPr="002F17B5">
              <w:rPr>
                <w:b/>
                <w:sz w:val="22"/>
                <w:szCs w:val="22"/>
              </w:rPr>
              <w:t>&lt;6mth</w:t>
            </w:r>
          </w:p>
        </w:tc>
        <w:tc>
          <w:tcPr>
            <w:tcW w:w="682" w:type="dxa"/>
            <w:shd w:val="clear" w:color="auto" w:fill="FFFFFF" w:themeFill="background1"/>
          </w:tcPr>
          <w:p w:rsidR="00AA0715" w:rsidRPr="002F17B5" w:rsidRDefault="00AA0715" w:rsidP="00F265DF">
            <w:pPr>
              <w:jc w:val="right"/>
            </w:pPr>
            <w:r w:rsidRPr="002F17B5">
              <w:rPr>
                <w:b/>
                <w:sz w:val="22"/>
                <w:szCs w:val="22"/>
              </w:rPr>
              <w:t>&lt;1yr</w:t>
            </w:r>
          </w:p>
        </w:tc>
        <w:tc>
          <w:tcPr>
            <w:tcW w:w="747" w:type="dxa"/>
            <w:shd w:val="clear" w:color="auto" w:fill="FFFFFF" w:themeFill="background1"/>
          </w:tcPr>
          <w:p w:rsidR="00AA0715" w:rsidRPr="002F17B5" w:rsidRDefault="00AA0715" w:rsidP="00F265DF">
            <w:pPr>
              <w:jc w:val="right"/>
            </w:pPr>
            <w:r w:rsidRPr="002F17B5">
              <w:rPr>
                <w:b/>
                <w:sz w:val="22"/>
                <w:szCs w:val="22"/>
              </w:rPr>
              <w:t>&lt;2yr</w:t>
            </w:r>
          </w:p>
        </w:tc>
        <w:tc>
          <w:tcPr>
            <w:tcW w:w="942" w:type="dxa"/>
            <w:shd w:val="clear" w:color="auto" w:fill="FFFFFF" w:themeFill="background1"/>
          </w:tcPr>
          <w:p w:rsidR="00AA0715" w:rsidRPr="002F17B5" w:rsidRDefault="00AA0715" w:rsidP="00F265DF">
            <w:pPr>
              <w:jc w:val="right"/>
            </w:pPr>
            <w:r w:rsidRPr="002F17B5">
              <w:rPr>
                <w:b/>
                <w:sz w:val="22"/>
                <w:szCs w:val="22"/>
              </w:rPr>
              <w:t>&lt;5yr</w:t>
            </w:r>
          </w:p>
        </w:tc>
        <w:tc>
          <w:tcPr>
            <w:tcW w:w="953" w:type="dxa"/>
            <w:shd w:val="clear" w:color="auto" w:fill="FFFFFF" w:themeFill="background1"/>
          </w:tcPr>
          <w:p w:rsidR="00AA0715" w:rsidRPr="002F17B5" w:rsidRDefault="00AA0715" w:rsidP="00F265DF">
            <w:pPr>
              <w:jc w:val="right"/>
            </w:pPr>
            <w:r w:rsidRPr="002F17B5">
              <w:rPr>
                <w:b/>
                <w:sz w:val="22"/>
                <w:szCs w:val="22"/>
              </w:rPr>
              <w:t>&lt;10yr</w:t>
            </w:r>
          </w:p>
        </w:tc>
        <w:tc>
          <w:tcPr>
            <w:tcW w:w="826" w:type="dxa"/>
            <w:shd w:val="clear" w:color="auto" w:fill="FFFFFF" w:themeFill="background1"/>
          </w:tcPr>
          <w:p w:rsidR="00AA0715" w:rsidRPr="002F17B5" w:rsidRDefault="00AA0715" w:rsidP="00F265DF">
            <w:pPr>
              <w:jc w:val="right"/>
            </w:pPr>
            <w:r w:rsidRPr="002F17B5">
              <w:rPr>
                <w:b/>
                <w:sz w:val="22"/>
                <w:szCs w:val="22"/>
              </w:rPr>
              <w:t>&gt;10yr</w:t>
            </w:r>
          </w:p>
        </w:tc>
        <w:tc>
          <w:tcPr>
            <w:tcW w:w="826" w:type="dxa"/>
            <w:shd w:val="clear" w:color="auto" w:fill="FFFFFF" w:themeFill="background1"/>
          </w:tcPr>
          <w:p w:rsidR="00AA0715" w:rsidRPr="002F17B5" w:rsidRDefault="00AA0715" w:rsidP="00F265DF">
            <w:pPr>
              <w:jc w:val="right"/>
              <w:rPr>
                <w:b/>
              </w:rPr>
            </w:pPr>
            <w:r w:rsidRPr="002F17B5">
              <w:rPr>
                <w:b/>
                <w:sz w:val="22"/>
                <w:szCs w:val="22"/>
              </w:rPr>
              <w:t>Total</w:t>
            </w:r>
          </w:p>
        </w:tc>
      </w:tr>
      <w:tr w:rsidR="00AA0715" w:rsidRPr="002F17B5" w:rsidTr="00D641BD">
        <w:trPr>
          <w:trHeight w:val="684"/>
        </w:trPr>
        <w:tc>
          <w:tcPr>
            <w:tcW w:w="2641" w:type="dxa"/>
            <w:shd w:val="clear" w:color="auto" w:fill="FFFFFF" w:themeFill="background1"/>
          </w:tcPr>
          <w:p w:rsidR="00AA0715" w:rsidRPr="002F17B5" w:rsidRDefault="00AA0715" w:rsidP="00F265DF">
            <w:pPr>
              <w:tabs>
                <w:tab w:val="left" w:pos="1664"/>
              </w:tabs>
              <w:jc w:val="left"/>
            </w:pPr>
            <w:r w:rsidRPr="002F17B5">
              <w:t>Total Investments (£m) 2012/13</w:t>
            </w:r>
          </w:p>
        </w:tc>
        <w:tc>
          <w:tcPr>
            <w:tcW w:w="940" w:type="dxa"/>
            <w:shd w:val="clear" w:color="auto" w:fill="FFFFFF" w:themeFill="background1"/>
          </w:tcPr>
          <w:p w:rsidR="00AA0715" w:rsidRPr="002F17B5" w:rsidRDefault="00AA0715" w:rsidP="00F265DF">
            <w:pPr>
              <w:jc w:val="center"/>
            </w:pPr>
            <w:r w:rsidRPr="002F17B5">
              <w:t>84.1</w:t>
            </w:r>
          </w:p>
        </w:tc>
        <w:tc>
          <w:tcPr>
            <w:tcW w:w="881" w:type="dxa"/>
            <w:shd w:val="clear" w:color="auto" w:fill="FFFFFF" w:themeFill="background1"/>
          </w:tcPr>
          <w:p w:rsidR="00AA0715" w:rsidRPr="002F17B5" w:rsidRDefault="00AA0715" w:rsidP="00F265DF">
            <w:pPr>
              <w:jc w:val="center"/>
            </w:pPr>
            <w:r w:rsidRPr="002F17B5">
              <w:t>50.0</w:t>
            </w:r>
          </w:p>
        </w:tc>
        <w:tc>
          <w:tcPr>
            <w:tcW w:w="881" w:type="dxa"/>
            <w:shd w:val="clear" w:color="auto" w:fill="FFFFFF" w:themeFill="background1"/>
          </w:tcPr>
          <w:p w:rsidR="00AA0715" w:rsidRPr="002F17B5" w:rsidRDefault="00AA0715" w:rsidP="00F265DF">
            <w:pPr>
              <w:jc w:val="center"/>
            </w:pPr>
            <w:r w:rsidRPr="002F17B5">
              <w:t>20.0</w:t>
            </w:r>
          </w:p>
        </w:tc>
        <w:tc>
          <w:tcPr>
            <w:tcW w:w="682" w:type="dxa"/>
            <w:shd w:val="clear" w:color="auto" w:fill="FFFFFF" w:themeFill="background1"/>
          </w:tcPr>
          <w:p w:rsidR="00AA0715" w:rsidRPr="002F17B5" w:rsidRDefault="00AA0715" w:rsidP="00F265DF">
            <w:pPr>
              <w:jc w:val="center"/>
            </w:pPr>
            <w:r w:rsidRPr="002F17B5">
              <w:t>-</w:t>
            </w:r>
          </w:p>
        </w:tc>
        <w:tc>
          <w:tcPr>
            <w:tcW w:w="747" w:type="dxa"/>
            <w:shd w:val="clear" w:color="auto" w:fill="FFFFFF" w:themeFill="background1"/>
          </w:tcPr>
          <w:p w:rsidR="00AA0715" w:rsidRPr="002F17B5" w:rsidRDefault="00AA0715" w:rsidP="00F265DF">
            <w:pPr>
              <w:jc w:val="center"/>
            </w:pPr>
            <w:r w:rsidRPr="002F17B5">
              <w:t>20.4</w:t>
            </w:r>
          </w:p>
        </w:tc>
        <w:tc>
          <w:tcPr>
            <w:tcW w:w="942" w:type="dxa"/>
            <w:shd w:val="clear" w:color="auto" w:fill="FFFFFF" w:themeFill="background1"/>
          </w:tcPr>
          <w:p w:rsidR="00AA0715" w:rsidRPr="002F17B5" w:rsidRDefault="00AA0715" w:rsidP="00F265DF">
            <w:pPr>
              <w:jc w:val="center"/>
            </w:pPr>
            <w:r w:rsidRPr="002F17B5">
              <w:t xml:space="preserve">139.0    </w:t>
            </w:r>
          </w:p>
        </w:tc>
        <w:tc>
          <w:tcPr>
            <w:tcW w:w="953" w:type="dxa"/>
            <w:shd w:val="clear" w:color="auto" w:fill="FFFFFF" w:themeFill="background1"/>
          </w:tcPr>
          <w:p w:rsidR="00AA0715" w:rsidRPr="002F17B5" w:rsidRDefault="00AA0715" w:rsidP="00F265DF">
            <w:pPr>
              <w:jc w:val="center"/>
            </w:pPr>
            <w:r w:rsidRPr="002F17B5">
              <w:t xml:space="preserve">  107.2</w:t>
            </w:r>
          </w:p>
        </w:tc>
        <w:tc>
          <w:tcPr>
            <w:tcW w:w="826" w:type="dxa"/>
            <w:shd w:val="clear" w:color="auto" w:fill="FFFFFF" w:themeFill="background1"/>
          </w:tcPr>
          <w:p w:rsidR="00AA0715" w:rsidRPr="002F17B5" w:rsidRDefault="00AA0715" w:rsidP="00F265DF">
            <w:pPr>
              <w:jc w:val="center"/>
            </w:pPr>
            <w:r w:rsidRPr="002F17B5">
              <w:t xml:space="preserve">100.6     </w:t>
            </w:r>
          </w:p>
        </w:tc>
        <w:tc>
          <w:tcPr>
            <w:tcW w:w="826" w:type="dxa"/>
            <w:shd w:val="clear" w:color="auto" w:fill="FFFFFF" w:themeFill="background1"/>
          </w:tcPr>
          <w:p w:rsidR="00AA0715" w:rsidRPr="002F17B5" w:rsidRDefault="00AA0715" w:rsidP="00F265DF">
            <w:pPr>
              <w:jc w:val="center"/>
              <w:rPr>
                <w:b/>
              </w:rPr>
            </w:pPr>
            <w:r w:rsidRPr="002F17B5">
              <w:rPr>
                <w:b/>
              </w:rPr>
              <w:t xml:space="preserve">521.3      </w:t>
            </w:r>
          </w:p>
        </w:tc>
      </w:tr>
      <w:tr w:rsidR="00AA0715" w:rsidRPr="002F17B5" w:rsidTr="00D641BD">
        <w:trPr>
          <w:trHeight w:val="684"/>
        </w:trPr>
        <w:tc>
          <w:tcPr>
            <w:tcW w:w="2641" w:type="dxa"/>
            <w:shd w:val="clear" w:color="auto" w:fill="FFFFFF" w:themeFill="background1"/>
          </w:tcPr>
          <w:p w:rsidR="00AA0715" w:rsidRPr="002F17B5" w:rsidRDefault="00AA0715" w:rsidP="00F265DF">
            <w:pPr>
              <w:jc w:val="left"/>
            </w:pPr>
            <w:r w:rsidRPr="002F17B5">
              <w:t>Exposure to default (£m) 2012/13</w:t>
            </w:r>
          </w:p>
        </w:tc>
        <w:tc>
          <w:tcPr>
            <w:tcW w:w="940" w:type="dxa"/>
            <w:shd w:val="clear" w:color="auto" w:fill="FFFFFF" w:themeFill="background1"/>
          </w:tcPr>
          <w:p w:rsidR="00AA0715" w:rsidRPr="002F17B5" w:rsidRDefault="00AA0715" w:rsidP="00F265DF">
            <w:pPr>
              <w:jc w:val="center"/>
            </w:pPr>
            <w:r w:rsidRPr="002F17B5">
              <w:t>0.01</w:t>
            </w:r>
          </w:p>
        </w:tc>
        <w:tc>
          <w:tcPr>
            <w:tcW w:w="881" w:type="dxa"/>
            <w:shd w:val="clear" w:color="auto" w:fill="FFFFFF" w:themeFill="background1"/>
          </w:tcPr>
          <w:p w:rsidR="00AA0715" w:rsidRPr="002F17B5" w:rsidRDefault="00AA0715" w:rsidP="00F265DF">
            <w:pPr>
              <w:jc w:val="center"/>
            </w:pPr>
            <w:r w:rsidRPr="002F17B5">
              <w:t>0.01</w:t>
            </w:r>
          </w:p>
        </w:tc>
        <w:tc>
          <w:tcPr>
            <w:tcW w:w="881" w:type="dxa"/>
            <w:shd w:val="clear" w:color="auto" w:fill="FFFFFF" w:themeFill="background1"/>
          </w:tcPr>
          <w:p w:rsidR="00AA0715" w:rsidRPr="002F17B5" w:rsidRDefault="00AA0715" w:rsidP="00F265DF">
            <w:pPr>
              <w:jc w:val="center"/>
            </w:pPr>
            <w:r w:rsidRPr="002F17B5">
              <w:t>0.01</w:t>
            </w:r>
          </w:p>
        </w:tc>
        <w:tc>
          <w:tcPr>
            <w:tcW w:w="682" w:type="dxa"/>
            <w:shd w:val="clear" w:color="auto" w:fill="FFFFFF" w:themeFill="background1"/>
          </w:tcPr>
          <w:p w:rsidR="00AA0715" w:rsidRPr="002F17B5" w:rsidRDefault="00AA0715" w:rsidP="00F265DF">
            <w:pPr>
              <w:jc w:val="center"/>
            </w:pPr>
            <w:r w:rsidRPr="002F17B5">
              <w:t>-</w:t>
            </w:r>
          </w:p>
        </w:tc>
        <w:tc>
          <w:tcPr>
            <w:tcW w:w="747" w:type="dxa"/>
            <w:shd w:val="clear" w:color="auto" w:fill="FFFFFF" w:themeFill="background1"/>
          </w:tcPr>
          <w:p w:rsidR="00AA0715" w:rsidRPr="002F17B5" w:rsidRDefault="00AA0715" w:rsidP="00F265DF">
            <w:pPr>
              <w:jc w:val="center"/>
            </w:pPr>
            <w:r w:rsidRPr="002F17B5">
              <w:t>0.04</w:t>
            </w:r>
          </w:p>
        </w:tc>
        <w:tc>
          <w:tcPr>
            <w:tcW w:w="942" w:type="dxa"/>
            <w:shd w:val="clear" w:color="auto" w:fill="FFFFFF" w:themeFill="background1"/>
          </w:tcPr>
          <w:p w:rsidR="00AA0715" w:rsidRPr="002F17B5" w:rsidRDefault="00AA0715" w:rsidP="00F265DF">
            <w:pPr>
              <w:jc w:val="center"/>
            </w:pPr>
            <w:r w:rsidRPr="002F17B5">
              <w:t xml:space="preserve">0.59       </w:t>
            </w:r>
          </w:p>
        </w:tc>
        <w:tc>
          <w:tcPr>
            <w:tcW w:w="953" w:type="dxa"/>
            <w:shd w:val="clear" w:color="auto" w:fill="FFFFFF" w:themeFill="background1"/>
          </w:tcPr>
          <w:p w:rsidR="00AA0715" w:rsidRPr="002F17B5" w:rsidRDefault="00AA0715" w:rsidP="00F265DF">
            <w:pPr>
              <w:jc w:val="center"/>
            </w:pPr>
            <w:r w:rsidRPr="002F17B5">
              <w:t xml:space="preserve"> -</w:t>
            </w:r>
          </w:p>
        </w:tc>
        <w:tc>
          <w:tcPr>
            <w:tcW w:w="826" w:type="dxa"/>
            <w:shd w:val="clear" w:color="auto" w:fill="FFFFFF" w:themeFill="background1"/>
          </w:tcPr>
          <w:p w:rsidR="00AA0715" w:rsidRPr="002F17B5" w:rsidRDefault="00AA0715" w:rsidP="00F265DF">
            <w:pPr>
              <w:jc w:val="center"/>
            </w:pPr>
            <w:r w:rsidRPr="002F17B5">
              <w:t xml:space="preserve">   -</w:t>
            </w:r>
          </w:p>
        </w:tc>
        <w:tc>
          <w:tcPr>
            <w:tcW w:w="826" w:type="dxa"/>
            <w:shd w:val="clear" w:color="auto" w:fill="FFFFFF" w:themeFill="background1"/>
          </w:tcPr>
          <w:p w:rsidR="00AA0715" w:rsidRPr="002F17B5" w:rsidRDefault="00AA0715" w:rsidP="00F265DF">
            <w:pPr>
              <w:jc w:val="center"/>
              <w:rPr>
                <w:b/>
              </w:rPr>
            </w:pPr>
            <w:r w:rsidRPr="002F17B5">
              <w:rPr>
                <w:b/>
              </w:rPr>
              <w:t xml:space="preserve">0.66        </w:t>
            </w:r>
          </w:p>
        </w:tc>
      </w:tr>
    </w:tbl>
    <w:p w:rsidR="00AA0715" w:rsidRPr="002F17B5" w:rsidRDefault="00AA0715" w:rsidP="00AA0715">
      <w:pPr>
        <w:rPr>
          <w:sz w:val="2"/>
        </w:rPr>
      </w:pPr>
    </w:p>
    <w:p w:rsidR="00AA0715" w:rsidRPr="002F17B5" w:rsidRDefault="00AA0715" w:rsidP="00AA0715">
      <w:pPr>
        <w:rPr>
          <w:sz w:val="10"/>
        </w:rPr>
      </w:pPr>
    </w:p>
    <w:p w:rsidR="00AA0715" w:rsidRPr="002F17B5" w:rsidRDefault="00AA0715" w:rsidP="00AA0715">
      <w:r w:rsidRPr="002F17B5">
        <w:t>The maximum single commercial exposure is to RBS at £70.0m (2012/13 £112.4m), however overall the portfolio is diversified by the use of 13 counterparties.</w:t>
      </w:r>
    </w:p>
    <w:p w:rsidR="00AA0715" w:rsidRPr="002F17B5" w:rsidRDefault="00AA0715" w:rsidP="00AA0715">
      <w:pPr>
        <w:rPr>
          <w:sz w:val="6"/>
        </w:rPr>
      </w:pPr>
    </w:p>
    <w:p w:rsidR="00AA0715" w:rsidRPr="002F17B5" w:rsidRDefault="00AA0715" w:rsidP="00AA0715">
      <w:pPr>
        <w:rPr>
          <w:b/>
          <w:sz w:val="10"/>
        </w:rPr>
      </w:pPr>
      <w:r w:rsidRPr="002F17B5">
        <w:t xml:space="preserve">In the context of credit risk, </w:t>
      </w:r>
      <w:r w:rsidR="00732E2E">
        <w:t xml:space="preserve"> non-statutory </w:t>
      </w:r>
      <w:r w:rsidRPr="002F17B5">
        <w:t xml:space="preserve">debtors are treated as financial instruments. </w:t>
      </w:r>
      <w:r w:rsidR="00732E2E">
        <w:t>The county council manages aged debt within the agreed policy.</w:t>
      </w:r>
      <w:r w:rsidRPr="002F17B5">
        <w:t xml:space="preserve"> </w:t>
      </w:r>
    </w:p>
    <w:p w:rsidR="00782000" w:rsidRPr="002F17B5" w:rsidRDefault="00782000" w:rsidP="00AA0715">
      <w:pPr>
        <w:rPr>
          <w:b/>
        </w:rPr>
      </w:pPr>
    </w:p>
    <w:p w:rsidR="0068311D" w:rsidRPr="002F17B5" w:rsidRDefault="0068311D" w:rsidP="00AA0715">
      <w:pPr>
        <w:rPr>
          <w:b/>
        </w:rPr>
      </w:pPr>
    </w:p>
    <w:p w:rsidR="00AA0715" w:rsidRPr="002F17B5" w:rsidRDefault="00AA0715" w:rsidP="00AA0715">
      <w:pPr>
        <w:rPr>
          <w:b/>
          <w:i/>
          <w:color w:val="0000FF"/>
        </w:rPr>
      </w:pPr>
      <w:r w:rsidRPr="002F17B5">
        <w:rPr>
          <w:b/>
        </w:rPr>
        <w:t xml:space="preserve">Liquidity Risk </w:t>
      </w:r>
    </w:p>
    <w:p w:rsidR="00AA0715" w:rsidRPr="002F17B5" w:rsidRDefault="00AA0715" w:rsidP="00AA0715">
      <w:pPr>
        <w:rPr>
          <w:b/>
          <w:sz w:val="10"/>
        </w:rPr>
      </w:pPr>
    </w:p>
    <w:p w:rsidR="00AA0715" w:rsidRDefault="00AA0715" w:rsidP="00AA0715">
      <w:pPr>
        <w:spacing w:after="80"/>
      </w:pPr>
      <w:r w:rsidRPr="002F17B5">
        <w:t xml:space="preserve">Liquidity risk is the danger that, at any time, we will have insufficient funds in our bank account to make the payments necessary to meet our financial obligations. </w:t>
      </w:r>
    </w:p>
    <w:p w:rsidR="008778FF" w:rsidRPr="002F17B5" w:rsidRDefault="008778FF" w:rsidP="00AA0715">
      <w:pPr>
        <w:spacing w:after="80"/>
      </w:pPr>
    </w:p>
    <w:p w:rsidR="00D322DD" w:rsidRPr="002F17B5" w:rsidRDefault="00AA0715" w:rsidP="00D322DD">
      <w:pPr>
        <w:rPr>
          <w:szCs w:val="20"/>
        </w:rPr>
      </w:pPr>
      <w:r w:rsidRPr="002F17B5">
        <w:t>Lancashire County Council has a comprehensive cash flow management system which seeks to ensure that cash is available as needed. If unexpected movements happen, the county council has ready access to borrowings from the money markets and the Public Works Loans Board</w:t>
      </w:r>
      <w:r w:rsidR="00CA318D">
        <w:t xml:space="preserve"> and access to their investment portfolio which is also considered to be liquid.</w:t>
      </w:r>
      <w:r w:rsidRPr="002F17B5">
        <w:t xml:space="preserve"> There is no significant risk that the County Council will be unable to raise finance to meet its commitments under financial instruments. Instead the risk is that the council will be bound to replenish a significant proportion of its borrowing at a time of unfavourable interest rates</w:t>
      </w:r>
      <w:r w:rsidR="00A704C6">
        <w:t xml:space="preserve"> however this is not considered to be material</w:t>
      </w:r>
      <w:r w:rsidRPr="002F17B5">
        <w:t>.</w:t>
      </w:r>
      <w:r w:rsidR="00D322DD" w:rsidRPr="00D322DD">
        <w:rPr>
          <w:szCs w:val="20"/>
        </w:rPr>
        <w:t xml:space="preserve"> </w:t>
      </w:r>
      <w:r w:rsidR="00D322DD" w:rsidRPr="002F17B5">
        <w:rPr>
          <w:szCs w:val="20"/>
        </w:rPr>
        <w:lastRenderedPageBreak/>
        <w:t xml:space="preserve">The county treasurer will continue to closely monitor interest rate forecasts in order to establish when long term interest rates might be expected to rise.  </w:t>
      </w:r>
    </w:p>
    <w:p w:rsidR="00AA0715" w:rsidRPr="002F17B5" w:rsidRDefault="00A704C6" w:rsidP="00AA0715">
      <w:pPr>
        <w:spacing w:after="80"/>
      </w:pPr>
      <w:r>
        <w:tab/>
      </w:r>
    </w:p>
    <w:p w:rsidR="00AF6504" w:rsidRPr="002F17B5" w:rsidRDefault="00AF6504" w:rsidP="00AA0715">
      <w:pPr>
        <w:rPr>
          <w:b/>
        </w:rPr>
      </w:pPr>
    </w:p>
    <w:p w:rsidR="00AA0715" w:rsidRPr="002F17B5" w:rsidRDefault="00AA0715" w:rsidP="00AA0715">
      <w:pPr>
        <w:rPr>
          <w:b/>
        </w:rPr>
      </w:pPr>
      <w:r w:rsidRPr="002F17B5">
        <w:rPr>
          <w:b/>
        </w:rPr>
        <w:t>Market Risk</w:t>
      </w:r>
    </w:p>
    <w:p w:rsidR="00AA0715" w:rsidRPr="002F17B5" w:rsidRDefault="00AA0715" w:rsidP="00AA0715">
      <w:pPr>
        <w:rPr>
          <w:b/>
          <w:sz w:val="10"/>
        </w:rPr>
      </w:pPr>
    </w:p>
    <w:p w:rsidR="00AA0715" w:rsidRPr="002F17B5" w:rsidRDefault="00AA0715" w:rsidP="00AA0715">
      <w:r w:rsidRPr="002F17B5">
        <w:t>The market risk to which the county council is exposed in our financial instruments arises mainly from interest rate movements in financial markets. The different types of financial instruments that we hold are affected in different ways by changes in market interest rates.</w:t>
      </w:r>
    </w:p>
    <w:p w:rsidR="00AA0715" w:rsidRPr="00ED2820" w:rsidRDefault="00AA0715" w:rsidP="00AA0715">
      <w:pPr>
        <w:rPr>
          <w:sz w:val="2"/>
        </w:rPr>
      </w:pPr>
    </w:p>
    <w:p w:rsidR="00AA0715" w:rsidRPr="002F17B5" w:rsidRDefault="00AA0715" w:rsidP="00AA0715">
      <w:r w:rsidRPr="002F17B5">
        <w:t>Movement in interest rates have a complex impact on the county council. For instance, a rise in interest rates would have the following effects:</w:t>
      </w:r>
    </w:p>
    <w:p w:rsidR="00AA0715" w:rsidRPr="00ED2820" w:rsidRDefault="00ED2820" w:rsidP="00AA0715">
      <w:pPr>
        <w:rPr>
          <w:sz w:val="4"/>
        </w:rPr>
      </w:pPr>
      <w:r>
        <w:rPr>
          <w:sz w:val="4"/>
        </w:rPr>
        <w:t>[</w:t>
      </w:r>
    </w:p>
    <w:p w:rsidR="00AA0715" w:rsidRPr="002F17B5" w:rsidRDefault="00AA0715" w:rsidP="00AA0715">
      <w:pPr>
        <w:numPr>
          <w:ilvl w:val="0"/>
          <w:numId w:val="44"/>
        </w:numPr>
        <w:autoSpaceDE/>
        <w:autoSpaceDN/>
        <w:adjustRightInd/>
        <w:spacing w:before="0"/>
        <w:ind w:left="709" w:right="1394" w:hanging="567"/>
      </w:pPr>
      <w:r w:rsidRPr="002F17B5">
        <w:t>Borrowings at variable rates – the interest expense charged to the surplus or deficit on the provision of services will rise.</w:t>
      </w:r>
    </w:p>
    <w:p w:rsidR="00AA0715" w:rsidRPr="00ED2820" w:rsidRDefault="00AA0715" w:rsidP="00AA0715">
      <w:pPr>
        <w:autoSpaceDE/>
        <w:autoSpaceDN/>
        <w:adjustRightInd/>
        <w:spacing w:before="0"/>
        <w:ind w:left="709" w:right="1394" w:hanging="567"/>
        <w:rPr>
          <w:sz w:val="2"/>
        </w:rPr>
      </w:pPr>
    </w:p>
    <w:p w:rsidR="00AA0715" w:rsidRPr="002F17B5" w:rsidRDefault="00AA0715" w:rsidP="00AA0715">
      <w:pPr>
        <w:numPr>
          <w:ilvl w:val="0"/>
          <w:numId w:val="44"/>
        </w:numPr>
        <w:autoSpaceDE/>
        <w:autoSpaceDN/>
        <w:adjustRightInd/>
        <w:spacing w:before="0"/>
        <w:ind w:left="709" w:right="1394" w:hanging="567"/>
      </w:pPr>
      <w:r w:rsidRPr="002F17B5">
        <w:t>Borrowings at fixed rates – the fair value of the liabilities borrowings will fall (this has no effect on the surplus or deficit on the provision of services).</w:t>
      </w:r>
    </w:p>
    <w:p w:rsidR="00AA0715" w:rsidRPr="00ED2820" w:rsidRDefault="00AA0715" w:rsidP="00AA0715">
      <w:pPr>
        <w:pStyle w:val="ListParagraph"/>
        <w:ind w:hanging="567"/>
        <w:rPr>
          <w:sz w:val="2"/>
        </w:rPr>
      </w:pPr>
    </w:p>
    <w:p w:rsidR="00AA0715" w:rsidRPr="002F17B5" w:rsidRDefault="00AA0715" w:rsidP="00AA0715">
      <w:pPr>
        <w:numPr>
          <w:ilvl w:val="0"/>
          <w:numId w:val="44"/>
        </w:numPr>
        <w:autoSpaceDE/>
        <w:autoSpaceDN/>
        <w:adjustRightInd/>
        <w:spacing w:before="0"/>
        <w:ind w:left="709" w:right="1394" w:hanging="567"/>
      </w:pPr>
      <w:r w:rsidRPr="002F17B5">
        <w:t>Investments at variable rates - the interest income credited to surplus or deficit on the provision of services will rise.</w:t>
      </w:r>
    </w:p>
    <w:p w:rsidR="00AA0715" w:rsidRPr="00ED2820" w:rsidRDefault="00AA0715" w:rsidP="00AA0715">
      <w:pPr>
        <w:autoSpaceDE/>
        <w:autoSpaceDN/>
        <w:adjustRightInd/>
        <w:spacing w:before="0"/>
        <w:ind w:left="709" w:right="1394" w:hanging="567"/>
        <w:rPr>
          <w:sz w:val="2"/>
        </w:rPr>
      </w:pPr>
    </w:p>
    <w:p w:rsidR="00AA0715" w:rsidRPr="002F17B5" w:rsidRDefault="00AA0715" w:rsidP="00AA0715">
      <w:pPr>
        <w:numPr>
          <w:ilvl w:val="0"/>
          <w:numId w:val="44"/>
        </w:numPr>
        <w:autoSpaceDE/>
        <w:autoSpaceDN/>
        <w:adjustRightInd/>
        <w:spacing w:before="0"/>
        <w:ind w:left="709" w:right="1394" w:hanging="567"/>
      </w:pPr>
      <w:r w:rsidRPr="002F17B5">
        <w:t>Investments at fixed rates – the fair value of the investments will fall.</w:t>
      </w:r>
    </w:p>
    <w:p w:rsidR="00AA0715" w:rsidRPr="00ED2820" w:rsidRDefault="00AA0715" w:rsidP="00AA0715">
      <w:pPr>
        <w:rPr>
          <w:sz w:val="20"/>
        </w:rPr>
      </w:pPr>
    </w:p>
    <w:p w:rsidR="002F2130" w:rsidRDefault="002F2130" w:rsidP="00AA0715"/>
    <w:p w:rsidR="00AF6504" w:rsidRPr="006A6598" w:rsidRDefault="00AF6504" w:rsidP="002F2130">
      <w:pPr>
        <w:rPr>
          <w:b/>
          <w:szCs w:val="20"/>
        </w:rPr>
      </w:pPr>
      <w:r w:rsidRPr="006A6598">
        <w:rPr>
          <w:b/>
          <w:szCs w:val="20"/>
        </w:rPr>
        <w:t>Market Risk - Borrowings</w:t>
      </w:r>
    </w:p>
    <w:p w:rsidR="002F2130" w:rsidRPr="002F17B5" w:rsidRDefault="002F2130" w:rsidP="002F2130">
      <w:pPr>
        <w:rPr>
          <w:szCs w:val="20"/>
        </w:rPr>
      </w:pPr>
      <w:r w:rsidRPr="002F17B5">
        <w:rPr>
          <w:szCs w:val="20"/>
        </w:rPr>
        <w:t>There is a significant level of short term borrowing which needs to be constantly refinanced as part of the strategy to benefit from low short term</w:t>
      </w:r>
      <w:r>
        <w:rPr>
          <w:szCs w:val="20"/>
        </w:rPr>
        <w:t xml:space="preserve"> interest</w:t>
      </w:r>
      <w:r w:rsidRPr="002F17B5">
        <w:rPr>
          <w:szCs w:val="20"/>
        </w:rPr>
        <w:t xml:space="preserve"> rates.  This gives rise to some interest rate risk, although this is mitigated by the ability of the council to switch from short term to long term borrowing should the UK enter as period of rising interest rates, as the expectation is that this would be a protracted period rather than a single event.</w:t>
      </w:r>
    </w:p>
    <w:p w:rsidR="002F2130" w:rsidRPr="002F17B5" w:rsidRDefault="002F2130" w:rsidP="002F2130">
      <w:pPr>
        <w:rPr>
          <w:sz w:val="20"/>
          <w:szCs w:val="20"/>
        </w:rPr>
      </w:pPr>
    </w:p>
    <w:p w:rsidR="002F2130" w:rsidRPr="002F17B5" w:rsidRDefault="002F2130" w:rsidP="002F2130">
      <w:pPr>
        <w:rPr>
          <w:szCs w:val="20"/>
        </w:rPr>
      </w:pPr>
      <w:r w:rsidRPr="002F17B5">
        <w:rPr>
          <w:szCs w:val="20"/>
        </w:rPr>
        <w:t>As part of a balanced portfolio, the interest rate risk is further mitigated by two factors:</w:t>
      </w:r>
    </w:p>
    <w:p w:rsidR="002F2130" w:rsidRPr="002F17B5" w:rsidRDefault="002F2130" w:rsidP="002F2130">
      <w:pPr>
        <w:rPr>
          <w:sz w:val="2"/>
          <w:szCs w:val="20"/>
        </w:rPr>
      </w:pPr>
    </w:p>
    <w:p w:rsidR="002F2130" w:rsidRPr="002F17B5" w:rsidRDefault="002F2130" w:rsidP="002F2130">
      <w:pPr>
        <w:numPr>
          <w:ilvl w:val="0"/>
          <w:numId w:val="65"/>
        </w:numPr>
        <w:autoSpaceDE/>
        <w:autoSpaceDN/>
        <w:adjustRightInd/>
        <w:spacing w:before="0" w:after="0"/>
        <w:ind w:left="567" w:right="260" w:hanging="567"/>
        <w:contextualSpacing/>
        <w:jc w:val="left"/>
        <w:rPr>
          <w:szCs w:val="20"/>
        </w:rPr>
      </w:pPr>
      <w:r w:rsidRPr="002F17B5">
        <w:rPr>
          <w:szCs w:val="20"/>
        </w:rPr>
        <w:t>Maturing and available for sale short term investments which could be used to pay down debt, should it become cost effective to do so.</w:t>
      </w:r>
    </w:p>
    <w:p w:rsidR="002F2130" w:rsidRPr="002F17B5" w:rsidRDefault="002F2130" w:rsidP="002F2130">
      <w:pPr>
        <w:ind w:left="567" w:right="260" w:hanging="567"/>
        <w:contextualSpacing/>
        <w:rPr>
          <w:szCs w:val="20"/>
        </w:rPr>
      </w:pPr>
    </w:p>
    <w:p w:rsidR="002F2130" w:rsidRPr="002F17B5" w:rsidRDefault="002F2130" w:rsidP="002F2130">
      <w:pPr>
        <w:numPr>
          <w:ilvl w:val="0"/>
          <w:numId w:val="65"/>
        </w:numPr>
        <w:autoSpaceDE/>
        <w:autoSpaceDN/>
        <w:adjustRightInd/>
        <w:spacing w:before="0" w:after="0"/>
        <w:ind w:left="567" w:right="260" w:hanging="567"/>
        <w:contextualSpacing/>
        <w:jc w:val="left"/>
        <w:rPr>
          <w:szCs w:val="20"/>
        </w:rPr>
      </w:pPr>
      <w:r w:rsidRPr="002F17B5">
        <w:rPr>
          <w:szCs w:val="20"/>
        </w:rPr>
        <w:t xml:space="preserve">A long term £50m loan taken on a Lender Option Borrower Option (LOBO) basis.  The interest rate of this loan is 7.52% less the sterling 10 year swap rate, providing an inverse relationship with interest rates - the interest payable on the loan will fall as interest rates rise. </w:t>
      </w:r>
    </w:p>
    <w:p w:rsidR="002F2130" w:rsidRPr="002F17B5" w:rsidRDefault="002F2130" w:rsidP="002F2130">
      <w:pPr>
        <w:rPr>
          <w:szCs w:val="20"/>
        </w:rPr>
      </w:pPr>
    </w:p>
    <w:p w:rsidR="002F2130" w:rsidRPr="002F17B5" w:rsidRDefault="002F2130" w:rsidP="002F2130">
      <w:pPr>
        <w:rPr>
          <w:szCs w:val="20"/>
        </w:rPr>
      </w:pPr>
      <w:r w:rsidRPr="002F17B5">
        <w:rPr>
          <w:szCs w:val="20"/>
        </w:rPr>
        <w:t xml:space="preserve">The county treasurer will continue to closely monitor interest rate forecasts in order to establish when long term interest rates might be expected to rise.  </w:t>
      </w:r>
    </w:p>
    <w:p w:rsidR="002F2130" w:rsidRDefault="002F2130" w:rsidP="002F2130"/>
    <w:p w:rsidR="00AF6504" w:rsidRPr="006A6598" w:rsidRDefault="00AF6504" w:rsidP="002F2130">
      <w:pPr>
        <w:rPr>
          <w:b/>
        </w:rPr>
      </w:pPr>
      <w:r>
        <w:rPr>
          <w:b/>
        </w:rPr>
        <w:t>Market Risk - Investments</w:t>
      </w:r>
    </w:p>
    <w:p w:rsidR="00AA0715" w:rsidRPr="002F17B5" w:rsidRDefault="00AA0715" w:rsidP="00AA0715">
      <w:r w:rsidRPr="002F17B5">
        <w:t>A fall in the fair value of fixed rate investments that are held for trading will result in a charge to the surplus or deficit on the provision of services, reducing the County Fund balance.  A fall in the fair value available-for-sale investments will be reflected in other comprehensive income.  A fall in the fair value of other investments will have no impact on the primary financial statements, but will be disclosed in the notes to the accounts.</w:t>
      </w:r>
    </w:p>
    <w:p w:rsidR="00AA0715" w:rsidRPr="00ED2820" w:rsidRDefault="00AA0715" w:rsidP="00AA0715">
      <w:pPr>
        <w:rPr>
          <w:sz w:val="12"/>
        </w:rPr>
      </w:pPr>
    </w:p>
    <w:p w:rsidR="00AA0715" w:rsidRPr="002F17B5" w:rsidRDefault="00AA0715" w:rsidP="00AA0715">
      <w:pPr>
        <w:spacing w:after="240"/>
      </w:pPr>
      <w:r w:rsidRPr="002F17B5">
        <w:t xml:space="preserve">The county council also holds index linked investments the fair value of which rises as inflation rises, and a Lender Option Borrower Option (LOBO) loan for which the expense charged to the surplus or deficit on the provision of services will fall as interest rates rise. All of these instruments are part of a strategy to take advantage of current market conditions whilst managing interest rate risk. </w:t>
      </w:r>
    </w:p>
    <w:p w:rsidR="00AA0715" w:rsidRPr="00ED2820" w:rsidRDefault="00AA0715" w:rsidP="00AA0715">
      <w:pPr>
        <w:spacing w:after="240"/>
        <w:rPr>
          <w:sz w:val="2"/>
        </w:rPr>
      </w:pPr>
    </w:p>
    <w:p w:rsidR="00AA0715" w:rsidRPr="002F17B5" w:rsidRDefault="00AA0715" w:rsidP="00AA0715">
      <w:pPr>
        <w:spacing w:after="240"/>
      </w:pPr>
      <w:r w:rsidRPr="002F17B5">
        <w:t>The Treasury Management team is constantly refining the active strategy for assessing interest rate exposure and the results feed into the annual budget cycle allowing any adverse changes to be accommodated.</w:t>
      </w:r>
    </w:p>
    <w:p w:rsidR="00AA0715" w:rsidRDefault="00AA0715" w:rsidP="00ED2820">
      <w:pPr>
        <w:spacing w:after="0"/>
      </w:pPr>
      <w:r w:rsidRPr="002F17B5">
        <w:t xml:space="preserve">The table below attempts to quantify the interest rate risk looking back at the 31 March 2014 position. </w:t>
      </w:r>
    </w:p>
    <w:p w:rsidR="008778FF" w:rsidRPr="002F17B5" w:rsidRDefault="008778FF" w:rsidP="00ED2820">
      <w:pPr>
        <w:spacing w:after="0"/>
      </w:pPr>
    </w:p>
    <w:tbl>
      <w:tblPr>
        <w:tblpPr w:leftFromText="180" w:rightFromText="180" w:vertAnchor="text" w:horzAnchor="margin" w:tblpXSpec="center" w:tblpY="145"/>
        <w:tblW w:w="1027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39"/>
        <w:gridCol w:w="1236"/>
      </w:tblGrid>
      <w:tr w:rsidR="00AA0715" w:rsidRPr="002F17B5" w:rsidTr="00E373A4">
        <w:trPr>
          <w:trHeight w:val="683"/>
        </w:trPr>
        <w:tc>
          <w:tcPr>
            <w:tcW w:w="9039" w:type="dxa"/>
            <w:shd w:val="clear" w:color="auto" w:fill="FFFFFF" w:themeFill="background1"/>
            <w:noWrap/>
            <w:hideMark/>
          </w:tcPr>
          <w:p w:rsidR="00AA0715" w:rsidRPr="002F17B5" w:rsidRDefault="00AA0715" w:rsidP="00E373A4">
            <w:pPr>
              <w:spacing w:after="60"/>
              <w:jc w:val="left"/>
            </w:pPr>
            <w:r w:rsidRPr="002F17B5">
              <w:t>The effect if interest rates were 1% higher with all other variables held constant:</w:t>
            </w:r>
          </w:p>
        </w:tc>
        <w:tc>
          <w:tcPr>
            <w:tcW w:w="1236" w:type="dxa"/>
            <w:shd w:val="clear" w:color="auto" w:fill="FFFFFF" w:themeFill="background1"/>
            <w:noWrap/>
            <w:vAlign w:val="bottom"/>
            <w:hideMark/>
          </w:tcPr>
          <w:p w:rsidR="00AA0715" w:rsidRPr="002F17B5" w:rsidRDefault="00AA0715" w:rsidP="00E373A4">
            <w:pPr>
              <w:spacing w:after="60"/>
              <w:jc w:val="center"/>
              <w:rPr>
                <w:b/>
                <w:bCs/>
              </w:rPr>
            </w:pPr>
          </w:p>
          <w:p w:rsidR="00AA0715" w:rsidRPr="002F17B5" w:rsidRDefault="00AA0715" w:rsidP="00E373A4">
            <w:pPr>
              <w:spacing w:after="60"/>
              <w:jc w:val="right"/>
            </w:pPr>
            <w:r w:rsidRPr="002F17B5">
              <w:rPr>
                <w:b/>
                <w:bCs/>
              </w:rPr>
              <w:t>£m</w:t>
            </w:r>
          </w:p>
        </w:tc>
      </w:tr>
      <w:tr w:rsidR="00AA0715" w:rsidRPr="002F17B5" w:rsidTr="00E373A4">
        <w:trPr>
          <w:trHeight w:val="300"/>
        </w:trPr>
        <w:tc>
          <w:tcPr>
            <w:tcW w:w="9039" w:type="dxa"/>
            <w:shd w:val="clear" w:color="auto" w:fill="FFFFFF" w:themeFill="background1"/>
            <w:noWrap/>
            <w:vAlign w:val="bottom"/>
            <w:hideMark/>
          </w:tcPr>
          <w:p w:rsidR="00AA0715" w:rsidRPr="002F17B5" w:rsidRDefault="00AA0715" w:rsidP="00E373A4">
            <w:pPr>
              <w:spacing w:after="60"/>
              <w:rPr>
                <w:sz w:val="4"/>
              </w:rPr>
            </w:pPr>
          </w:p>
          <w:p w:rsidR="00AA0715" w:rsidRPr="002F17B5" w:rsidRDefault="00AA0715" w:rsidP="00E373A4">
            <w:pPr>
              <w:spacing w:after="60"/>
            </w:pPr>
            <w:r w:rsidRPr="002F17B5">
              <w:t>Increase in interest payable on variable rate borrowings</w:t>
            </w:r>
          </w:p>
        </w:tc>
        <w:tc>
          <w:tcPr>
            <w:tcW w:w="1236" w:type="dxa"/>
            <w:shd w:val="clear" w:color="auto" w:fill="FFFFFF" w:themeFill="background1"/>
            <w:noWrap/>
            <w:vAlign w:val="bottom"/>
            <w:hideMark/>
          </w:tcPr>
          <w:p w:rsidR="001D73DF" w:rsidRPr="002F17B5" w:rsidRDefault="00AA0715" w:rsidP="00E373A4">
            <w:pPr>
              <w:spacing w:after="60"/>
              <w:jc w:val="right"/>
              <w:rPr>
                <w:b/>
                <w:bCs/>
                <w:sz w:val="22"/>
                <w:szCs w:val="22"/>
              </w:rPr>
            </w:pPr>
            <w:r w:rsidRPr="002F17B5">
              <w:t>2.7</w:t>
            </w:r>
          </w:p>
        </w:tc>
      </w:tr>
      <w:tr w:rsidR="00AA0715" w:rsidRPr="002F17B5" w:rsidTr="00E373A4">
        <w:trPr>
          <w:trHeight w:val="567"/>
        </w:trPr>
        <w:tc>
          <w:tcPr>
            <w:tcW w:w="9039" w:type="dxa"/>
            <w:shd w:val="clear" w:color="auto" w:fill="FFFFFF" w:themeFill="background1"/>
            <w:noWrap/>
            <w:vAlign w:val="bottom"/>
            <w:hideMark/>
          </w:tcPr>
          <w:p w:rsidR="00AA0715" w:rsidRPr="002F17B5" w:rsidRDefault="00AA0715" w:rsidP="00E373A4">
            <w:pPr>
              <w:spacing w:after="60"/>
            </w:pPr>
            <w:r w:rsidRPr="002F17B5">
              <w:t>Increase in interest receivable on variable rate investments</w:t>
            </w:r>
          </w:p>
          <w:p w:rsidR="00AA0715" w:rsidRPr="002F17B5" w:rsidRDefault="00AA0715" w:rsidP="00E373A4">
            <w:pPr>
              <w:spacing w:after="60"/>
              <w:rPr>
                <w:sz w:val="4"/>
              </w:rPr>
            </w:pPr>
          </w:p>
        </w:tc>
        <w:tc>
          <w:tcPr>
            <w:tcW w:w="1236" w:type="dxa"/>
            <w:shd w:val="clear" w:color="auto" w:fill="FFFFFF" w:themeFill="background1"/>
            <w:noWrap/>
            <w:vAlign w:val="bottom"/>
            <w:hideMark/>
          </w:tcPr>
          <w:p w:rsidR="001D73DF" w:rsidRPr="002F17B5" w:rsidRDefault="001D73DF" w:rsidP="00E373A4">
            <w:pPr>
              <w:spacing w:after="60"/>
              <w:jc w:val="right"/>
              <w:rPr>
                <w:sz w:val="4"/>
              </w:rPr>
            </w:pPr>
          </w:p>
          <w:p w:rsidR="001D73DF" w:rsidRPr="002F17B5" w:rsidRDefault="00AA0715" w:rsidP="00E373A4">
            <w:pPr>
              <w:spacing w:after="60"/>
              <w:ind w:left="73"/>
              <w:jc w:val="right"/>
            </w:pPr>
            <w:r w:rsidRPr="002F17B5">
              <w:t>(1.5)</w:t>
            </w:r>
          </w:p>
          <w:p w:rsidR="001D73DF" w:rsidRPr="002F17B5" w:rsidRDefault="001D73DF" w:rsidP="00E373A4">
            <w:pPr>
              <w:spacing w:after="60"/>
              <w:ind w:left="73"/>
              <w:jc w:val="right"/>
              <w:rPr>
                <w:sz w:val="4"/>
              </w:rPr>
            </w:pPr>
          </w:p>
        </w:tc>
      </w:tr>
      <w:tr w:rsidR="00AA0715" w:rsidRPr="002F17B5" w:rsidTr="00E373A4">
        <w:trPr>
          <w:trHeight w:val="300"/>
        </w:trPr>
        <w:tc>
          <w:tcPr>
            <w:tcW w:w="9039" w:type="dxa"/>
            <w:shd w:val="clear" w:color="auto" w:fill="FFFFFF" w:themeFill="background1"/>
            <w:noWrap/>
            <w:vAlign w:val="bottom"/>
            <w:hideMark/>
          </w:tcPr>
          <w:p w:rsidR="00AA0715" w:rsidRPr="002F17B5" w:rsidRDefault="00AA0715" w:rsidP="00E373A4">
            <w:pPr>
              <w:spacing w:after="60"/>
            </w:pPr>
            <w:r w:rsidRPr="002F17B5">
              <w:t>Decrease in fair value of investments held for trading*</w:t>
            </w:r>
          </w:p>
        </w:tc>
        <w:tc>
          <w:tcPr>
            <w:tcW w:w="1236" w:type="dxa"/>
            <w:shd w:val="clear" w:color="auto" w:fill="FFFFFF" w:themeFill="background1"/>
            <w:noWrap/>
            <w:vAlign w:val="bottom"/>
            <w:hideMark/>
          </w:tcPr>
          <w:p w:rsidR="001D73DF" w:rsidRPr="002F17B5" w:rsidRDefault="00785E69" w:rsidP="00E373A4">
            <w:pPr>
              <w:spacing w:after="60"/>
              <w:jc w:val="right"/>
            </w:pPr>
            <w:r w:rsidRPr="002F17B5">
              <w:t>-</w:t>
            </w:r>
          </w:p>
        </w:tc>
      </w:tr>
      <w:tr w:rsidR="00AA0715" w:rsidRPr="002F17B5" w:rsidTr="00E373A4">
        <w:trPr>
          <w:trHeight w:val="300"/>
        </w:trPr>
        <w:tc>
          <w:tcPr>
            <w:tcW w:w="9039" w:type="dxa"/>
            <w:shd w:val="clear" w:color="auto" w:fill="FFFFFF" w:themeFill="background1"/>
            <w:noWrap/>
            <w:vAlign w:val="bottom"/>
            <w:hideMark/>
          </w:tcPr>
          <w:p w:rsidR="00AA0715" w:rsidRPr="002F17B5" w:rsidRDefault="00AA0715" w:rsidP="00E373A4">
            <w:pPr>
              <w:spacing w:after="60"/>
              <w:rPr>
                <w:sz w:val="2"/>
              </w:rPr>
            </w:pPr>
          </w:p>
        </w:tc>
        <w:tc>
          <w:tcPr>
            <w:tcW w:w="1236" w:type="dxa"/>
            <w:shd w:val="clear" w:color="auto" w:fill="FFFFFF" w:themeFill="background1"/>
            <w:noWrap/>
            <w:vAlign w:val="bottom"/>
            <w:hideMark/>
          </w:tcPr>
          <w:p w:rsidR="001D73DF" w:rsidRPr="002F17B5" w:rsidRDefault="001D73DF" w:rsidP="00E373A4">
            <w:pPr>
              <w:spacing w:after="60"/>
              <w:jc w:val="right"/>
              <w:rPr>
                <w:sz w:val="2"/>
              </w:rPr>
            </w:pPr>
          </w:p>
        </w:tc>
      </w:tr>
      <w:tr w:rsidR="00AA0715" w:rsidRPr="002F17B5" w:rsidTr="00E373A4">
        <w:trPr>
          <w:trHeight w:val="300"/>
        </w:trPr>
        <w:tc>
          <w:tcPr>
            <w:tcW w:w="9039" w:type="dxa"/>
            <w:shd w:val="clear" w:color="auto" w:fill="FFFFFF" w:themeFill="background1"/>
            <w:noWrap/>
            <w:vAlign w:val="bottom"/>
            <w:hideMark/>
          </w:tcPr>
          <w:p w:rsidR="00AA0715" w:rsidRPr="002F17B5" w:rsidRDefault="00AA0715" w:rsidP="00E373A4">
            <w:pPr>
              <w:spacing w:after="60"/>
              <w:rPr>
                <w:b/>
              </w:rPr>
            </w:pPr>
            <w:r w:rsidRPr="002F17B5">
              <w:rPr>
                <w:b/>
              </w:rPr>
              <w:t>Impact on surplus or deficit on the provision of services</w:t>
            </w:r>
          </w:p>
        </w:tc>
        <w:tc>
          <w:tcPr>
            <w:tcW w:w="1236" w:type="dxa"/>
            <w:shd w:val="clear" w:color="auto" w:fill="FFFFFF" w:themeFill="background1"/>
            <w:noWrap/>
            <w:vAlign w:val="bottom"/>
            <w:hideMark/>
          </w:tcPr>
          <w:p w:rsidR="001D73DF" w:rsidRPr="002F17B5" w:rsidRDefault="00AA0715" w:rsidP="00E373A4">
            <w:pPr>
              <w:spacing w:after="60"/>
              <w:jc w:val="right"/>
              <w:rPr>
                <w:b/>
                <w:bCs/>
              </w:rPr>
            </w:pPr>
            <w:r w:rsidRPr="002F17B5">
              <w:rPr>
                <w:b/>
                <w:bCs/>
              </w:rPr>
              <w:t>1.2</w:t>
            </w:r>
          </w:p>
        </w:tc>
      </w:tr>
      <w:tr w:rsidR="00AA0715" w:rsidRPr="002F17B5" w:rsidTr="00E373A4">
        <w:trPr>
          <w:trHeight w:val="653"/>
        </w:trPr>
        <w:tc>
          <w:tcPr>
            <w:tcW w:w="9039" w:type="dxa"/>
            <w:shd w:val="clear" w:color="auto" w:fill="FFFFFF" w:themeFill="background1"/>
            <w:noWrap/>
            <w:vAlign w:val="center"/>
            <w:hideMark/>
          </w:tcPr>
          <w:p w:rsidR="00AA0715" w:rsidRPr="002F17B5" w:rsidRDefault="00AA0715" w:rsidP="00E373A4">
            <w:pPr>
              <w:spacing w:after="60"/>
              <w:rPr>
                <w:sz w:val="4"/>
              </w:rPr>
            </w:pPr>
          </w:p>
          <w:p w:rsidR="00AA0715" w:rsidRPr="002F17B5" w:rsidRDefault="00AA0715" w:rsidP="00E373A4">
            <w:pPr>
              <w:spacing w:after="60"/>
            </w:pPr>
            <w:r w:rsidRPr="002F17B5">
              <w:t>Decrease in fair value of fixed rate available for sale  investment assets</w:t>
            </w:r>
          </w:p>
          <w:p w:rsidR="00AA0715" w:rsidRPr="002F17B5" w:rsidRDefault="00AA0715" w:rsidP="00E373A4">
            <w:pPr>
              <w:spacing w:after="60"/>
              <w:rPr>
                <w:sz w:val="4"/>
              </w:rPr>
            </w:pPr>
          </w:p>
        </w:tc>
        <w:tc>
          <w:tcPr>
            <w:tcW w:w="1236" w:type="dxa"/>
            <w:shd w:val="clear" w:color="auto" w:fill="FFFFFF" w:themeFill="background1"/>
            <w:noWrap/>
            <w:vAlign w:val="center"/>
            <w:hideMark/>
          </w:tcPr>
          <w:p w:rsidR="001D73DF" w:rsidRPr="002F17B5" w:rsidRDefault="00252D30" w:rsidP="00E373A4">
            <w:pPr>
              <w:spacing w:after="60"/>
              <w:jc w:val="right"/>
            </w:pPr>
            <w:r w:rsidRPr="002F17B5">
              <w:t>65.0</w:t>
            </w:r>
          </w:p>
        </w:tc>
      </w:tr>
      <w:tr w:rsidR="00AA0715" w:rsidRPr="002F17B5" w:rsidTr="00E373A4">
        <w:trPr>
          <w:trHeight w:val="422"/>
        </w:trPr>
        <w:tc>
          <w:tcPr>
            <w:tcW w:w="9039" w:type="dxa"/>
            <w:shd w:val="clear" w:color="auto" w:fill="FFFFFF" w:themeFill="background1"/>
            <w:noWrap/>
            <w:vAlign w:val="bottom"/>
            <w:hideMark/>
          </w:tcPr>
          <w:p w:rsidR="00AA0715" w:rsidRPr="002F17B5" w:rsidRDefault="00AA0715" w:rsidP="00E373A4">
            <w:pPr>
              <w:spacing w:after="60"/>
            </w:pPr>
            <w:r w:rsidRPr="002F17B5">
              <w:t>I</w:t>
            </w:r>
            <w:r w:rsidRPr="002F17B5">
              <w:rPr>
                <w:b/>
              </w:rPr>
              <w:t>mpact on other Comprehensive Income &amp; Expenditure</w:t>
            </w:r>
          </w:p>
        </w:tc>
        <w:tc>
          <w:tcPr>
            <w:tcW w:w="1236" w:type="dxa"/>
            <w:shd w:val="clear" w:color="auto" w:fill="FFFFFF" w:themeFill="background1"/>
            <w:noWrap/>
            <w:vAlign w:val="bottom"/>
            <w:hideMark/>
          </w:tcPr>
          <w:p w:rsidR="001D73DF" w:rsidRPr="002F17B5" w:rsidRDefault="00F65A41" w:rsidP="00E373A4">
            <w:pPr>
              <w:spacing w:after="60"/>
              <w:jc w:val="right"/>
              <w:rPr>
                <w:b/>
                <w:bCs/>
              </w:rPr>
            </w:pPr>
            <w:r w:rsidRPr="002F17B5">
              <w:rPr>
                <w:b/>
                <w:bCs/>
              </w:rPr>
              <w:t>66.2</w:t>
            </w:r>
          </w:p>
        </w:tc>
      </w:tr>
      <w:tr w:rsidR="00AA0715" w:rsidRPr="002F17B5" w:rsidTr="00E373A4">
        <w:trPr>
          <w:trHeight w:val="300"/>
        </w:trPr>
        <w:tc>
          <w:tcPr>
            <w:tcW w:w="9039" w:type="dxa"/>
            <w:shd w:val="clear" w:color="auto" w:fill="FFFFFF" w:themeFill="background1"/>
            <w:noWrap/>
            <w:vAlign w:val="bottom"/>
            <w:hideMark/>
          </w:tcPr>
          <w:p w:rsidR="00AA0715" w:rsidRPr="002F17B5" w:rsidRDefault="00AA0715" w:rsidP="00E373A4">
            <w:pPr>
              <w:spacing w:after="60"/>
              <w:rPr>
                <w:sz w:val="4"/>
              </w:rPr>
            </w:pPr>
          </w:p>
          <w:p w:rsidR="00AA0715" w:rsidRPr="002F17B5" w:rsidRDefault="00AA0715" w:rsidP="00E373A4">
            <w:pPr>
              <w:spacing w:after="60"/>
            </w:pPr>
            <w:r w:rsidRPr="002F17B5">
              <w:t xml:space="preserve">Decrease in fair value of fixed rate loans and receivables investments (no impact on the Surplus or Deficit on the Provision of Services or Other Comprehensive Income and Expenditure)  </w:t>
            </w:r>
          </w:p>
          <w:p w:rsidR="00AA0715" w:rsidRPr="002F17B5" w:rsidRDefault="00AA0715" w:rsidP="00E373A4">
            <w:pPr>
              <w:spacing w:after="60"/>
              <w:rPr>
                <w:sz w:val="4"/>
              </w:rPr>
            </w:pPr>
          </w:p>
        </w:tc>
        <w:tc>
          <w:tcPr>
            <w:tcW w:w="1236" w:type="dxa"/>
            <w:shd w:val="clear" w:color="auto" w:fill="FFFFFF" w:themeFill="background1"/>
            <w:noWrap/>
            <w:vAlign w:val="center"/>
            <w:hideMark/>
          </w:tcPr>
          <w:p w:rsidR="001D73DF" w:rsidRPr="002F17B5" w:rsidRDefault="008D56D9" w:rsidP="00E373A4">
            <w:pPr>
              <w:spacing w:after="60"/>
              <w:jc w:val="right"/>
              <w:rPr>
                <w:bCs/>
              </w:rPr>
            </w:pPr>
            <w:r w:rsidRPr="002F17B5">
              <w:rPr>
                <w:bCs/>
              </w:rPr>
              <w:t>1.8</w:t>
            </w:r>
          </w:p>
          <w:p w:rsidR="001D73DF" w:rsidRPr="002F17B5" w:rsidRDefault="001D73DF" w:rsidP="00E373A4">
            <w:pPr>
              <w:spacing w:after="60"/>
              <w:jc w:val="right"/>
              <w:rPr>
                <w:bCs/>
                <w:sz w:val="4"/>
              </w:rPr>
            </w:pPr>
          </w:p>
          <w:p w:rsidR="001D73DF" w:rsidRPr="002F17B5" w:rsidRDefault="001D73DF" w:rsidP="00E373A4">
            <w:pPr>
              <w:spacing w:after="60"/>
              <w:jc w:val="right"/>
              <w:rPr>
                <w:b/>
                <w:bCs/>
                <w:sz w:val="4"/>
              </w:rPr>
            </w:pPr>
          </w:p>
        </w:tc>
      </w:tr>
      <w:tr w:rsidR="00AA0715" w:rsidRPr="002F17B5" w:rsidTr="00E373A4">
        <w:trPr>
          <w:trHeight w:val="315"/>
        </w:trPr>
        <w:tc>
          <w:tcPr>
            <w:tcW w:w="9039" w:type="dxa"/>
            <w:shd w:val="clear" w:color="auto" w:fill="FFFFFF" w:themeFill="background1"/>
            <w:noWrap/>
            <w:vAlign w:val="bottom"/>
            <w:hideMark/>
          </w:tcPr>
          <w:p w:rsidR="00AA0715" w:rsidRPr="002F17B5" w:rsidRDefault="00AA0715" w:rsidP="00E373A4">
            <w:pPr>
              <w:spacing w:after="60"/>
            </w:pPr>
            <w:r w:rsidRPr="002F17B5">
              <w:t xml:space="preserve">Decrease in fair value of fixed rate borrowings liabilities (no impact on the Surplus or Deficit on the Provision of Services or Other Comprehensive Income and Expenditure)  </w:t>
            </w:r>
          </w:p>
          <w:p w:rsidR="00AA0715" w:rsidRPr="002F17B5" w:rsidRDefault="00AA0715" w:rsidP="00E373A4">
            <w:pPr>
              <w:spacing w:after="60"/>
              <w:rPr>
                <w:sz w:val="8"/>
              </w:rPr>
            </w:pPr>
          </w:p>
        </w:tc>
        <w:tc>
          <w:tcPr>
            <w:tcW w:w="1236" w:type="dxa"/>
            <w:shd w:val="clear" w:color="auto" w:fill="FFFFFF" w:themeFill="background1"/>
            <w:noWrap/>
            <w:vAlign w:val="center"/>
            <w:hideMark/>
          </w:tcPr>
          <w:p w:rsidR="001D73DF" w:rsidRPr="002F17B5" w:rsidRDefault="002E08C0" w:rsidP="00E373A4">
            <w:pPr>
              <w:spacing w:after="60"/>
              <w:jc w:val="right"/>
            </w:pPr>
            <w:r w:rsidRPr="002F17B5">
              <w:t>(</w:t>
            </w:r>
            <w:r w:rsidR="00AA0715" w:rsidRPr="002F17B5">
              <w:t>30</w:t>
            </w:r>
            <w:r w:rsidR="004D1204" w:rsidRPr="002F17B5">
              <w:t>.8</w:t>
            </w:r>
            <w:r w:rsidRPr="002F17B5">
              <w:t>)</w:t>
            </w:r>
          </w:p>
          <w:p w:rsidR="001D73DF" w:rsidRPr="002F17B5" w:rsidRDefault="001D73DF" w:rsidP="00E373A4">
            <w:pPr>
              <w:spacing w:after="60"/>
              <w:jc w:val="right"/>
              <w:rPr>
                <w:sz w:val="4"/>
              </w:rPr>
            </w:pPr>
          </w:p>
          <w:p w:rsidR="001D73DF" w:rsidRPr="002F17B5" w:rsidRDefault="001D73DF" w:rsidP="00E373A4">
            <w:pPr>
              <w:spacing w:after="60"/>
              <w:jc w:val="right"/>
              <w:rPr>
                <w:sz w:val="4"/>
              </w:rPr>
            </w:pPr>
          </w:p>
        </w:tc>
      </w:tr>
    </w:tbl>
    <w:p w:rsidR="00AA0715" w:rsidRPr="002F17B5" w:rsidRDefault="00AA0715" w:rsidP="00AA0715">
      <w:pPr>
        <w:rPr>
          <w:sz w:val="2"/>
        </w:rPr>
      </w:pPr>
    </w:p>
    <w:p w:rsidR="00AA0715" w:rsidRPr="002F17B5" w:rsidRDefault="00AA0715" w:rsidP="00AA0715">
      <w:pPr>
        <w:rPr>
          <w:sz w:val="22"/>
        </w:rPr>
      </w:pPr>
      <w:r w:rsidRPr="002F17B5">
        <w:rPr>
          <w:sz w:val="22"/>
        </w:rPr>
        <w:t xml:space="preserve"> * Note that a rise in interest rates is also likely to result in a rise in inflation expectations which will cause the fair value of index linked investments to rise and partly offset the charge to the Surplus or Deficit on the Provision of Services.</w:t>
      </w:r>
    </w:p>
    <w:p w:rsidR="00AA0715" w:rsidRPr="002F17B5" w:rsidRDefault="00AA0715" w:rsidP="00AA0715">
      <w:pPr>
        <w:ind w:left="720"/>
        <w:rPr>
          <w:sz w:val="14"/>
        </w:rPr>
      </w:pPr>
    </w:p>
    <w:p w:rsidR="00AA0715" w:rsidRPr="002F17B5" w:rsidRDefault="00AA0715" w:rsidP="00AA0715">
      <w:r w:rsidRPr="002F17B5">
        <w:t>The impact of a 1% fall in interest rate</w:t>
      </w:r>
      <w:r w:rsidR="0068311D" w:rsidRPr="002F17B5">
        <w:t>s would be as above but with movements</w:t>
      </w:r>
      <w:r w:rsidRPr="002F17B5">
        <w:t xml:space="preserve"> reversed.</w:t>
      </w:r>
    </w:p>
    <w:p w:rsidR="00122637" w:rsidRDefault="00122637" w:rsidP="00AA0715"/>
    <w:p w:rsidR="00122637" w:rsidRDefault="00122637" w:rsidP="00AA0715"/>
    <w:p w:rsidR="00AA0715" w:rsidRPr="002F17B5" w:rsidRDefault="00AA0715" w:rsidP="00AA0715">
      <w:r w:rsidRPr="002F17B5">
        <w:t xml:space="preserve">The table illustrates the sensitivity inherent in the current portfolio to an interest rate rise. This is the consequence of the current short term borrowing policy which has provided the in year reduction in debt interest costs, and which is being carefully managed having regard to the potential for interest rates to rise. </w:t>
      </w:r>
    </w:p>
    <w:p w:rsidR="00AA0715" w:rsidRPr="00ED2820" w:rsidRDefault="00AA0715" w:rsidP="00AA0715">
      <w:pPr>
        <w:rPr>
          <w:sz w:val="6"/>
        </w:rPr>
      </w:pPr>
    </w:p>
    <w:p w:rsidR="00AA0715" w:rsidRPr="002F17B5" w:rsidRDefault="00AA0715" w:rsidP="00AA0715">
      <w:r w:rsidRPr="002F17B5">
        <w:t>This risk management process has begun with the inverse Lender Options Borrower Option loan outlined above. Regarding the investment portfolio it is anticipated that, in the current environment, any interest rate rises would follow a prolonged period of rising inflation, and therefore the current holding of inflation linked AAA rated bonds would provide some protection against the operating cost inflation risk.</w:t>
      </w:r>
    </w:p>
    <w:p w:rsidR="00E373A4" w:rsidRDefault="00E373A4" w:rsidP="00AA0715">
      <w:pPr>
        <w:rPr>
          <w:sz w:val="38"/>
        </w:rPr>
      </w:pPr>
    </w:p>
    <w:p w:rsidR="008778FF" w:rsidRPr="00ED2820" w:rsidRDefault="008778FF" w:rsidP="00AA0715">
      <w:pPr>
        <w:rPr>
          <w:sz w:val="38"/>
        </w:rPr>
      </w:pPr>
    </w:p>
    <w:p w:rsidR="005C6E3B" w:rsidRPr="002F17B5" w:rsidRDefault="00286D86" w:rsidP="005855CE">
      <w:pPr>
        <w:pStyle w:val="Heading3-numbered"/>
        <w:rPr>
          <w:i w:val="0"/>
          <w:sz w:val="26"/>
        </w:rPr>
      </w:pPr>
      <w:r w:rsidRPr="002F17B5">
        <w:rPr>
          <w:i w:val="0"/>
          <w:sz w:val="26"/>
        </w:rPr>
        <w:t xml:space="preserve">  Debtors</w:t>
      </w:r>
    </w:p>
    <w:tbl>
      <w:tblPr>
        <w:tblW w:w="8046" w:type="dxa"/>
        <w:shd w:val="clear" w:color="auto" w:fill="FFFFFF" w:themeFill="background1"/>
        <w:tblLook w:val="04A0" w:firstRow="1" w:lastRow="0" w:firstColumn="1" w:lastColumn="0" w:noHBand="0" w:noVBand="1"/>
      </w:tblPr>
      <w:tblGrid>
        <w:gridCol w:w="3847"/>
        <w:gridCol w:w="2357"/>
        <w:gridCol w:w="1842"/>
      </w:tblGrid>
      <w:tr w:rsidR="00935A8A" w:rsidRPr="002F17B5" w:rsidTr="00675319">
        <w:trPr>
          <w:trHeight w:val="300"/>
        </w:trPr>
        <w:tc>
          <w:tcPr>
            <w:tcW w:w="3847" w:type="dxa"/>
            <w:shd w:val="clear" w:color="auto" w:fill="FFFFFF" w:themeFill="background1"/>
            <w:noWrap/>
            <w:vAlign w:val="bottom"/>
            <w:hideMark/>
          </w:tcPr>
          <w:p w:rsidR="00935A8A" w:rsidRPr="002F17B5" w:rsidRDefault="00935A8A" w:rsidP="0068311D">
            <w:pPr>
              <w:spacing w:after="40"/>
              <w:rPr>
                <w:sz w:val="20"/>
                <w:szCs w:val="20"/>
              </w:rPr>
            </w:pPr>
          </w:p>
        </w:tc>
        <w:tc>
          <w:tcPr>
            <w:tcW w:w="2357" w:type="dxa"/>
            <w:shd w:val="clear" w:color="auto" w:fill="FFFFFF" w:themeFill="background1"/>
            <w:vAlign w:val="bottom"/>
            <w:hideMark/>
          </w:tcPr>
          <w:p w:rsidR="00935A8A" w:rsidRPr="002F17B5" w:rsidRDefault="00935A8A" w:rsidP="0068311D">
            <w:pPr>
              <w:spacing w:after="40"/>
              <w:jc w:val="right"/>
              <w:rPr>
                <w:b/>
              </w:rPr>
            </w:pPr>
            <w:r w:rsidRPr="002F17B5">
              <w:rPr>
                <w:b/>
              </w:rPr>
              <w:t>31/03/2014</w:t>
            </w:r>
          </w:p>
        </w:tc>
        <w:tc>
          <w:tcPr>
            <w:tcW w:w="1842" w:type="dxa"/>
            <w:shd w:val="clear" w:color="auto" w:fill="FFFFFF" w:themeFill="background1"/>
            <w:vAlign w:val="bottom"/>
            <w:hideMark/>
          </w:tcPr>
          <w:p w:rsidR="00935A8A" w:rsidRPr="002F17B5" w:rsidRDefault="00935A8A" w:rsidP="0068311D">
            <w:pPr>
              <w:spacing w:after="40"/>
              <w:jc w:val="right"/>
              <w:rPr>
                <w:b/>
              </w:rPr>
            </w:pPr>
            <w:r w:rsidRPr="002F17B5">
              <w:rPr>
                <w:b/>
              </w:rPr>
              <w:t>31/03/2013</w:t>
            </w:r>
          </w:p>
        </w:tc>
      </w:tr>
      <w:tr w:rsidR="00935A8A" w:rsidRPr="002F17B5" w:rsidTr="00675319">
        <w:trPr>
          <w:trHeight w:val="315"/>
        </w:trPr>
        <w:tc>
          <w:tcPr>
            <w:tcW w:w="3847" w:type="dxa"/>
            <w:shd w:val="clear" w:color="auto" w:fill="FFFFFF" w:themeFill="background1"/>
            <w:noWrap/>
            <w:vAlign w:val="bottom"/>
            <w:hideMark/>
          </w:tcPr>
          <w:p w:rsidR="00935A8A" w:rsidRPr="002F17B5" w:rsidRDefault="00935A8A" w:rsidP="0068311D">
            <w:pPr>
              <w:spacing w:after="40"/>
              <w:rPr>
                <w:sz w:val="20"/>
                <w:szCs w:val="20"/>
              </w:rPr>
            </w:pPr>
          </w:p>
        </w:tc>
        <w:tc>
          <w:tcPr>
            <w:tcW w:w="2357" w:type="dxa"/>
            <w:shd w:val="clear" w:color="auto" w:fill="FFFFFF" w:themeFill="background1"/>
            <w:noWrap/>
            <w:vAlign w:val="bottom"/>
            <w:hideMark/>
          </w:tcPr>
          <w:p w:rsidR="00935A8A" w:rsidRPr="002F17B5" w:rsidRDefault="00935A8A" w:rsidP="0068311D">
            <w:pPr>
              <w:spacing w:after="40"/>
              <w:jc w:val="right"/>
              <w:rPr>
                <w:b/>
              </w:rPr>
            </w:pPr>
            <w:r w:rsidRPr="002F17B5">
              <w:rPr>
                <w:b/>
              </w:rPr>
              <w:t>£m</w:t>
            </w:r>
          </w:p>
        </w:tc>
        <w:tc>
          <w:tcPr>
            <w:tcW w:w="1842" w:type="dxa"/>
            <w:shd w:val="clear" w:color="auto" w:fill="FFFFFF" w:themeFill="background1"/>
            <w:noWrap/>
            <w:vAlign w:val="bottom"/>
            <w:hideMark/>
          </w:tcPr>
          <w:p w:rsidR="00935A8A" w:rsidRPr="002F17B5" w:rsidRDefault="00935A8A" w:rsidP="0068311D">
            <w:pPr>
              <w:spacing w:after="40"/>
              <w:jc w:val="right"/>
              <w:rPr>
                <w:b/>
              </w:rPr>
            </w:pPr>
            <w:r w:rsidRPr="002F17B5">
              <w:rPr>
                <w:b/>
              </w:rPr>
              <w:t>£m</w:t>
            </w:r>
          </w:p>
        </w:tc>
      </w:tr>
      <w:tr w:rsidR="00CC5807" w:rsidRPr="002F17B5" w:rsidTr="00675319">
        <w:trPr>
          <w:trHeight w:val="300"/>
        </w:trPr>
        <w:tc>
          <w:tcPr>
            <w:tcW w:w="3847" w:type="dxa"/>
            <w:shd w:val="clear" w:color="auto" w:fill="FFFFFF" w:themeFill="background1"/>
            <w:noWrap/>
            <w:vAlign w:val="bottom"/>
            <w:hideMark/>
          </w:tcPr>
          <w:p w:rsidR="00CC5807" w:rsidRPr="002F17B5" w:rsidRDefault="00CC5807" w:rsidP="0068311D">
            <w:pPr>
              <w:spacing w:after="40"/>
            </w:pPr>
            <w:r w:rsidRPr="002F17B5">
              <w:t xml:space="preserve">Central Government Bodies  </w:t>
            </w:r>
          </w:p>
        </w:tc>
        <w:tc>
          <w:tcPr>
            <w:tcW w:w="2357" w:type="dxa"/>
            <w:shd w:val="clear" w:color="auto" w:fill="FFFFFF" w:themeFill="background1"/>
            <w:noWrap/>
            <w:vAlign w:val="bottom"/>
            <w:hideMark/>
          </w:tcPr>
          <w:p w:rsidR="00CC5807" w:rsidRPr="002F17B5" w:rsidRDefault="002359B6" w:rsidP="0068311D">
            <w:pPr>
              <w:spacing w:after="40"/>
              <w:jc w:val="right"/>
              <w:rPr>
                <w:rFonts w:cs="Arial"/>
              </w:rPr>
            </w:pPr>
            <w:r w:rsidRPr="002F17B5">
              <w:rPr>
                <w:rFonts w:cs="Arial"/>
              </w:rPr>
              <w:t>22.5</w:t>
            </w:r>
          </w:p>
        </w:tc>
        <w:tc>
          <w:tcPr>
            <w:tcW w:w="1842" w:type="dxa"/>
            <w:shd w:val="clear" w:color="auto" w:fill="FFFFFF" w:themeFill="background1"/>
            <w:noWrap/>
            <w:vAlign w:val="bottom"/>
            <w:hideMark/>
          </w:tcPr>
          <w:p w:rsidR="00CC5807" w:rsidRPr="002F17B5" w:rsidRDefault="00CC5807" w:rsidP="0068311D">
            <w:pPr>
              <w:spacing w:after="40"/>
              <w:jc w:val="right"/>
              <w:rPr>
                <w:rFonts w:cs="Arial"/>
              </w:rPr>
            </w:pPr>
            <w:r w:rsidRPr="002F17B5">
              <w:rPr>
                <w:rFonts w:cs="Arial"/>
              </w:rPr>
              <w:t>15.5</w:t>
            </w:r>
          </w:p>
        </w:tc>
      </w:tr>
      <w:tr w:rsidR="00CC5807" w:rsidRPr="002F17B5" w:rsidTr="00675319">
        <w:trPr>
          <w:trHeight w:val="300"/>
        </w:trPr>
        <w:tc>
          <w:tcPr>
            <w:tcW w:w="3847" w:type="dxa"/>
            <w:shd w:val="clear" w:color="auto" w:fill="FFFFFF" w:themeFill="background1"/>
            <w:noWrap/>
            <w:vAlign w:val="bottom"/>
            <w:hideMark/>
          </w:tcPr>
          <w:p w:rsidR="00CC5807" w:rsidRPr="002F17B5" w:rsidRDefault="00CC5807" w:rsidP="0068311D">
            <w:pPr>
              <w:spacing w:after="40"/>
            </w:pPr>
            <w:r w:rsidRPr="002F17B5">
              <w:t xml:space="preserve"> NHS Bodies  </w:t>
            </w:r>
          </w:p>
        </w:tc>
        <w:tc>
          <w:tcPr>
            <w:tcW w:w="2357" w:type="dxa"/>
            <w:shd w:val="clear" w:color="auto" w:fill="FFFFFF" w:themeFill="background1"/>
            <w:noWrap/>
            <w:vAlign w:val="bottom"/>
            <w:hideMark/>
          </w:tcPr>
          <w:p w:rsidR="00CC5807" w:rsidRPr="002F17B5" w:rsidRDefault="002359B6" w:rsidP="0068311D">
            <w:pPr>
              <w:spacing w:after="40"/>
              <w:jc w:val="right"/>
              <w:rPr>
                <w:rFonts w:cs="Arial"/>
              </w:rPr>
            </w:pPr>
            <w:r w:rsidRPr="002F17B5">
              <w:rPr>
                <w:rFonts w:cs="Arial"/>
              </w:rPr>
              <w:t>11.3</w:t>
            </w:r>
          </w:p>
        </w:tc>
        <w:tc>
          <w:tcPr>
            <w:tcW w:w="1842" w:type="dxa"/>
            <w:shd w:val="clear" w:color="auto" w:fill="FFFFFF" w:themeFill="background1"/>
            <w:noWrap/>
            <w:vAlign w:val="bottom"/>
            <w:hideMark/>
          </w:tcPr>
          <w:p w:rsidR="00CC5807" w:rsidRPr="002F17B5" w:rsidRDefault="00CC5807" w:rsidP="0068311D">
            <w:pPr>
              <w:spacing w:after="40"/>
              <w:jc w:val="right"/>
              <w:rPr>
                <w:rFonts w:cs="Arial"/>
              </w:rPr>
            </w:pPr>
            <w:r w:rsidRPr="002F17B5">
              <w:rPr>
                <w:rFonts w:cs="Arial"/>
              </w:rPr>
              <w:t>0.9</w:t>
            </w:r>
          </w:p>
        </w:tc>
      </w:tr>
      <w:tr w:rsidR="00CC5807" w:rsidRPr="002F17B5" w:rsidTr="00675319">
        <w:trPr>
          <w:trHeight w:val="300"/>
        </w:trPr>
        <w:tc>
          <w:tcPr>
            <w:tcW w:w="3847" w:type="dxa"/>
            <w:shd w:val="clear" w:color="auto" w:fill="FFFFFF" w:themeFill="background1"/>
            <w:noWrap/>
            <w:vAlign w:val="bottom"/>
            <w:hideMark/>
          </w:tcPr>
          <w:p w:rsidR="00CC5807" w:rsidRPr="002F17B5" w:rsidRDefault="00CC5807" w:rsidP="0068311D">
            <w:pPr>
              <w:spacing w:after="40"/>
            </w:pPr>
            <w:r w:rsidRPr="002F17B5">
              <w:t xml:space="preserve"> Other Public Corporations </w:t>
            </w:r>
          </w:p>
        </w:tc>
        <w:tc>
          <w:tcPr>
            <w:tcW w:w="2357" w:type="dxa"/>
            <w:shd w:val="clear" w:color="auto" w:fill="FFFFFF" w:themeFill="background1"/>
            <w:noWrap/>
            <w:vAlign w:val="bottom"/>
            <w:hideMark/>
          </w:tcPr>
          <w:p w:rsidR="00CC5807" w:rsidRPr="002F17B5" w:rsidRDefault="002359B6" w:rsidP="0068311D">
            <w:pPr>
              <w:spacing w:after="40"/>
              <w:jc w:val="right"/>
              <w:rPr>
                <w:rFonts w:cs="Arial"/>
              </w:rPr>
            </w:pPr>
            <w:r w:rsidRPr="002F17B5">
              <w:rPr>
                <w:rFonts w:cs="Arial"/>
              </w:rPr>
              <w:t>-</w:t>
            </w:r>
          </w:p>
        </w:tc>
        <w:tc>
          <w:tcPr>
            <w:tcW w:w="1842" w:type="dxa"/>
            <w:shd w:val="clear" w:color="auto" w:fill="FFFFFF" w:themeFill="background1"/>
            <w:noWrap/>
            <w:vAlign w:val="bottom"/>
            <w:hideMark/>
          </w:tcPr>
          <w:p w:rsidR="00CC5807" w:rsidRPr="002F17B5" w:rsidRDefault="00CC5807" w:rsidP="0068311D">
            <w:pPr>
              <w:spacing w:after="40"/>
              <w:jc w:val="right"/>
              <w:rPr>
                <w:rFonts w:cs="Arial"/>
              </w:rPr>
            </w:pPr>
            <w:r w:rsidRPr="002F17B5">
              <w:rPr>
                <w:rFonts w:cs="Arial"/>
              </w:rPr>
              <w:t>0.1</w:t>
            </w:r>
          </w:p>
        </w:tc>
      </w:tr>
      <w:tr w:rsidR="00CC5807" w:rsidRPr="002F17B5" w:rsidTr="00675319">
        <w:trPr>
          <w:trHeight w:val="300"/>
        </w:trPr>
        <w:tc>
          <w:tcPr>
            <w:tcW w:w="3847" w:type="dxa"/>
            <w:shd w:val="clear" w:color="auto" w:fill="FFFFFF" w:themeFill="background1"/>
            <w:noWrap/>
            <w:vAlign w:val="bottom"/>
            <w:hideMark/>
          </w:tcPr>
          <w:p w:rsidR="00CC5807" w:rsidRPr="002F17B5" w:rsidRDefault="00CC5807" w:rsidP="0068311D">
            <w:pPr>
              <w:spacing w:after="40"/>
            </w:pPr>
            <w:r w:rsidRPr="002F17B5">
              <w:t xml:space="preserve"> Other Local Authorities</w:t>
            </w:r>
          </w:p>
        </w:tc>
        <w:tc>
          <w:tcPr>
            <w:tcW w:w="2357" w:type="dxa"/>
            <w:shd w:val="clear" w:color="auto" w:fill="FFFFFF" w:themeFill="background1"/>
            <w:noWrap/>
            <w:vAlign w:val="bottom"/>
            <w:hideMark/>
          </w:tcPr>
          <w:p w:rsidR="00CC5807" w:rsidRPr="002F17B5" w:rsidRDefault="004502F4" w:rsidP="0068311D">
            <w:pPr>
              <w:spacing w:after="40"/>
              <w:jc w:val="right"/>
              <w:rPr>
                <w:rFonts w:cs="Arial"/>
              </w:rPr>
            </w:pPr>
            <w:r>
              <w:rPr>
                <w:rFonts w:cs="Arial"/>
              </w:rPr>
              <w:t>19.8</w:t>
            </w:r>
          </w:p>
        </w:tc>
        <w:tc>
          <w:tcPr>
            <w:tcW w:w="1842" w:type="dxa"/>
            <w:shd w:val="clear" w:color="auto" w:fill="FFFFFF" w:themeFill="background1"/>
            <w:noWrap/>
            <w:vAlign w:val="bottom"/>
            <w:hideMark/>
          </w:tcPr>
          <w:p w:rsidR="00CC5807" w:rsidRPr="00BA6622" w:rsidRDefault="00CA6438" w:rsidP="0068311D">
            <w:pPr>
              <w:spacing w:after="40"/>
              <w:jc w:val="right"/>
              <w:rPr>
                <w:rFonts w:cs="Arial"/>
              </w:rPr>
            </w:pPr>
            <w:r>
              <w:rPr>
                <w:rFonts w:cs="Arial"/>
              </w:rPr>
              <w:t>3.0</w:t>
            </w:r>
          </w:p>
        </w:tc>
      </w:tr>
      <w:tr w:rsidR="00CC5807" w:rsidRPr="002F17B5" w:rsidTr="00675319">
        <w:trPr>
          <w:trHeight w:val="300"/>
        </w:trPr>
        <w:tc>
          <w:tcPr>
            <w:tcW w:w="3847" w:type="dxa"/>
            <w:shd w:val="clear" w:color="auto" w:fill="FFFFFF" w:themeFill="background1"/>
            <w:noWrap/>
            <w:vAlign w:val="bottom"/>
            <w:hideMark/>
          </w:tcPr>
          <w:p w:rsidR="00CC5807" w:rsidRPr="002F17B5" w:rsidRDefault="00CC5807" w:rsidP="0068311D">
            <w:pPr>
              <w:spacing w:after="40"/>
            </w:pPr>
            <w:r w:rsidRPr="002F17B5">
              <w:t xml:space="preserve"> Other Debtors</w:t>
            </w:r>
          </w:p>
        </w:tc>
        <w:tc>
          <w:tcPr>
            <w:tcW w:w="2357" w:type="dxa"/>
            <w:shd w:val="clear" w:color="auto" w:fill="FFFFFF" w:themeFill="background1"/>
            <w:noWrap/>
            <w:vAlign w:val="bottom"/>
            <w:hideMark/>
          </w:tcPr>
          <w:p w:rsidR="00CC5807" w:rsidRPr="002F17B5" w:rsidRDefault="004502F4" w:rsidP="0068311D">
            <w:pPr>
              <w:spacing w:after="40"/>
              <w:jc w:val="right"/>
              <w:rPr>
                <w:rFonts w:cs="Arial"/>
              </w:rPr>
            </w:pPr>
            <w:r>
              <w:rPr>
                <w:rFonts w:cs="Arial"/>
              </w:rPr>
              <w:t>56.3</w:t>
            </w:r>
          </w:p>
        </w:tc>
        <w:tc>
          <w:tcPr>
            <w:tcW w:w="1842" w:type="dxa"/>
            <w:shd w:val="clear" w:color="auto" w:fill="FFFFFF" w:themeFill="background1"/>
            <w:noWrap/>
            <w:vAlign w:val="bottom"/>
            <w:hideMark/>
          </w:tcPr>
          <w:p w:rsidR="00CC5807" w:rsidRPr="00BA6622" w:rsidRDefault="00CA6438" w:rsidP="0068311D">
            <w:pPr>
              <w:spacing w:after="40"/>
              <w:jc w:val="right"/>
              <w:rPr>
                <w:rFonts w:cs="Arial"/>
              </w:rPr>
            </w:pPr>
            <w:r>
              <w:rPr>
                <w:rFonts w:cs="Arial"/>
              </w:rPr>
              <w:t>109.4</w:t>
            </w:r>
          </w:p>
        </w:tc>
      </w:tr>
      <w:tr w:rsidR="00CC5807" w:rsidRPr="002F17B5" w:rsidTr="00675319">
        <w:trPr>
          <w:trHeight w:val="300"/>
        </w:trPr>
        <w:tc>
          <w:tcPr>
            <w:tcW w:w="3847" w:type="dxa"/>
            <w:shd w:val="clear" w:color="auto" w:fill="FFFFFF" w:themeFill="background1"/>
            <w:noWrap/>
            <w:vAlign w:val="bottom"/>
            <w:hideMark/>
          </w:tcPr>
          <w:p w:rsidR="00CC5807" w:rsidRPr="002F17B5" w:rsidRDefault="00CC5807" w:rsidP="0068311D">
            <w:pPr>
              <w:spacing w:after="40"/>
            </w:pPr>
            <w:r w:rsidRPr="002F17B5">
              <w:rPr>
                <w:b/>
                <w:bCs/>
              </w:rPr>
              <w:t xml:space="preserve"> Total  </w:t>
            </w:r>
          </w:p>
        </w:tc>
        <w:tc>
          <w:tcPr>
            <w:tcW w:w="2357" w:type="dxa"/>
            <w:shd w:val="clear" w:color="auto" w:fill="FFFFFF" w:themeFill="background1"/>
            <w:noWrap/>
            <w:vAlign w:val="bottom"/>
            <w:hideMark/>
          </w:tcPr>
          <w:p w:rsidR="00CC5807" w:rsidRPr="002F17B5" w:rsidRDefault="002359B6" w:rsidP="0068311D">
            <w:pPr>
              <w:spacing w:after="40"/>
              <w:jc w:val="right"/>
              <w:rPr>
                <w:rFonts w:cs="Arial"/>
                <w:b/>
              </w:rPr>
            </w:pPr>
            <w:r w:rsidRPr="002F17B5">
              <w:rPr>
                <w:rFonts w:cs="Arial"/>
                <w:b/>
              </w:rPr>
              <w:t>109.9</w:t>
            </w:r>
          </w:p>
        </w:tc>
        <w:tc>
          <w:tcPr>
            <w:tcW w:w="1842" w:type="dxa"/>
            <w:shd w:val="clear" w:color="auto" w:fill="FFFFFF" w:themeFill="background1"/>
            <w:noWrap/>
            <w:vAlign w:val="bottom"/>
            <w:hideMark/>
          </w:tcPr>
          <w:p w:rsidR="00CC5807" w:rsidRPr="002F17B5" w:rsidRDefault="00CC5807" w:rsidP="0068311D">
            <w:pPr>
              <w:spacing w:after="40"/>
              <w:jc w:val="right"/>
              <w:rPr>
                <w:rFonts w:cs="Arial"/>
              </w:rPr>
            </w:pPr>
            <w:r w:rsidRPr="002F17B5">
              <w:rPr>
                <w:b/>
              </w:rPr>
              <w:t>128.9</w:t>
            </w:r>
          </w:p>
        </w:tc>
      </w:tr>
    </w:tbl>
    <w:p w:rsidR="005C6E3B" w:rsidRDefault="005C6E3B" w:rsidP="005C6E3B">
      <w:pPr>
        <w:spacing w:after="240"/>
        <w:rPr>
          <w:sz w:val="11"/>
          <w:szCs w:val="21"/>
        </w:rPr>
      </w:pPr>
    </w:p>
    <w:p w:rsidR="008778FF" w:rsidRPr="002F17B5" w:rsidRDefault="008778FF" w:rsidP="005C6E3B">
      <w:pPr>
        <w:spacing w:after="240"/>
        <w:rPr>
          <w:sz w:val="11"/>
          <w:szCs w:val="21"/>
        </w:rPr>
      </w:pPr>
    </w:p>
    <w:p w:rsidR="008778FF" w:rsidRPr="008778FF" w:rsidRDefault="008778FF" w:rsidP="002359B6">
      <w:pPr>
        <w:spacing w:after="240"/>
        <w:rPr>
          <w:rFonts w:eastAsia="Times New Roman" w:cs="Arial"/>
          <w:sz w:val="2"/>
          <w:lang w:eastAsia="en-GB"/>
        </w:rPr>
      </w:pPr>
    </w:p>
    <w:p w:rsidR="002359B6" w:rsidRPr="002F17B5" w:rsidRDefault="00F35D8B" w:rsidP="002359B6">
      <w:pPr>
        <w:autoSpaceDE/>
        <w:autoSpaceDN/>
        <w:adjustRightInd/>
        <w:spacing w:before="0" w:after="0"/>
        <w:rPr>
          <w:rFonts w:eastAsia="Times New Roman" w:cs="Arial"/>
          <w:lang w:eastAsia="en-GB"/>
        </w:rPr>
      </w:pPr>
      <w:r>
        <w:rPr>
          <w:rFonts w:eastAsia="Times New Roman" w:cs="Arial"/>
          <w:lang w:eastAsia="en-GB"/>
        </w:rPr>
        <w:t xml:space="preserve">Other debtors </w:t>
      </w:r>
      <w:r>
        <w:t xml:space="preserve">mainly comprises of low value high volume debtors for supply of goods and services with the exception of </w:t>
      </w:r>
      <w:r w:rsidR="00735FD6" w:rsidRPr="002F17B5">
        <w:rPr>
          <w:rFonts w:eastAsia="Times New Roman" w:cs="Arial"/>
          <w:lang w:eastAsia="en-GB"/>
        </w:rPr>
        <w:t xml:space="preserve">council tax owing £14.6m (£14.0m 2012/13) </w:t>
      </w:r>
      <w:r w:rsidR="00735FD6">
        <w:rPr>
          <w:rFonts w:eastAsia="Times New Roman" w:cs="Arial"/>
          <w:lang w:eastAsia="en-GB"/>
        </w:rPr>
        <w:t xml:space="preserve">and </w:t>
      </w:r>
      <w:r w:rsidR="00A954DE" w:rsidRPr="002F17B5">
        <w:rPr>
          <w:rFonts w:eastAsia="Times New Roman" w:cs="Arial"/>
          <w:lang w:eastAsia="en-GB"/>
        </w:rPr>
        <w:t>sales of investments £0.0m</w:t>
      </w:r>
      <w:r w:rsidR="00AE5964">
        <w:rPr>
          <w:rFonts w:eastAsia="Times New Roman" w:cs="Arial"/>
          <w:lang w:eastAsia="en-GB"/>
        </w:rPr>
        <w:t xml:space="preserve"> 2013/14</w:t>
      </w:r>
      <w:r w:rsidR="00A954DE" w:rsidRPr="002F17B5">
        <w:rPr>
          <w:rFonts w:eastAsia="Times New Roman" w:cs="Arial"/>
          <w:lang w:eastAsia="en-GB"/>
        </w:rPr>
        <w:t xml:space="preserve"> (£21.7m in 2012/13).</w:t>
      </w:r>
    </w:p>
    <w:p w:rsidR="000437BE" w:rsidRPr="00ED2820" w:rsidRDefault="000437BE" w:rsidP="000437BE">
      <w:pPr>
        <w:spacing w:after="240"/>
        <w:rPr>
          <w:sz w:val="14"/>
        </w:rPr>
      </w:pPr>
    </w:p>
    <w:p w:rsidR="00C647F8" w:rsidRPr="002F17B5" w:rsidRDefault="00C647F8" w:rsidP="00C647F8">
      <w:r w:rsidRPr="002F17B5">
        <w:t>The figures in the above table represent the net debtor values after deduction for impairment allowances. The total deduction for impairment allowances was £30.9 million at 31 March 2014 (£25.3 million at 31 March 2013). The impairment allowance covers debts that we do not expect to recover. It is based on the age of the debts outstanding</w:t>
      </w:r>
    </w:p>
    <w:p w:rsidR="0068311D" w:rsidRDefault="0068311D" w:rsidP="00767E6D">
      <w:pPr>
        <w:autoSpaceDE/>
        <w:autoSpaceDN/>
        <w:adjustRightInd/>
        <w:spacing w:after="20"/>
        <w:jc w:val="left"/>
        <w:rPr>
          <w:b/>
          <w:color w:val="FF0000"/>
        </w:rPr>
      </w:pPr>
    </w:p>
    <w:p w:rsidR="008778FF" w:rsidRDefault="008778FF" w:rsidP="00767E6D">
      <w:pPr>
        <w:autoSpaceDE/>
        <w:autoSpaceDN/>
        <w:adjustRightInd/>
        <w:spacing w:after="20"/>
        <w:jc w:val="left"/>
        <w:rPr>
          <w:b/>
          <w:color w:val="FF0000"/>
        </w:rPr>
      </w:pPr>
    </w:p>
    <w:p w:rsidR="008778FF" w:rsidRDefault="008778FF">
      <w:pPr>
        <w:autoSpaceDE/>
        <w:autoSpaceDN/>
        <w:adjustRightInd/>
        <w:spacing w:after="20"/>
        <w:jc w:val="right"/>
        <w:rPr>
          <w:b/>
          <w:color w:val="FF0000"/>
        </w:rPr>
      </w:pPr>
      <w:r>
        <w:rPr>
          <w:b/>
          <w:color w:val="FF0000"/>
        </w:rPr>
        <w:br w:type="page"/>
      </w:r>
    </w:p>
    <w:p w:rsidR="005C6E3B" w:rsidRPr="002F17B5" w:rsidRDefault="00286D86" w:rsidP="005855CE">
      <w:pPr>
        <w:pStyle w:val="Heading3-numbered"/>
        <w:rPr>
          <w:i w:val="0"/>
          <w:color w:val="FF0000"/>
          <w:sz w:val="26"/>
        </w:rPr>
      </w:pPr>
      <w:r w:rsidRPr="002F17B5">
        <w:rPr>
          <w:b w:val="0"/>
          <w:bCs w:val="0"/>
          <w:color w:val="FF0000"/>
          <w:sz w:val="26"/>
        </w:rPr>
        <w:lastRenderedPageBreak/>
        <w:t xml:space="preserve">  </w:t>
      </w:r>
      <w:r w:rsidRPr="002F17B5">
        <w:rPr>
          <w:i w:val="0"/>
          <w:sz w:val="26"/>
        </w:rPr>
        <w:t xml:space="preserve">Creditors </w:t>
      </w:r>
    </w:p>
    <w:tbl>
      <w:tblPr>
        <w:tblW w:w="7796" w:type="dxa"/>
        <w:tblInd w:w="250" w:type="dxa"/>
        <w:shd w:val="clear" w:color="auto" w:fill="FFFFFF" w:themeFill="background1"/>
        <w:tblLook w:val="04A0" w:firstRow="1" w:lastRow="0" w:firstColumn="1" w:lastColumn="0" w:noHBand="0" w:noVBand="1"/>
      </w:tblPr>
      <w:tblGrid>
        <w:gridCol w:w="4593"/>
        <w:gridCol w:w="1418"/>
        <w:gridCol w:w="1785"/>
      </w:tblGrid>
      <w:tr w:rsidR="005C6E3B" w:rsidRPr="002F17B5" w:rsidTr="00675319">
        <w:trPr>
          <w:trHeight w:val="315"/>
        </w:trPr>
        <w:tc>
          <w:tcPr>
            <w:tcW w:w="4593" w:type="dxa"/>
            <w:shd w:val="clear" w:color="auto" w:fill="FFFFFF" w:themeFill="background1"/>
            <w:noWrap/>
            <w:vAlign w:val="bottom"/>
            <w:hideMark/>
          </w:tcPr>
          <w:p w:rsidR="005C6E3B" w:rsidRDefault="005C6E3B" w:rsidP="0068311D">
            <w:pPr>
              <w:spacing w:after="40"/>
              <w:jc w:val="center"/>
              <w:rPr>
                <w:b/>
                <w:bCs/>
              </w:rPr>
            </w:pPr>
          </w:p>
          <w:p w:rsidR="008778FF" w:rsidRPr="002F17B5" w:rsidRDefault="008778FF" w:rsidP="0068311D">
            <w:pPr>
              <w:spacing w:after="40"/>
              <w:jc w:val="center"/>
              <w:rPr>
                <w:b/>
                <w:bCs/>
              </w:rPr>
            </w:pPr>
          </w:p>
        </w:tc>
        <w:tc>
          <w:tcPr>
            <w:tcW w:w="1418" w:type="dxa"/>
            <w:shd w:val="clear" w:color="auto" w:fill="FFFFFF" w:themeFill="background1"/>
            <w:noWrap/>
            <w:vAlign w:val="bottom"/>
            <w:hideMark/>
          </w:tcPr>
          <w:p w:rsidR="005C6E3B" w:rsidRPr="002F17B5" w:rsidRDefault="009D6A16" w:rsidP="0068311D">
            <w:pPr>
              <w:spacing w:after="40"/>
              <w:jc w:val="right"/>
              <w:rPr>
                <w:b/>
                <w:bCs/>
              </w:rPr>
            </w:pPr>
            <w:r w:rsidRPr="002F17B5">
              <w:rPr>
                <w:b/>
                <w:bCs/>
              </w:rPr>
              <w:t>31/03/201</w:t>
            </w:r>
            <w:r w:rsidR="00935A8A" w:rsidRPr="002F17B5">
              <w:rPr>
                <w:b/>
                <w:bCs/>
              </w:rPr>
              <w:t>4</w:t>
            </w:r>
          </w:p>
        </w:tc>
        <w:tc>
          <w:tcPr>
            <w:tcW w:w="1785" w:type="dxa"/>
            <w:shd w:val="clear" w:color="auto" w:fill="FFFFFF" w:themeFill="background1"/>
            <w:noWrap/>
            <w:vAlign w:val="bottom"/>
            <w:hideMark/>
          </w:tcPr>
          <w:p w:rsidR="005C6E3B" w:rsidRPr="002F17B5" w:rsidRDefault="00935A8A" w:rsidP="0068311D">
            <w:pPr>
              <w:spacing w:after="40"/>
              <w:jc w:val="right"/>
              <w:rPr>
                <w:b/>
                <w:bCs/>
              </w:rPr>
            </w:pPr>
            <w:r w:rsidRPr="002F17B5">
              <w:rPr>
                <w:b/>
                <w:bCs/>
              </w:rPr>
              <w:t>31/03/2013</w:t>
            </w:r>
            <w:r w:rsidR="009D6A16" w:rsidRPr="002F17B5">
              <w:rPr>
                <w:b/>
                <w:bCs/>
              </w:rPr>
              <w:t xml:space="preserve"> </w:t>
            </w:r>
          </w:p>
        </w:tc>
      </w:tr>
      <w:tr w:rsidR="005C6E3B" w:rsidRPr="002F17B5" w:rsidTr="00675319">
        <w:trPr>
          <w:trHeight w:val="315"/>
        </w:trPr>
        <w:tc>
          <w:tcPr>
            <w:tcW w:w="4593" w:type="dxa"/>
            <w:shd w:val="clear" w:color="auto" w:fill="FFFFFF" w:themeFill="background1"/>
            <w:noWrap/>
            <w:vAlign w:val="bottom"/>
            <w:hideMark/>
          </w:tcPr>
          <w:p w:rsidR="005C6E3B" w:rsidRPr="002F17B5" w:rsidRDefault="005C6E3B" w:rsidP="0068311D">
            <w:pPr>
              <w:spacing w:after="40"/>
            </w:pPr>
            <w:r w:rsidRPr="002F17B5">
              <w:t> </w:t>
            </w:r>
          </w:p>
        </w:tc>
        <w:tc>
          <w:tcPr>
            <w:tcW w:w="1418" w:type="dxa"/>
            <w:shd w:val="clear" w:color="auto" w:fill="FFFFFF" w:themeFill="background1"/>
            <w:noWrap/>
            <w:vAlign w:val="bottom"/>
            <w:hideMark/>
          </w:tcPr>
          <w:p w:rsidR="005C6E3B" w:rsidRPr="002F17B5" w:rsidRDefault="005C6E3B" w:rsidP="0068311D">
            <w:pPr>
              <w:spacing w:after="40"/>
              <w:jc w:val="right"/>
              <w:rPr>
                <w:b/>
                <w:bCs/>
              </w:rPr>
            </w:pPr>
            <w:r w:rsidRPr="002F17B5">
              <w:rPr>
                <w:b/>
                <w:bCs/>
              </w:rPr>
              <w:t>£m</w:t>
            </w:r>
          </w:p>
        </w:tc>
        <w:tc>
          <w:tcPr>
            <w:tcW w:w="1785" w:type="dxa"/>
            <w:shd w:val="clear" w:color="auto" w:fill="FFFFFF" w:themeFill="background1"/>
            <w:noWrap/>
            <w:vAlign w:val="bottom"/>
            <w:hideMark/>
          </w:tcPr>
          <w:p w:rsidR="005C6E3B" w:rsidRPr="002F17B5" w:rsidRDefault="005C6E3B" w:rsidP="0068311D">
            <w:pPr>
              <w:spacing w:after="40"/>
              <w:jc w:val="right"/>
              <w:rPr>
                <w:b/>
                <w:bCs/>
              </w:rPr>
            </w:pPr>
            <w:r w:rsidRPr="002F17B5">
              <w:rPr>
                <w:b/>
                <w:bCs/>
              </w:rPr>
              <w:t>£m</w:t>
            </w:r>
          </w:p>
        </w:tc>
      </w:tr>
      <w:tr w:rsidR="00216BAE" w:rsidRPr="002F17B5" w:rsidTr="00675319">
        <w:trPr>
          <w:trHeight w:val="300"/>
        </w:trPr>
        <w:tc>
          <w:tcPr>
            <w:tcW w:w="4593" w:type="dxa"/>
            <w:shd w:val="clear" w:color="auto" w:fill="FFFFFF" w:themeFill="background1"/>
            <w:noWrap/>
            <w:vAlign w:val="bottom"/>
            <w:hideMark/>
          </w:tcPr>
          <w:p w:rsidR="00216BAE" w:rsidRPr="002F17B5" w:rsidRDefault="00216BAE" w:rsidP="0068311D">
            <w:pPr>
              <w:spacing w:after="40"/>
              <w:jc w:val="left"/>
            </w:pPr>
            <w:r w:rsidRPr="002F17B5">
              <w:rPr>
                <w:rFonts w:cs="Arial"/>
              </w:rPr>
              <w:t>Central Government Bodies</w:t>
            </w:r>
          </w:p>
        </w:tc>
        <w:tc>
          <w:tcPr>
            <w:tcW w:w="1418" w:type="dxa"/>
            <w:shd w:val="clear" w:color="auto" w:fill="FFFFFF" w:themeFill="background1"/>
            <w:noWrap/>
            <w:vAlign w:val="bottom"/>
            <w:hideMark/>
          </w:tcPr>
          <w:p w:rsidR="00216BAE" w:rsidRPr="002F17B5" w:rsidRDefault="002359B6" w:rsidP="0068311D">
            <w:pPr>
              <w:spacing w:after="40"/>
              <w:jc w:val="right"/>
              <w:rPr>
                <w:rFonts w:cs="Arial"/>
              </w:rPr>
            </w:pPr>
            <w:r w:rsidRPr="002F17B5">
              <w:rPr>
                <w:rFonts w:cs="Arial"/>
              </w:rPr>
              <w:t>20.5</w:t>
            </w:r>
          </w:p>
        </w:tc>
        <w:tc>
          <w:tcPr>
            <w:tcW w:w="1785" w:type="dxa"/>
            <w:shd w:val="clear" w:color="auto" w:fill="FFFFFF" w:themeFill="background1"/>
            <w:noWrap/>
            <w:vAlign w:val="bottom"/>
            <w:hideMark/>
          </w:tcPr>
          <w:p w:rsidR="00216BAE" w:rsidRPr="002F17B5" w:rsidRDefault="00216BAE" w:rsidP="0068311D">
            <w:pPr>
              <w:spacing w:after="40"/>
              <w:jc w:val="right"/>
              <w:rPr>
                <w:rFonts w:cs="Arial"/>
              </w:rPr>
            </w:pPr>
            <w:r w:rsidRPr="002F17B5">
              <w:rPr>
                <w:rFonts w:cs="Arial"/>
              </w:rPr>
              <w:t>20.2</w:t>
            </w:r>
            <w:r w:rsidRPr="002F17B5" w:rsidDel="009556AA">
              <w:rPr>
                <w:rFonts w:cs="Arial"/>
              </w:rPr>
              <w:t xml:space="preserve"> </w:t>
            </w:r>
          </w:p>
        </w:tc>
      </w:tr>
      <w:tr w:rsidR="00216BAE" w:rsidRPr="002F17B5" w:rsidTr="00675319">
        <w:trPr>
          <w:trHeight w:val="300"/>
        </w:trPr>
        <w:tc>
          <w:tcPr>
            <w:tcW w:w="4593" w:type="dxa"/>
            <w:shd w:val="clear" w:color="auto" w:fill="FFFFFF" w:themeFill="background1"/>
            <w:noWrap/>
            <w:vAlign w:val="bottom"/>
            <w:hideMark/>
          </w:tcPr>
          <w:p w:rsidR="00216BAE" w:rsidRPr="002F17B5" w:rsidRDefault="00216BAE" w:rsidP="0068311D">
            <w:pPr>
              <w:spacing w:after="40"/>
              <w:jc w:val="left"/>
            </w:pPr>
            <w:r w:rsidRPr="002F17B5">
              <w:rPr>
                <w:rFonts w:cs="Arial"/>
              </w:rPr>
              <w:t>Other Local Authorities</w:t>
            </w:r>
          </w:p>
        </w:tc>
        <w:tc>
          <w:tcPr>
            <w:tcW w:w="1418" w:type="dxa"/>
            <w:shd w:val="clear" w:color="auto" w:fill="FFFFFF" w:themeFill="background1"/>
            <w:noWrap/>
            <w:vAlign w:val="bottom"/>
            <w:hideMark/>
          </w:tcPr>
          <w:p w:rsidR="00216BAE" w:rsidRPr="002F17B5" w:rsidRDefault="004502F4" w:rsidP="0068311D">
            <w:pPr>
              <w:spacing w:after="40"/>
              <w:jc w:val="right"/>
              <w:rPr>
                <w:rFonts w:cs="Arial"/>
              </w:rPr>
            </w:pPr>
            <w:r>
              <w:rPr>
                <w:rFonts w:cs="Arial"/>
              </w:rPr>
              <w:t>19.4</w:t>
            </w:r>
          </w:p>
        </w:tc>
        <w:tc>
          <w:tcPr>
            <w:tcW w:w="1785" w:type="dxa"/>
            <w:shd w:val="clear" w:color="auto" w:fill="FFFFFF" w:themeFill="background1"/>
            <w:noWrap/>
            <w:vAlign w:val="bottom"/>
            <w:hideMark/>
          </w:tcPr>
          <w:p w:rsidR="00216BAE" w:rsidRPr="002F17B5" w:rsidRDefault="00CA6438" w:rsidP="0068311D">
            <w:pPr>
              <w:spacing w:after="40"/>
              <w:jc w:val="right"/>
              <w:rPr>
                <w:rFonts w:cs="Arial"/>
              </w:rPr>
            </w:pPr>
            <w:r>
              <w:rPr>
                <w:rFonts w:cs="Arial"/>
              </w:rPr>
              <w:t>13.4</w:t>
            </w:r>
          </w:p>
        </w:tc>
      </w:tr>
      <w:tr w:rsidR="00216BAE" w:rsidRPr="002F17B5" w:rsidTr="00675319">
        <w:trPr>
          <w:trHeight w:val="300"/>
        </w:trPr>
        <w:tc>
          <w:tcPr>
            <w:tcW w:w="4593" w:type="dxa"/>
            <w:shd w:val="clear" w:color="auto" w:fill="FFFFFF" w:themeFill="background1"/>
            <w:noWrap/>
            <w:vAlign w:val="bottom"/>
            <w:hideMark/>
          </w:tcPr>
          <w:p w:rsidR="00216BAE" w:rsidRPr="002F17B5" w:rsidRDefault="00216BAE" w:rsidP="0068311D">
            <w:pPr>
              <w:spacing w:after="40"/>
              <w:jc w:val="left"/>
            </w:pPr>
            <w:r w:rsidRPr="002F17B5">
              <w:rPr>
                <w:rFonts w:cs="Arial"/>
              </w:rPr>
              <w:t>NHS Bodies</w:t>
            </w:r>
          </w:p>
        </w:tc>
        <w:tc>
          <w:tcPr>
            <w:tcW w:w="1418" w:type="dxa"/>
            <w:shd w:val="clear" w:color="auto" w:fill="FFFFFF" w:themeFill="background1"/>
            <w:noWrap/>
            <w:vAlign w:val="bottom"/>
            <w:hideMark/>
          </w:tcPr>
          <w:p w:rsidR="00216BAE" w:rsidRPr="002F17B5" w:rsidRDefault="002359B6" w:rsidP="0068311D">
            <w:pPr>
              <w:spacing w:after="40"/>
              <w:jc w:val="right"/>
              <w:rPr>
                <w:rFonts w:cs="Arial"/>
              </w:rPr>
            </w:pPr>
            <w:r w:rsidRPr="002F17B5">
              <w:rPr>
                <w:rFonts w:cs="Arial"/>
              </w:rPr>
              <w:t>6.8</w:t>
            </w:r>
          </w:p>
        </w:tc>
        <w:tc>
          <w:tcPr>
            <w:tcW w:w="1785" w:type="dxa"/>
            <w:shd w:val="clear" w:color="auto" w:fill="FFFFFF" w:themeFill="background1"/>
            <w:noWrap/>
            <w:vAlign w:val="bottom"/>
            <w:hideMark/>
          </w:tcPr>
          <w:p w:rsidR="00216BAE" w:rsidRPr="002F17B5" w:rsidRDefault="00216BAE" w:rsidP="0068311D">
            <w:pPr>
              <w:spacing w:after="40"/>
              <w:jc w:val="right"/>
              <w:rPr>
                <w:rFonts w:cs="Arial"/>
              </w:rPr>
            </w:pPr>
            <w:r w:rsidRPr="002F17B5">
              <w:rPr>
                <w:rFonts w:cs="Arial"/>
              </w:rPr>
              <w:t>7.4</w:t>
            </w:r>
          </w:p>
        </w:tc>
      </w:tr>
      <w:tr w:rsidR="00216BAE" w:rsidRPr="002F17B5" w:rsidTr="00675319">
        <w:trPr>
          <w:trHeight w:val="300"/>
        </w:trPr>
        <w:tc>
          <w:tcPr>
            <w:tcW w:w="4593" w:type="dxa"/>
            <w:shd w:val="clear" w:color="auto" w:fill="FFFFFF" w:themeFill="background1"/>
            <w:noWrap/>
            <w:vAlign w:val="bottom"/>
            <w:hideMark/>
          </w:tcPr>
          <w:p w:rsidR="00216BAE" w:rsidRPr="002F17B5" w:rsidRDefault="00216BAE" w:rsidP="0068311D">
            <w:pPr>
              <w:spacing w:after="40"/>
              <w:jc w:val="left"/>
              <w:rPr>
                <w:rFonts w:cs="Arial"/>
              </w:rPr>
            </w:pPr>
            <w:r w:rsidRPr="002F17B5">
              <w:rPr>
                <w:rFonts w:cs="Arial"/>
              </w:rPr>
              <w:t>Accumulated Absences</w:t>
            </w:r>
          </w:p>
        </w:tc>
        <w:tc>
          <w:tcPr>
            <w:tcW w:w="1418" w:type="dxa"/>
            <w:shd w:val="clear" w:color="auto" w:fill="FFFFFF" w:themeFill="background1"/>
            <w:noWrap/>
            <w:vAlign w:val="bottom"/>
            <w:hideMark/>
          </w:tcPr>
          <w:p w:rsidR="00216BAE" w:rsidRPr="002F17B5" w:rsidDel="00612774" w:rsidRDefault="002359B6" w:rsidP="0068311D">
            <w:pPr>
              <w:spacing w:after="40"/>
              <w:jc w:val="right"/>
              <w:rPr>
                <w:rFonts w:cs="Arial"/>
              </w:rPr>
            </w:pPr>
            <w:r w:rsidRPr="002F17B5">
              <w:rPr>
                <w:rFonts w:cs="Arial"/>
              </w:rPr>
              <w:t>29.7</w:t>
            </w:r>
          </w:p>
        </w:tc>
        <w:tc>
          <w:tcPr>
            <w:tcW w:w="1785" w:type="dxa"/>
            <w:shd w:val="clear" w:color="auto" w:fill="FFFFFF" w:themeFill="background1"/>
            <w:noWrap/>
            <w:vAlign w:val="bottom"/>
            <w:hideMark/>
          </w:tcPr>
          <w:p w:rsidR="00216BAE" w:rsidRPr="002F17B5" w:rsidDel="00612774" w:rsidRDefault="00216BAE" w:rsidP="0068311D">
            <w:pPr>
              <w:spacing w:after="40"/>
              <w:jc w:val="right"/>
              <w:rPr>
                <w:rFonts w:cs="Arial"/>
              </w:rPr>
            </w:pPr>
            <w:r w:rsidRPr="002F17B5">
              <w:rPr>
                <w:rFonts w:cs="Arial"/>
              </w:rPr>
              <w:t>29.1</w:t>
            </w:r>
          </w:p>
        </w:tc>
      </w:tr>
      <w:tr w:rsidR="00216BAE" w:rsidRPr="002F17B5" w:rsidTr="00675319">
        <w:trPr>
          <w:trHeight w:val="300"/>
        </w:trPr>
        <w:tc>
          <w:tcPr>
            <w:tcW w:w="4593" w:type="dxa"/>
            <w:shd w:val="clear" w:color="auto" w:fill="FFFFFF" w:themeFill="background1"/>
            <w:noWrap/>
            <w:vAlign w:val="bottom"/>
            <w:hideMark/>
          </w:tcPr>
          <w:p w:rsidR="00216BAE" w:rsidRPr="002F17B5" w:rsidRDefault="00216BAE" w:rsidP="0068311D">
            <w:pPr>
              <w:spacing w:after="40"/>
              <w:jc w:val="left"/>
            </w:pPr>
            <w:r w:rsidRPr="002F17B5">
              <w:rPr>
                <w:rFonts w:cs="Arial"/>
              </w:rPr>
              <w:t>Other Creditors</w:t>
            </w:r>
          </w:p>
        </w:tc>
        <w:tc>
          <w:tcPr>
            <w:tcW w:w="1418" w:type="dxa"/>
            <w:shd w:val="clear" w:color="auto" w:fill="FFFFFF" w:themeFill="background1"/>
            <w:noWrap/>
            <w:vAlign w:val="bottom"/>
            <w:hideMark/>
          </w:tcPr>
          <w:p w:rsidR="00216BAE" w:rsidRPr="002F17B5" w:rsidRDefault="004502F4" w:rsidP="0068311D">
            <w:pPr>
              <w:spacing w:after="40"/>
              <w:jc w:val="right"/>
              <w:rPr>
                <w:rFonts w:cs="Arial"/>
              </w:rPr>
            </w:pPr>
            <w:r>
              <w:rPr>
                <w:rFonts w:cs="Arial"/>
              </w:rPr>
              <w:t>134.7</w:t>
            </w:r>
          </w:p>
        </w:tc>
        <w:tc>
          <w:tcPr>
            <w:tcW w:w="1785" w:type="dxa"/>
            <w:shd w:val="clear" w:color="auto" w:fill="FFFFFF" w:themeFill="background1"/>
            <w:noWrap/>
            <w:vAlign w:val="bottom"/>
            <w:hideMark/>
          </w:tcPr>
          <w:p w:rsidR="00216BAE" w:rsidRPr="002F17B5" w:rsidRDefault="00CA6438" w:rsidP="0068311D">
            <w:pPr>
              <w:spacing w:after="40"/>
              <w:jc w:val="right"/>
              <w:rPr>
                <w:rFonts w:cs="Arial"/>
              </w:rPr>
            </w:pPr>
            <w:r>
              <w:rPr>
                <w:rFonts w:cs="Arial"/>
              </w:rPr>
              <w:t>190.7</w:t>
            </w:r>
          </w:p>
        </w:tc>
      </w:tr>
      <w:tr w:rsidR="00216BAE" w:rsidRPr="002F17B5" w:rsidTr="00675319">
        <w:trPr>
          <w:trHeight w:val="315"/>
        </w:trPr>
        <w:tc>
          <w:tcPr>
            <w:tcW w:w="4593" w:type="dxa"/>
            <w:shd w:val="clear" w:color="auto" w:fill="FFFFFF" w:themeFill="background1"/>
            <w:noWrap/>
            <w:vAlign w:val="bottom"/>
            <w:hideMark/>
          </w:tcPr>
          <w:p w:rsidR="00216BAE" w:rsidRPr="002F17B5" w:rsidRDefault="00216BAE" w:rsidP="0068311D">
            <w:pPr>
              <w:spacing w:after="40"/>
              <w:jc w:val="left"/>
              <w:rPr>
                <w:b/>
                <w:bCs/>
              </w:rPr>
            </w:pPr>
            <w:r w:rsidRPr="002F17B5">
              <w:rPr>
                <w:b/>
                <w:bCs/>
              </w:rPr>
              <w:t>Total</w:t>
            </w:r>
          </w:p>
        </w:tc>
        <w:tc>
          <w:tcPr>
            <w:tcW w:w="1418" w:type="dxa"/>
            <w:shd w:val="clear" w:color="auto" w:fill="FFFFFF" w:themeFill="background1"/>
            <w:noWrap/>
            <w:vAlign w:val="bottom"/>
            <w:hideMark/>
          </w:tcPr>
          <w:p w:rsidR="00216BAE" w:rsidRPr="002F17B5" w:rsidRDefault="002359B6" w:rsidP="0068311D">
            <w:pPr>
              <w:spacing w:after="40"/>
              <w:jc w:val="right"/>
              <w:rPr>
                <w:b/>
                <w:bCs/>
              </w:rPr>
            </w:pPr>
            <w:r w:rsidRPr="002F17B5">
              <w:rPr>
                <w:b/>
                <w:bCs/>
              </w:rPr>
              <w:t>211.1</w:t>
            </w:r>
          </w:p>
        </w:tc>
        <w:tc>
          <w:tcPr>
            <w:tcW w:w="1785" w:type="dxa"/>
            <w:shd w:val="clear" w:color="auto" w:fill="FFFFFF" w:themeFill="background1"/>
            <w:noWrap/>
            <w:vAlign w:val="bottom"/>
            <w:hideMark/>
          </w:tcPr>
          <w:p w:rsidR="00216BAE" w:rsidRPr="002F17B5" w:rsidRDefault="00216BAE" w:rsidP="0068311D">
            <w:pPr>
              <w:spacing w:after="40"/>
              <w:jc w:val="right"/>
              <w:rPr>
                <w:b/>
                <w:bCs/>
              </w:rPr>
            </w:pPr>
            <w:r w:rsidRPr="002F17B5">
              <w:rPr>
                <w:b/>
                <w:bCs/>
              </w:rPr>
              <w:t>260.8</w:t>
            </w:r>
          </w:p>
        </w:tc>
      </w:tr>
    </w:tbl>
    <w:p w:rsidR="00263580" w:rsidRPr="002F17B5" w:rsidRDefault="00263580" w:rsidP="0077097F">
      <w:pPr>
        <w:spacing w:after="240"/>
        <w:rPr>
          <w:rFonts w:eastAsia="Times New Roman" w:cs="Arial"/>
          <w:sz w:val="22"/>
          <w:lang w:eastAsia="en-GB"/>
        </w:rPr>
      </w:pPr>
    </w:p>
    <w:p w:rsidR="002359B6" w:rsidRPr="002F17B5" w:rsidRDefault="002359B6" w:rsidP="002359B6">
      <w:pPr>
        <w:autoSpaceDE/>
        <w:autoSpaceDN/>
        <w:adjustRightInd/>
        <w:spacing w:before="0" w:after="0"/>
        <w:rPr>
          <w:rFonts w:eastAsia="Times New Roman" w:cs="Arial"/>
          <w:lang w:eastAsia="en-GB"/>
        </w:rPr>
      </w:pPr>
      <w:r w:rsidRPr="002F17B5">
        <w:rPr>
          <w:rFonts w:eastAsia="Times New Roman" w:cs="Arial"/>
          <w:lang w:eastAsia="en-GB"/>
        </w:rPr>
        <w:t xml:space="preserve">Central Government Bodies include PAYE &amp; NI £14.3m (£14.7m 2012/13) </w:t>
      </w:r>
    </w:p>
    <w:p w:rsidR="002359B6" w:rsidRPr="002F17B5" w:rsidRDefault="002359B6" w:rsidP="002359B6">
      <w:pPr>
        <w:autoSpaceDE/>
        <w:autoSpaceDN/>
        <w:adjustRightInd/>
        <w:spacing w:before="0" w:after="0"/>
        <w:rPr>
          <w:rFonts w:eastAsia="Times New Roman" w:cs="Arial"/>
          <w:lang w:eastAsia="en-GB"/>
        </w:rPr>
      </w:pPr>
    </w:p>
    <w:p w:rsidR="008778FF" w:rsidRDefault="00B10877" w:rsidP="00B10877">
      <w:pPr>
        <w:autoSpaceDE/>
        <w:autoSpaceDN/>
        <w:adjustRightInd/>
        <w:spacing w:before="0" w:after="0"/>
      </w:pPr>
      <w:r>
        <w:rPr>
          <w:rFonts w:eastAsia="Times New Roman" w:cs="Arial"/>
          <w:lang w:eastAsia="en-GB"/>
        </w:rPr>
        <w:t xml:space="preserve">Other creditors </w:t>
      </w:r>
      <w:r w:rsidR="00C15030">
        <w:t>mainly comprises of low value high volume creditors for purchase of goods and services wit</w:t>
      </w:r>
      <w:r w:rsidR="00735FD6">
        <w:t xml:space="preserve">h the exception of Waste </w:t>
      </w:r>
      <w:r w:rsidR="00646846">
        <w:t>PFI</w:t>
      </w:r>
      <w:r w:rsidR="002152BF">
        <w:t xml:space="preserve"> £1</w:t>
      </w:r>
      <w:r w:rsidR="00646846">
        <w:t>0.2</w:t>
      </w:r>
      <w:r w:rsidR="00735FD6">
        <w:t xml:space="preserve">m (2012/13 </w:t>
      </w:r>
      <w:r w:rsidR="00646846">
        <w:t xml:space="preserve">£6.9m), Adult Social Care non-residential placements </w:t>
      </w:r>
      <w:r w:rsidR="00D841CA">
        <w:t>£8.3</w:t>
      </w:r>
      <w:r w:rsidR="00C15030">
        <w:t>m (£6.6m 2012/13) and</w:t>
      </w:r>
      <w:r w:rsidR="00C15030">
        <w:rPr>
          <w:rFonts w:eastAsia="Times New Roman" w:cs="Arial"/>
          <w:lang w:eastAsia="en-GB"/>
        </w:rPr>
        <w:t xml:space="preserve"> the </w:t>
      </w:r>
      <w:r w:rsidR="00C15030" w:rsidRPr="002F17B5">
        <w:t>purchase of investments £0.0m (£62.4m 2012/13)</w:t>
      </w:r>
      <w:r w:rsidR="00C15030">
        <w:t xml:space="preserve">,  </w:t>
      </w:r>
    </w:p>
    <w:p w:rsidR="00ED2820" w:rsidRPr="002F17B5" w:rsidRDefault="00ED2820" w:rsidP="00B10877">
      <w:pPr>
        <w:autoSpaceDE/>
        <w:autoSpaceDN/>
        <w:adjustRightInd/>
        <w:spacing w:before="0" w:after="0"/>
      </w:pPr>
    </w:p>
    <w:p w:rsidR="0050057E" w:rsidRPr="002F17B5" w:rsidRDefault="0050057E" w:rsidP="00274865">
      <w:pPr>
        <w:autoSpaceDE/>
        <w:autoSpaceDN/>
        <w:adjustRightInd/>
        <w:spacing w:before="0" w:after="0"/>
        <w:rPr>
          <w:rFonts w:eastAsia="Times New Roman" w:cs="Arial"/>
          <w:sz w:val="22"/>
          <w:szCs w:val="22"/>
          <w:lang w:eastAsia="en-GB"/>
        </w:rPr>
      </w:pPr>
    </w:p>
    <w:p w:rsidR="008778FF" w:rsidRDefault="00591C3B" w:rsidP="00591C3B">
      <w:pPr>
        <w:pStyle w:val="Heading3-numbered"/>
        <w:rPr>
          <w:i w:val="0"/>
        </w:rPr>
      </w:pPr>
      <w:r w:rsidRPr="002F17B5">
        <w:rPr>
          <w:i w:val="0"/>
        </w:rPr>
        <w:t>Cash and Cash Equivalents</w:t>
      </w:r>
    </w:p>
    <w:p w:rsidR="00591C3B" w:rsidRPr="002F17B5" w:rsidRDefault="00591C3B" w:rsidP="008778FF">
      <w:pPr>
        <w:pStyle w:val="Heading3-numbered"/>
        <w:numPr>
          <w:ilvl w:val="0"/>
          <w:numId w:val="0"/>
        </w:numPr>
        <w:ind w:left="360"/>
        <w:rPr>
          <w:i w:val="0"/>
        </w:rPr>
      </w:pPr>
      <w:r w:rsidRPr="002F17B5">
        <w:rPr>
          <w:i w:val="0"/>
        </w:rPr>
        <w:t xml:space="preserve"> </w:t>
      </w:r>
    </w:p>
    <w:p w:rsidR="00591C3B" w:rsidRPr="002F17B5" w:rsidRDefault="00591C3B" w:rsidP="008778FF">
      <w:pPr>
        <w:pStyle w:val="Heading3-numbered"/>
        <w:numPr>
          <w:ilvl w:val="0"/>
          <w:numId w:val="0"/>
        </w:numPr>
        <w:ind w:left="360" w:hanging="360"/>
        <w:rPr>
          <w:b w:val="0"/>
          <w:bCs w:val="0"/>
          <w:i w:val="0"/>
          <w:color w:val="000000"/>
          <w:sz w:val="24"/>
          <w:szCs w:val="24"/>
          <w:lang w:eastAsia="en-GB"/>
        </w:rPr>
      </w:pPr>
      <w:r w:rsidRPr="002F17B5">
        <w:rPr>
          <w:b w:val="0"/>
          <w:bCs w:val="0"/>
          <w:i w:val="0"/>
          <w:color w:val="000000"/>
          <w:sz w:val="24"/>
          <w:szCs w:val="24"/>
          <w:lang w:eastAsia="en-GB"/>
        </w:rPr>
        <w:t>The balance of cash and cash equivalents is made up of the following elements:</w:t>
      </w:r>
    </w:p>
    <w:p w:rsidR="00591C3B" w:rsidRPr="002F17B5" w:rsidRDefault="00591C3B" w:rsidP="00591C3B">
      <w:pPr>
        <w:pStyle w:val="Heading3-numbered"/>
        <w:numPr>
          <w:ilvl w:val="0"/>
          <w:numId w:val="0"/>
        </w:numPr>
        <w:ind w:left="644"/>
        <w:rPr>
          <w:sz w:val="8"/>
        </w:rPr>
      </w:pPr>
    </w:p>
    <w:tbl>
      <w:tblPr>
        <w:tblW w:w="0" w:type="auto"/>
        <w:tblInd w:w="720" w:type="dxa"/>
        <w:tblLook w:val="04A0" w:firstRow="1" w:lastRow="0" w:firstColumn="1" w:lastColumn="0" w:noHBand="0" w:noVBand="1"/>
      </w:tblPr>
      <w:tblGrid>
        <w:gridCol w:w="5228"/>
        <w:gridCol w:w="1359"/>
        <w:gridCol w:w="1359"/>
      </w:tblGrid>
      <w:tr w:rsidR="00591C3B" w:rsidRPr="002F17B5" w:rsidTr="00591C3B">
        <w:trPr>
          <w:trHeight w:val="545"/>
        </w:trPr>
        <w:tc>
          <w:tcPr>
            <w:tcW w:w="5228" w:type="dxa"/>
          </w:tcPr>
          <w:p w:rsidR="00591C3B" w:rsidRPr="002F17B5" w:rsidRDefault="00591C3B" w:rsidP="00675319">
            <w:pPr>
              <w:spacing w:after="60"/>
              <w:ind w:left="-113" w:right="57"/>
              <w:rPr>
                <w:b/>
                <w:color w:val="FF0000"/>
              </w:rPr>
            </w:pPr>
          </w:p>
        </w:tc>
        <w:tc>
          <w:tcPr>
            <w:tcW w:w="1359" w:type="dxa"/>
            <w:tcBorders>
              <w:bottom w:val="single" w:sz="4" w:space="0" w:color="auto"/>
            </w:tcBorders>
          </w:tcPr>
          <w:p w:rsidR="00591C3B" w:rsidRPr="002F17B5" w:rsidRDefault="006F4556" w:rsidP="00675319">
            <w:pPr>
              <w:spacing w:after="60"/>
              <w:ind w:left="-113" w:right="57"/>
              <w:jc w:val="right"/>
              <w:rPr>
                <w:b/>
              </w:rPr>
            </w:pPr>
            <w:r w:rsidRPr="002F17B5">
              <w:rPr>
                <w:b/>
              </w:rPr>
              <w:t>31/03/14</w:t>
            </w:r>
          </w:p>
          <w:p w:rsidR="00591C3B" w:rsidRPr="002F17B5" w:rsidRDefault="00591C3B" w:rsidP="00675319">
            <w:pPr>
              <w:spacing w:after="60"/>
              <w:ind w:left="-113" w:right="57"/>
              <w:jc w:val="right"/>
              <w:rPr>
                <w:b/>
              </w:rPr>
            </w:pPr>
            <w:r w:rsidRPr="002F17B5">
              <w:rPr>
                <w:b/>
              </w:rPr>
              <w:t>£m</w:t>
            </w:r>
          </w:p>
        </w:tc>
        <w:tc>
          <w:tcPr>
            <w:tcW w:w="1359" w:type="dxa"/>
            <w:tcBorders>
              <w:bottom w:val="single" w:sz="4" w:space="0" w:color="auto"/>
            </w:tcBorders>
          </w:tcPr>
          <w:p w:rsidR="00591C3B" w:rsidRPr="002F17B5" w:rsidRDefault="006F4556" w:rsidP="00675319">
            <w:pPr>
              <w:spacing w:after="60"/>
              <w:ind w:left="-113" w:right="57"/>
              <w:jc w:val="right"/>
              <w:rPr>
                <w:b/>
              </w:rPr>
            </w:pPr>
            <w:r w:rsidRPr="002F17B5">
              <w:rPr>
                <w:b/>
              </w:rPr>
              <w:t>31/03/13</w:t>
            </w:r>
            <w:r w:rsidR="00591C3B" w:rsidRPr="002F17B5">
              <w:rPr>
                <w:b/>
              </w:rPr>
              <w:t xml:space="preserve"> </w:t>
            </w:r>
          </w:p>
          <w:p w:rsidR="00591C3B" w:rsidRPr="002F17B5" w:rsidRDefault="00591C3B" w:rsidP="00675319">
            <w:pPr>
              <w:spacing w:after="60"/>
              <w:ind w:left="-113" w:right="57"/>
              <w:jc w:val="right"/>
              <w:rPr>
                <w:b/>
              </w:rPr>
            </w:pPr>
            <w:r w:rsidRPr="002F17B5">
              <w:rPr>
                <w:b/>
              </w:rPr>
              <w:t>£m</w:t>
            </w:r>
          </w:p>
        </w:tc>
      </w:tr>
      <w:tr w:rsidR="00591C3B" w:rsidRPr="002F17B5" w:rsidTr="00591C3B">
        <w:trPr>
          <w:trHeight w:val="272"/>
        </w:trPr>
        <w:tc>
          <w:tcPr>
            <w:tcW w:w="5228" w:type="dxa"/>
          </w:tcPr>
          <w:p w:rsidR="00591C3B" w:rsidRPr="002F17B5" w:rsidRDefault="00591C3B" w:rsidP="00675319">
            <w:pPr>
              <w:spacing w:after="60"/>
              <w:ind w:left="-113" w:right="57"/>
            </w:pPr>
            <w:r w:rsidRPr="002F17B5">
              <w:t>Cash held by council</w:t>
            </w:r>
          </w:p>
        </w:tc>
        <w:tc>
          <w:tcPr>
            <w:tcW w:w="1359" w:type="dxa"/>
            <w:tcBorders>
              <w:top w:val="single" w:sz="4" w:space="0" w:color="auto"/>
            </w:tcBorders>
            <w:vAlign w:val="bottom"/>
          </w:tcPr>
          <w:p w:rsidR="00591C3B" w:rsidRPr="002F17B5" w:rsidRDefault="00591C3B" w:rsidP="00675319">
            <w:pPr>
              <w:spacing w:after="60"/>
              <w:ind w:left="-113" w:right="57"/>
              <w:jc w:val="right"/>
            </w:pPr>
            <w:r w:rsidRPr="002F17B5">
              <w:t>0.7</w:t>
            </w:r>
          </w:p>
        </w:tc>
        <w:tc>
          <w:tcPr>
            <w:tcW w:w="1359" w:type="dxa"/>
            <w:tcBorders>
              <w:top w:val="single" w:sz="4" w:space="0" w:color="auto"/>
            </w:tcBorders>
            <w:vAlign w:val="bottom"/>
          </w:tcPr>
          <w:p w:rsidR="00591C3B" w:rsidRPr="002F17B5" w:rsidRDefault="00591C3B" w:rsidP="00675319">
            <w:pPr>
              <w:spacing w:after="60"/>
              <w:ind w:left="-113" w:right="57"/>
              <w:jc w:val="right"/>
            </w:pPr>
            <w:r w:rsidRPr="002F17B5">
              <w:t>0.6</w:t>
            </w:r>
          </w:p>
        </w:tc>
      </w:tr>
      <w:tr w:rsidR="00591C3B" w:rsidRPr="002F17B5" w:rsidTr="00591C3B">
        <w:trPr>
          <w:trHeight w:val="272"/>
        </w:trPr>
        <w:tc>
          <w:tcPr>
            <w:tcW w:w="5228" w:type="dxa"/>
          </w:tcPr>
          <w:p w:rsidR="00591C3B" w:rsidRPr="002F17B5" w:rsidRDefault="00591C3B" w:rsidP="00675319">
            <w:pPr>
              <w:spacing w:after="60"/>
              <w:ind w:left="-113" w:right="57"/>
            </w:pPr>
            <w:r w:rsidRPr="002F17B5">
              <w:t>Bank current accounts</w:t>
            </w:r>
          </w:p>
        </w:tc>
        <w:tc>
          <w:tcPr>
            <w:tcW w:w="1359" w:type="dxa"/>
            <w:vAlign w:val="bottom"/>
          </w:tcPr>
          <w:p w:rsidR="00591C3B" w:rsidRPr="002F17B5" w:rsidRDefault="00591C3B" w:rsidP="00675319">
            <w:pPr>
              <w:spacing w:after="60"/>
              <w:ind w:left="-113" w:right="57"/>
              <w:jc w:val="right"/>
            </w:pPr>
            <w:r w:rsidRPr="002F17B5">
              <w:t>33.0</w:t>
            </w:r>
          </w:p>
        </w:tc>
        <w:tc>
          <w:tcPr>
            <w:tcW w:w="1359" w:type="dxa"/>
            <w:vAlign w:val="bottom"/>
          </w:tcPr>
          <w:p w:rsidR="00591C3B" w:rsidRPr="002F17B5" w:rsidRDefault="00591C3B" w:rsidP="00675319">
            <w:pPr>
              <w:spacing w:after="60"/>
              <w:ind w:left="-113" w:right="57"/>
              <w:jc w:val="right"/>
            </w:pPr>
            <w:r w:rsidRPr="002F17B5">
              <w:t>15.5</w:t>
            </w:r>
          </w:p>
        </w:tc>
      </w:tr>
      <w:tr w:rsidR="00591C3B" w:rsidRPr="002F17B5" w:rsidTr="00591C3B">
        <w:trPr>
          <w:trHeight w:val="272"/>
        </w:trPr>
        <w:tc>
          <w:tcPr>
            <w:tcW w:w="5228" w:type="dxa"/>
          </w:tcPr>
          <w:p w:rsidR="00591C3B" w:rsidRPr="002F17B5" w:rsidRDefault="00591C3B" w:rsidP="00675319">
            <w:pPr>
              <w:spacing w:after="60"/>
              <w:ind w:left="-113" w:right="57"/>
            </w:pPr>
            <w:r w:rsidRPr="002F17B5">
              <w:t>Short term deposits under 3 months</w:t>
            </w:r>
          </w:p>
        </w:tc>
        <w:tc>
          <w:tcPr>
            <w:tcW w:w="1359" w:type="dxa"/>
            <w:tcBorders>
              <w:bottom w:val="single" w:sz="4" w:space="0" w:color="auto"/>
            </w:tcBorders>
            <w:vAlign w:val="bottom"/>
          </w:tcPr>
          <w:p w:rsidR="00591C3B" w:rsidRPr="002F17B5" w:rsidRDefault="00591C3B" w:rsidP="00675319">
            <w:pPr>
              <w:spacing w:after="60"/>
              <w:ind w:left="-113" w:right="57"/>
              <w:jc w:val="right"/>
            </w:pPr>
            <w:r w:rsidRPr="002F17B5">
              <w:t>57.7</w:t>
            </w:r>
          </w:p>
        </w:tc>
        <w:tc>
          <w:tcPr>
            <w:tcW w:w="1359" w:type="dxa"/>
            <w:tcBorders>
              <w:bottom w:val="single" w:sz="4" w:space="0" w:color="auto"/>
            </w:tcBorders>
            <w:vAlign w:val="bottom"/>
          </w:tcPr>
          <w:p w:rsidR="00591C3B" w:rsidRPr="002F17B5" w:rsidRDefault="00591C3B" w:rsidP="00675319">
            <w:pPr>
              <w:spacing w:after="60"/>
              <w:ind w:left="-113" w:right="57"/>
              <w:jc w:val="right"/>
            </w:pPr>
            <w:r w:rsidRPr="002F17B5">
              <w:t>49.5</w:t>
            </w:r>
          </w:p>
        </w:tc>
      </w:tr>
      <w:tr w:rsidR="00591C3B" w:rsidRPr="002F17B5" w:rsidTr="00591C3B">
        <w:trPr>
          <w:trHeight w:val="288"/>
        </w:trPr>
        <w:tc>
          <w:tcPr>
            <w:tcW w:w="5228" w:type="dxa"/>
          </w:tcPr>
          <w:p w:rsidR="00591C3B" w:rsidRPr="002F17B5" w:rsidRDefault="00591C3B" w:rsidP="00675319">
            <w:pPr>
              <w:spacing w:after="60"/>
              <w:ind w:left="-113" w:right="57"/>
              <w:rPr>
                <w:b/>
              </w:rPr>
            </w:pPr>
            <w:r w:rsidRPr="002F17B5">
              <w:rPr>
                <w:b/>
              </w:rPr>
              <w:t>Total Cash and Cash Equivalents</w:t>
            </w:r>
          </w:p>
        </w:tc>
        <w:tc>
          <w:tcPr>
            <w:tcW w:w="1359" w:type="dxa"/>
            <w:tcBorders>
              <w:top w:val="single" w:sz="4" w:space="0" w:color="auto"/>
              <w:bottom w:val="double" w:sz="6" w:space="0" w:color="auto"/>
            </w:tcBorders>
            <w:vAlign w:val="bottom"/>
          </w:tcPr>
          <w:p w:rsidR="00591C3B" w:rsidRPr="002F17B5" w:rsidRDefault="00591C3B" w:rsidP="00675319">
            <w:pPr>
              <w:spacing w:after="60"/>
              <w:ind w:left="-113" w:right="57"/>
              <w:jc w:val="right"/>
              <w:rPr>
                <w:b/>
                <w:bCs/>
              </w:rPr>
            </w:pPr>
            <w:r w:rsidRPr="002F17B5">
              <w:rPr>
                <w:b/>
                <w:bCs/>
              </w:rPr>
              <w:t>91.4</w:t>
            </w:r>
          </w:p>
        </w:tc>
        <w:tc>
          <w:tcPr>
            <w:tcW w:w="1359" w:type="dxa"/>
            <w:tcBorders>
              <w:top w:val="single" w:sz="4" w:space="0" w:color="auto"/>
              <w:bottom w:val="double" w:sz="6" w:space="0" w:color="auto"/>
            </w:tcBorders>
            <w:vAlign w:val="center"/>
          </w:tcPr>
          <w:p w:rsidR="00591C3B" w:rsidRPr="002F17B5" w:rsidRDefault="00591C3B" w:rsidP="00675319">
            <w:pPr>
              <w:spacing w:after="60"/>
              <w:ind w:left="-113" w:right="57"/>
              <w:jc w:val="right"/>
              <w:rPr>
                <w:b/>
              </w:rPr>
            </w:pPr>
            <w:r w:rsidRPr="002F17B5">
              <w:rPr>
                <w:b/>
              </w:rPr>
              <w:t>65.6</w:t>
            </w:r>
          </w:p>
        </w:tc>
      </w:tr>
    </w:tbl>
    <w:p w:rsidR="00ED2820" w:rsidRDefault="00ED2820" w:rsidP="00ED2820">
      <w:pPr>
        <w:pStyle w:val="Heading3-numbered"/>
        <w:numPr>
          <w:ilvl w:val="0"/>
          <w:numId w:val="0"/>
        </w:numPr>
        <w:rPr>
          <w:b w:val="0"/>
          <w:bCs w:val="0"/>
          <w:i w:val="0"/>
          <w:sz w:val="8"/>
        </w:rPr>
      </w:pPr>
    </w:p>
    <w:p w:rsidR="007165B6" w:rsidRDefault="007165B6" w:rsidP="00ED2820">
      <w:pPr>
        <w:pStyle w:val="Heading3-numbered"/>
        <w:numPr>
          <w:ilvl w:val="0"/>
          <w:numId w:val="0"/>
        </w:numPr>
        <w:rPr>
          <w:b w:val="0"/>
          <w:bCs w:val="0"/>
          <w:i w:val="0"/>
          <w:sz w:val="8"/>
        </w:rPr>
      </w:pPr>
    </w:p>
    <w:p w:rsidR="007165B6" w:rsidRPr="00ED2820" w:rsidRDefault="007165B6" w:rsidP="00ED2820">
      <w:pPr>
        <w:pStyle w:val="Heading3-numbered"/>
        <w:numPr>
          <w:ilvl w:val="0"/>
          <w:numId w:val="0"/>
        </w:numPr>
        <w:rPr>
          <w:b w:val="0"/>
          <w:bCs w:val="0"/>
          <w:i w:val="0"/>
          <w:sz w:val="8"/>
        </w:rPr>
      </w:pPr>
    </w:p>
    <w:p w:rsidR="005C6E3B" w:rsidRPr="002F17B5" w:rsidRDefault="0016132A" w:rsidP="005855CE">
      <w:pPr>
        <w:pStyle w:val="Heading3-numbered"/>
        <w:rPr>
          <w:i w:val="0"/>
        </w:rPr>
      </w:pPr>
      <w:r w:rsidRPr="002F17B5">
        <w:rPr>
          <w:i w:val="0"/>
        </w:rPr>
        <w:t xml:space="preserve">  </w:t>
      </w:r>
      <w:r w:rsidR="00286D86" w:rsidRPr="002F17B5">
        <w:rPr>
          <w:i w:val="0"/>
        </w:rPr>
        <w:t xml:space="preserve">Provisions </w:t>
      </w:r>
    </w:p>
    <w:p w:rsidR="005C6E3B" w:rsidRDefault="005C6E3B" w:rsidP="00865370">
      <w:pPr>
        <w:pStyle w:val="ListParagraph"/>
        <w:tabs>
          <w:tab w:val="num" w:pos="142"/>
        </w:tabs>
        <w:ind w:left="142"/>
      </w:pPr>
      <w:r w:rsidRPr="002F17B5">
        <w:t>We keep some funds set aside to provide for specific expenses, the exact cost of timing of which is still uncertain. These funds are known as 'provisions'. The changes to th</w:t>
      </w:r>
      <w:r w:rsidR="008778FF">
        <w:t>ese funds are summarised in the following table:</w:t>
      </w:r>
    </w:p>
    <w:p w:rsidR="002B6997" w:rsidRDefault="002B6997" w:rsidP="00865370">
      <w:pPr>
        <w:pStyle w:val="ListParagraph"/>
        <w:tabs>
          <w:tab w:val="num" w:pos="142"/>
        </w:tabs>
        <w:ind w:left="142"/>
      </w:pPr>
    </w:p>
    <w:p w:rsidR="002B6997" w:rsidRDefault="002B6997" w:rsidP="00865370">
      <w:pPr>
        <w:pStyle w:val="ListParagraph"/>
        <w:tabs>
          <w:tab w:val="num" w:pos="142"/>
        </w:tabs>
        <w:ind w:left="142"/>
      </w:pPr>
    </w:p>
    <w:p w:rsidR="002B6997" w:rsidRDefault="002B6997" w:rsidP="00865370">
      <w:pPr>
        <w:pStyle w:val="ListParagraph"/>
        <w:tabs>
          <w:tab w:val="num" w:pos="142"/>
        </w:tabs>
        <w:ind w:left="142"/>
      </w:pPr>
    </w:p>
    <w:p w:rsidR="008778FF" w:rsidRPr="002F17B5" w:rsidRDefault="008778FF" w:rsidP="00865370">
      <w:pPr>
        <w:pStyle w:val="ListParagraph"/>
        <w:tabs>
          <w:tab w:val="num" w:pos="142"/>
        </w:tabs>
        <w:ind w:left="142"/>
      </w:pPr>
    </w:p>
    <w:p w:rsidR="00E202B8" w:rsidRPr="002F17B5" w:rsidRDefault="00E202B8" w:rsidP="00865370">
      <w:pPr>
        <w:pStyle w:val="ListParagraph"/>
        <w:tabs>
          <w:tab w:val="num" w:pos="142"/>
        </w:tabs>
        <w:ind w:left="142"/>
        <w:rPr>
          <w:sz w:val="2"/>
        </w:rPr>
      </w:pPr>
    </w:p>
    <w:tbl>
      <w:tblPr>
        <w:tblpPr w:leftFromText="180" w:rightFromText="180" w:vertAnchor="text" w:horzAnchor="margin" w:tblpXSpec="center" w:tblpY="152"/>
        <w:tblW w:w="10053" w:type="dxa"/>
        <w:tblLook w:val="04A0" w:firstRow="1" w:lastRow="0" w:firstColumn="1" w:lastColumn="0" w:noHBand="0" w:noVBand="1"/>
      </w:tblPr>
      <w:tblGrid>
        <w:gridCol w:w="2694"/>
        <w:gridCol w:w="1417"/>
        <w:gridCol w:w="1418"/>
        <w:gridCol w:w="1701"/>
        <w:gridCol w:w="1387"/>
        <w:gridCol w:w="1436"/>
      </w:tblGrid>
      <w:tr w:rsidR="0068311D" w:rsidRPr="002F17B5" w:rsidTr="006F2C34">
        <w:trPr>
          <w:trHeight w:val="684"/>
        </w:trPr>
        <w:tc>
          <w:tcPr>
            <w:tcW w:w="2694" w:type="dxa"/>
            <w:shd w:val="clear" w:color="auto" w:fill="FFFFFF" w:themeFill="background1"/>
            <w:vAlign w:val="bottom"/>
          </w:tcPr>
          <w:p w:rsidR="0068311D" w:rsidRPr="002F17B5" w:rsidRDefault="0068311D" w:rsidP="0068311D">
            <w:pPr>
              <w:spacing w:after="0"/>
              <w:jc w:val="left"/>
              <w:rPr>
                <w:b/>
                <w:bCs/>
                <w:sz w:val="22"/>
                <w:szCs w:val="20"/>
              </w:rPr>
            </w:pPr>
          </w:p>
        </w:tc>
        <w:tc>
          <w:tcPr>
            <w:tcW w:w="1417" w:type="dxa"/>
            <w:shd w:val="clear" w:color="auto" w:fill="FFFFFF" w:themeFill="background1"/>
            <w:vAlign w:val="bottom"/>
          </w:tcPr>
          <w:p w:rsidR="0068311D" w:rsidRPr="002F17B5" w:rsidRDefault="0016132A" w:rsidP="0068311D">
            <w:pPr>
              <w:spacing w:after="0"/>
              <w:jc w:val="right"/>
              <w:rPr>
                <w:b/>
                <w:sz w:val="22"/>
                <w:szCs w:val="20"/>
              </w:rPr>
            </w:pPr>
            <w:r w:rsidRPr="002F17B5">
              <w:rPr>
                <w:b/>
                <w:sz w:val="22"/>
                <w:szCs w:val="20"/>
              </w:rPr>
              <w:t>Balance at 1</w:t>
            </w:r>
            <w:r w:rsidRPr="002F17B5">
              <w:rPr>
                <w:b/>
                <w:sz w:val="22"/>
                <w:szCs w:val="20"/>
                <w:vertAlign w:val="superscript"/>
              </w:rPr>
              <w:t>st</w:t>
            </w:r>
            <w:r w:rsidRPr="002F17B5">
              <w:rPr>
                <w:b/>
                <w:sz w:val="22"/>
                <w:szCs w:val="20"/>
              </w:rPr>
              <w:t xml:space="preserve"> April 2013</w:t>
            </w:r>
          </w:p>
        </w:tc>
        <w:tc>
          <w:tcPr>
            <w:tcW w:w="1418" w:type="dxa"/>
            <w:shd w:val="clear" w:color="auto" w:fill="FFFFFF" w:themeFill="background1"/>
            <w:vAlign w:val="bottom"/>
          </w:tcPr>
          <w:p w:rsidR="0068311D" w:rsidRPr="002F17B5" w:rsidRDefault="0016132A" w:rsidP="0068311D">
            <w:pPr>
              <w:spacing w:after="0"/>
              <w:jc w:val="right"/>
              <w:rPr>
                <w:b/>
                <w:sz w:val="22"/>
                <w:szCs w:val="20"/>
              </w:rPr>
            </w:pPr>
            <w:r w:rsidRPr="002F17B5">
              <w:rPr>
                <w:b/>
                <w:sz w:val="22"/>
                <w:szCs w:val="20"/>
              </w:rPr>
              <w:t>Additional provision made in 2013/14</w:t>
            </w:r>
          </w:p>
        </w:tc>
        <w:tc>
          <w:tcPr>
            <w:tcW w:w="1701" w:type="dxa"/>
            <w:shd w:val="clear" w:color="auto" w:fill="FFFFFF" w:themeFill="background1"/>
            <w:vAlign w:val="bottom"/>
          </w:tcPr>
          <w:p w:rsidR="0068311D" w:rsidRPr="002F17B5" w:rsidRDefault="0016132A" w:rsidP="0068311D">
            <w:pPr>
              <w:spacing w:after="0"/>
              <w:jc w:val="right"/>
              <w:rPr>
                <w:b/>
                <w:sz w:val="22"/>
                <w:szCs w:val="20"/>
              </w:rPr>
            </w:pPr>
            <w:r w:rsidRPr="002F17B5">
              <w:rPr>
                <w:b/>
                <w:sz w:val="22"/>
                <w:szCs w:val="20"/>
              </w:rPr>
              <w:t>Spending met from the provision in 2013/14</w:t>
            </w:r>
          </w:p>
        </w:tc>
        <w:tc>
          <w:tcPr>
            <w:tcW w:w="1387" w:type="dxa"/>
            <w:shd w:val="clear" w:color="auto" w:fill="FFFFFF" w:themeFill="background1"/>
            <w:vAlign w:val="bottom"/>
          </w:tcPr>
          <w:p w:rsidR="0068311D" w:rsidRPr="002F17B5" w:rsidRDefault="0016132A" w:rsidP="0068311D">
            <w:pPr>
              <w:spacing w:after="0"/>
              <w:jc w:val="right"/>
              <w:rPr>
                <w:b/>
                <w:sz w:val="22"/>
                <w:szCs w:val="20"/>
              </w:rPr>
            </w:pPr>
            <w:r w:rsidRPr="002F17B5">
              <w:rPr>
                <w:b/>
                <w:sz w:val="22"/>
                <w:szCs w:val="20"/>
              </w:rPr>
              <w:t>Unused amounts reversed in 2013/14</w:t>
            </w:r>
          </w:p>
        </w:tc>
        <w:tc>
          <w:tcPr>
            <w:tcW w:w="1436" w:type="dxa"/>
            <w:shd w:val="clear" w:color="auto" w:fill="FFFFFF" w:themeFill="background1"/>
            <w:vAlign w:val="bottom"/>
          </w:tcPr>
          <w:p w:rsidR="0068311D" w:rsidRPr="002F17B5" w:rsidRDefault="0016132A" w:rsidP="0068311D">
            <w:pPr>
              <w:spacing w:after="0"/>
              <w:jc w:val="right"/>
              <w:rPr>
                <w:b/>
                <w:sz w:val="22"/>
                <w:szCs w:val="20"/>
              </w:rPr>
            </w:pPr>
            <w:r w:rsidRPr="002F17B5">
              <w:rPr>
                <w:b/>
                <w:sz w:val="22"/>
                <w:szCs w:val="20"/>
              </w:rPr>
              <w:t>Balance at 31 March 2014</w:t>
            </w:r>
          </w:p>
        </w:tc>
      </w:tr>
      <w:tr w:rsidR="006F2C34" w:rsidRPr="002F17B5" w:rsidTr="0016132A">
        <w:trPr>
          <w:trHeight w:val="536"/>
        </w:trPr>
        <w:tc>
          <w:tcPr>
            <w:tcW w:w="2694" w:type="dxa"/>
            <w:shd w:val="clear" w:color="auto" w:fill="FFFFFF" w:themeFill="background1"/>
            <w:vAlign w:val="bottom"/>
            <w:hideMark/>
          </w:tcPr>
          <w:p w:rsidR="006F2C34" w:rsidRPr="002F17B5" w:rsidRDefault="006F2C34" w:rsidP="0068311D">
            <w:pPr>
              <w:spacing w:after="0"/>
              <w:jc w:val="left"/>
              <w:rPr>
                <w:b/>
                <w:bCs/>
                <w:sz w:val="22"/>
                <w:szCs w:val="20"/>
              </w:rPr>
            </w:pPr>
            <w:r w:rsidRPr="002F17B5">
              <w:rPr>
                <w:b/>
                <w:bCs/>
                <w:sz w:val="22"/>
                <w:szCs w:val="20"/>
              </w:rPr>
              <w:t>Long Term Provisions</w:t>
            </w:r>
          </w:p>
        </w:tc>
        <w:tc>
          <w:tcPr>
            <w:tcW w:w="1417" w:type="dxa"/>
            <w:shd w:val="clear" w:color="auto" w:fill="FFFFFF" w:themeFill="background1"/>
            <w:vAlign w:val="bottom"/>
            <w:hideMark/>
          </w:tcPr>
          <w:p w:rsidR="006F2C34" w:rsidRPr="002F17B5" w:rsidRDefault="006F2C34" w:rsidP="0068311D">
            <w:pPr>
              <w:spacing w:after="0"/>
              <w:jc w:val="right"/>
              <w:rPr>
                <w:b/>
                <w:sz w:val="22"/>
                <w:szCs w:val="20"/>
              </w:rPr>
            </w:pPr>
          </w:p>
        </w:tc>
        <w:tc>
          <w:tcPr>
            <w:tcW w:w="1418" w:type="dxa"/>
            <w:shd w:val="clear" w:color="auto" w:fill="FFFFFF" w:themeFill="background1"/>
            <w:vAlign w:val="bottom"/>
            <w:hideMark/>
          </w:tcPr>
          <w:p w:rsidR="006F2C34" w:rsidRPr="002F17B5" w:rsidRDefault="006F2C34" w:rsidP="0068311D">
            <w:pPr>
              <w:spacing w:after="0"/>
              <w:jc w:val="right"/>
              <w:rPr>
                <w:b/>
                <w:sz w:val="22"/>
                <w:szCs w:val="20"/>
              </w:rPr>
            </w:pPr>
          </w:p>
        </w:tc>
        <w:tc>
          <w:tcPr>
            <w:tcW w:w="1701" w:type="dxa"/>
            <w:shd w:val="clear" w:color="auto" w:fill="FFFFFF" w:themeFill="background1"/>
            <w:vAlign w:val="bottom"/>
            <w:hideMark/>
          </w:tcPr>
          <w:p w:rsidR="006F2C34" w:rsidRPr="002F17B5" w:rsidRDefault="006F2C34" w:rsidP="0068311D">
            <w:pPr>
              <w:spacing w:after="0"/>
              <w:jc w:val="right"/>
              <w:rPr>
                <w:b/>
                <w:sz w:val="22"/>
                <w:szCs w:val="20"/>
              </w:rPr>
            </w:pPr>
          </w:p>
        </w:tc>
        <w:tc>
          <w:tcPr>
            <w:tcW w:w="1387" w:type="dxa"/>
            <w:shd w:val="clear" w:color="auto" w:fill="FFFFFF" w:themeFill="background1"/>
            <w:vAlign w:val="bottom"/>
            <w:hideMark/>
          </w:tcPr>
          <w:p w:rsidR="006F2C34" w:rsidRPr="002F17B5" w:rsidRDefault="006F2C34" w:rsidP="0068311D">
            <w:pPr>
              <w:spacing w:after="0"/>
              <w:jc w:val="right"/>
              <w:rPr>
                <w:b/>
                <w:sz w:val="22"/>
                <w:szCs w:val="20"/>
              </w:rPr>
            </w:pPr>
          </w:p>
        </w:tc>
        <w:tc>
          <w:tcPr>
            <w:tcW w:w="1436" w:type="dxa"/>
            <w:shd w:val="clear" w:color="auto" w:fill="FFFFFF" w:themeFill="background1"/>
            <w:vAlign w:val="bottom"/>
            <w:hideMark/>
          </w:tcPr>
          <w:p w:rsidR="006F2C34" w:rsidRPr="002F17B5" w:rsidRDefault="006F2C34" w:rsidP="0068311D">
            <w:pPr>
              <w:spacing w:after="0"/>
              <w:jc w:val="right"/>
              <w:rPr>
                <w:b/>
                <w:sz w:val="22"/>
                <w:szCs w:val="20"/>
              </w:rPr>
            </w:pPr>
          </w:p>
        </w:tc>
      </w:tr>
      <w:tr w:rsidR="006F2C34" w:rsidRPr="002F17B5" w:rsidTr="006F2C34">
        <w:trPr>
          <w:trHeight w:val="684"/>
        </w:trPr>
        <w:tc>
          <w:tcPr>
            <w:tcW w:w="2694" w:type="dxa"/>
            <w:shd w:val="clear" w:color="auto" w:fill="FFFFFF" w:themeFill="background1"/>
            <w:vAlign w:val="bottom"/>
            <w:hideMark/>
          </w:tcPr>
          <w:p w:rsidR="006F2C34" w:rsidRPr="002F17B5" w:rsidRDefault="006F2C34" w:rsidP="0068311D">
            <w:pPr>
              <w:spacing w:after="0"/>
              <w:jc w:val="left"/>
              <w:rPr>
                <w:sz w:val="22"/>
                <w:szCs w:val="20"/>
              </w:rPr>
            </w:pPr>
            <w:r w:rsidRPr="002F17B5">
              <w:rPr>
                <w:sz w:val="22"/>
                <w:szCs w:val="20"/>
              </w:rPr>
              <w:t>Insurance Provision</w:t>
            </w:r>
          </w:p>
        </w:tc>
        <w:tc>
          <w:tcPr>
            <w:tcW w:w="1417"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(16.3)</w:t>
            </w:r>
          </w:p>
        </w:tc>
        <w:tc>
          <w:tcPr>
            <w:tcW w:w="1418"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(6.5)</w:t>
            </w:r>
          </w:p>
        </w:tc>
        <w:tc>
          <w:tcPr>
            <w:tcW w:w="1701"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 xml:space="preserve">7.6 </w:t>
            </w:r>
          </w:p>
        </w:tc>
        <w:tc>
          <w:tcPr>
            <w:tcW w:w="1387"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 xml:space="preserve">- </w:t>
            </w:r>
          </w:p>
        </w:tc>
        <w:tc>
          <w:tcPr>
            <w:tcW w:w="1436"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(15.2)</w:t>
            </w:r>
          </w:p>
        </w:tc>
      </w:tr>
      <w:tr w:rsidR="006F2C34" w:rsidRPr="002F17B5" w:rsidTr="006F2C34">
        <w:trPr>
          <w:trHeight w:val="684"/>
        </w:trPr>
        <w:tc>
          <w:tcPr>
            <w:tcW w:w="2694" w:type="dxa"/>
            <w:shd w:val="clear" w:color="auto" w:fill="FFFFFF" w:themeFill="background1"/>
            <w:vAlign w:val="bottom"/>
            <w:hideMark/>
          </w:tcPr>
          <w:p w:rsidR="006F2C34" w:rsidRPr="002F17B5" w:rsidRDefault="006F2C34" w:rsidP="0068311D">
            <w:pPr>
              <w:spacing w:after="0"/>
              <w:jc w:val="left"/>
              <w:rPr>
                <w:sz w:val="22"/>
                <w:szCs w:val="20"/>
              </w:rPr>
            </w:pPr>
            <w:r w:rsidRPr="002F17B5">
              <w:rPr>
                <w:sz w:val="22"/>
                <w:szCs w:val="20"/>
              </w:rPr>
              <w:t>MMI (Municipal Mutual Insurance) Provision</w:t>
            </w:r>
          </w:p>
        </w:tc>
        <w:tc>
          <w:tcPr>
            <w:tcW w:w="1417"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(4.5)</w:t>
            </w:r>
          </w:p>
        </w:tc>
        <w:tc>
          <w:tcPr>
            <w:tcW w:w="1418"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w:t>
            </w:r>
          </w:p>
        </w:tc>
        <w:tc>
          <w:tcPr>
            <w:tcW w:w="1701"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 xml:space="preserve">1.4 </w:t>
            </w:r>
          </w:p>
        </w:tc>
        <w:tc>
          <w:tcPr>
            <w:tcW w:w="1387"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w:t>
            </w:r>
          </w:p>
        </w:tc>
        <w:tc>
          <w:tcPr>
            <w:tcW w:w="1436"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(3.1)</w:t>
            </w:r>
          </w:p>
        </w:tc>
      </w:tr>
      <w:tr w:rsidR="006F2C34" w:rsidRPr="002F17B5" w:rsidTr="0016132A">
        <w:trPr>
          <w:trHeight w:val="478"/>
        </w:trPr>
        <w:tc>
          <w:tcPr>
            <w:tcW w:w="2694" w:type="dxa"/>
            <w:shd w:val="clear" w:color="auto" w:fill="FFFFFF" w:themeFill="background1"/>
            <w:vAlign w:val="bottom"/>
            <w:hideMark/>
          </w:tcPr>
          <w:p w:rsidR="006F2C34" w:rsidRPr="002F17B5" w:rsidRDefault="006F2C34" w:rsidP="0068311D">
            <w:pPr>
              <w:spacing w:after="0"/>
              <w:jc w:val="left"/>
              <w:rPr>
                <w:b/>
                <w:bCs/>
                <w:sz w:val="22"/>
                <w:szCs w:val="20"/>
              </w:rPr>
            </w:pPr>
            <w:r w:rsidRPr="002F17B5">
              <w:rPr>
                <w:sz w:val="22"/>
                <w:szCs w:val="20"/>
              </w:rPr>
              <w:t>Other Provisions</w:t>
            </w:r>
          </w:p>
        </w:tc>
        <w:tc>
          <w:tcPr>
            <w:tcW w:w="1417"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(0.4)</w:t>
            </w:r>
          </w:p>
        </w:tc>
        <w:tc>
          <w:tcPr>
            <w:tcW w:w="1418"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(0.1)</w:t>
            </w:r>
          </w:p>
        </w:tc>
        <w:tc>
          <w:tcPr>
            <w:tcW w:w="1701"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w:t>
            </w:r>
          </w:p>
        </w:tc>
        <w:tc>
          <w:tcPr>
            <w:tcW w:w="1387"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w:t>
            </w:r>
          </w:p>
        </w:tc>
        <w:tc>
          <w:tcPr>
            <w:tcW w:w="1436" w:type="dxa"/>
            <w:shd w:val="clear" w:color="auto" w:fill="FFFFFF" w:themeFill="background1"/>
            <w:vAlign w:val="bottom"/>
            <w:hideMark/>
          </w:tcPr>
          <w:p w:rsidR="006F2C34" w:rsidRPr="002F17B5" w:rsidRDefault="006F2C34" w:rsidP="0068311D">
            <w:pPr>
              <w:spacing w:after="0"/>
              <w:jc w:val="right"/>
              <w:rPr>
                <w:sz w:val="22"/>
                <w:szCs w:val="20"/>
              </w:rPr>
            </w:pPr>
            <w:r w:rsidRPr="002F17B5">
              <w:rPr>
                <w:sz w:val="22"/>
                <w:szCs w:val="20"/>
              </w:rPr>
              <w:t>(0.5)</w:t>
            </w:r>
          </w:p>
        </w:tc>
      </w:tr>
      <w:tr w:rsidR="006F2C34" w:rsidRPr="002F17B5" w:rsidTr="0016132A">
        <w:trPr>
          <w:trHeight w:val="643"/>
        </w:trPr>
        <w:tc>
          <w:tcPr>
            <w:tcW w:w="2694" w:type="dxa"/>
            <w:shd w:val="clear" w:color="auto" w:fill="FFFFFF" w:themeFill="background1"/>
            <w:vAlign w:val="bottom"/>
            <w:hideMark/>
          </w:tcPr>
          <w:p w:rsidR="006F2C34" w:rsidRPr="002F17B5" w:rsidRDefault="006F2C34" w:rsidP="0068311D">
            <w:pPr>
              <w:spacing w:after="0"/>
              <w:jc w:val="left"/>
              <w:rPr>
                <w:b/>
                <w:bCs/>
                <w:sz w:val="22"/>
                <w:szCs w:val="20"/>
              </w:rPr>
            </w:pPr>
            <w:r w:rsidRPr="002F17B5">
              <w:rPr>
                <w:b/>
                <w:bCs/>
                <w:sz w:val="22"/>
                <w:szCs w:val="20"/>
              </w:rPr>
              <w:t>Total Long Term Provisions</w:t>
            </w:r>
          </w:p>
        </w:tc>
        <w:tc>
          <w:tcPr>
            <w:tcW w:w="1417" w:type="dxa"/>
            <w:shd w:val="clear" w:color="auto" w:fill="FFFFFF" w:themeFill="background1"/>
            <w:vAlign w:val="bottom"/>
            <w:hideMark/>
          </w:tcPr>
          <w:p w:rsidR="006F2C34" w:rsidRPr="002F17B5" w:rsidRDefault="006F2C34" w:rsidP="0068311D">
            <w:pPr>
              <w:spacing w:after="0"/>
              <w:jc w:val="right"/>
              <w:rPr>
                <w:b/>
                <w:sz w:val="22"/>
                <w:szCs w:val="20"/>
              </w:rPr>
            </w:pPr>
            <w:r w:rsidRPr="002F17B5">
              <w:rPr>
                <w:b/>
                <w:sz w:val="22"/>
                <w:szCs w:val="20"/>
              </w:rPr>
              <w:t>(21.2)</w:t>
            </w:r>
          </w:p>
        </w:tc>
        <w:tc>
          <w:tcPr>
            <w:tcW w:w="1418" w:type="dxa"/>
            <w:shd w:val="clear" w:color="auto" w:fill="FFFFFF" w:themeFill="background1"/>
            <w:vAlign w:val="bottom"/>
            <w:hideMark/>
          </w:tcPr>
          <w:p w:rsidR="006F2C34" w:rsidRPr="002F17B5" w:rsidRDefault="006F2C34" w:rsidP="0068311D">
            <w:pPr>
              <w:spacing w:after="0"/>
              <w:jc w:val="right"/>
              <w:rPr>
                <w:b/>
                <w:sz w:val="22"/>
                <w:szCs w:val="20"/>
              </w:rPr>
            </w:pPr>
            <w:r w:rsidRPr="002F17B5">
              <w:rPr>
                <w:b/>
                <w:sz w:val="22"/>
                <w:szCs w:val="20"/>
              </w:rPr>
              <w:t>(6.6)</w:t>
            </w:r>
          </w:p>
        </w:tc>
        <w:tc>
          <w:tcPr>
            <w:tcW w:w="1701" w:type="dxa"/>
            <w:shd w:val="clear" w:color="auto" w:fill="FFFFFF" w:themeFill="background1"/>
            <w:vAlign w:val="bottom"/>
            <w:hideMark/>
          </w:tcPr>
          <w:p w:rsidR="006F2C34" w:rsidRPr="002F17B5" w:rsidRDefault="006F2C34" w:rsidP="0068311D">
            <w:pPr>
              <w:spacing w:after="0"/>
              <w:jc w:val="right"/>
              <w:rPr>
                <w:b/>
                <w:sz w:val="22"/>
                <w:szCs w:val="20"/>
              </w:rPr>
            </w:pPr>
            <w:r w:rsidRPr="002F17B5">
              <w:rPr>
                <w:b/>
                <w:sz w:val="22"/>
                <w:szCs w:val="20"/>
              </w:rPr>
              <w:t>9.0</w:t>
            </w:r>
          </w:p>
        </w:tc>
        <w:tc>
          <w:tcPr>
            <w:tcW w:w="1387" w:type="dxa"/>
            <w:shd w:val="clear" w:color="auto" w:fill="FFFFFF" w:themeFill="background1"/>
            <w:vAlign w:val="bottom"/>
            <w:hideMark/>
          </w:tcPr>
          <w:p w:rsidR="006F2C34" w:rsidRPr="002F17B5" w:rsidRDefault="006F2C34" w:rsidP="0068311D">
            <w:pPr>
              <w:spacing w:after="0"/>
              <w:jc w:val="right"/>
              <w:rPr>
                <w:b/>
                <w:sz w:val="22"/>
                <w:szCs w:val="20"/>
              </w:rPr>
            </w:pPr>
            <w:r w:rsidRPr="002F17B5">
              <w:rPr>
                <w:b/>
                <w:sz w:val="22"/>
                <w:szCs w:val="20"/>
              </w:rPr>
              <w:t>-</w:t>
            </w:r>
          </w:p>
        </w:tc>
        <w:tc>
          <w:tcPr>
            <w:tcW w:w="1436" w:type="dxa"/>
            <w:shd w:val="clear" w:color="auto" w:fill="FFFFFF" w:themeFill="background1"/>
            <w:vAlign w:val="bottom"/>
            <w:hideMark/>
          </w:tcPr>
          <w:p w:rsidR="006F2C34" w:rsidRPr="002F17B5" w:rsidRDefault="006F2C34" w:rsidP="0068311D">
            <w:pPr>
              <w:spacing w:after="0"/>
              <w:jc w:val="right"/>
              <w:rPr>
                <w:b/>
                <w:sz w:val="22"/>
                <w:szCs w:val="20"/>
              </w:rPr>
            </w:pPr>
            <w:r w:rsidRPr="002F17B5">
              <w:rPr>
                <w:b/>
                <w:sz w:val="22"/>
                <w:szCs w:val="20"/>
              </w:rPr>
              <w:t>(18.8)</w:t>
            </w:r>
          </w:p>
        </w:tc>
      </w:tr>
      <w:tr w:rsidR="00BE43F5" w:rsidRPr="002F17B5" w:rsidTr="00785E69">
        <w:trPr>
          <w:trHeight w:val="409"/>
        </w:trPr>
        <w:tc>
          <w:tcPr>
            <w:tcW w:w="2694" w:type="dxa"/>
            <w:shd w:val="clear" w:color="auto" w:fill="FFFFFF" w:themeFill="background1"/>
            <w:vAlign w:val="bottom"/>
          </w:tcPr>
          <w:p w:rsidR="00BE43F5" w:rsidRDefault="00BE43F5" w:rsidP="0068311D">
            <w:pPr>
              <w:spacing w:after="0"/>
              <w:jc w:val="left"/>
              <w:rPr>
                <w:b/>
                <w:bCs/>
                <w:sz w:val="22"/>
                <w:szCs w:val="20"/>
              </w:rPr>
            </w:pPr>
            <w:r>
              <w:rPr>
                <w:b/>
                <w:bCs/>
                <w:sz w:val="22"/>
                <w:szCs w:val="20"/>
              </w:rPr>
              <w:t xml:space="preserve">Total Short Term </w:t>
            </w:r>
          </w:p>
          <w:p w:rsidR="00BE43F5" w:rsidRPr="002F17B5" w:rsidRDefault="00BE43F5" w:rsidP="0068311D">
            <w:pPr>
              <w:spacing w:after="0"/>
              <w:jc w:val="left"/>
              <w:rPr>
                <w:b/>
                <w:bCs/>
                <w:sz w:val="22"/>
                <w:szCs w:val="20"/>
              </w:rPr>
            </w:pPr>
            <w:r>
              <w:rPr>
                <w:b/>
                <w:bCs/>
                <w:sz w:val="22"/>
                <w:szCs w:val="20"/>
              </w:rPr>
              <w:t>Provisions</w:t>
            </w:r>
          </w:p>
        </w:tc>
        <w:tc>
          <w:tcPr>
            <w:tcW w:w="1417" w:type="dxa"/>
            <w:shd w:val="clear" w:color="auto" w:fill="FFFFFF" w:themeFill="background1"/>
            <w:vAlign w:val="bottom"/>
          </w:tcPr>
          <w:p w:rsidR="00BE43F5" w:rsidRPr="002F17B5" w:rsidRDefault="00BE43F5" w:rsidP="0068311D">
            <w:pPr>
              <w:spacing w:after="0"/>
              <w:jc w:val="right"/>
              <w:rPr>
                <w:b/>
                <w:sz w:val="22"/>
                <w:szCs w:val="20"/>
              </w:rPr>
            </w:pPr>
            <w:r>
              <w:rPr>
                <w:b/>
                <w:sz w:val="22"/>
                <w:szCs w:val="20"/>
              </w:rPr>
              <w:t>(4.7)</w:t>
            </w:r>
          </w:p>
        </w:tc>
        <w:tc>
          <w:tcPr>
            <w:tcW w:w="1418" w:type="dxa"/>
            <w:shd w:val="clear" w:color="auto" w:fill="FFFFFF" w:themeFill="background1"/>
            <w:vAlign w:val="bottom"/>
          </w:tcPr>
          <w:p w:rsidR="00BE43F5" w:rsidRPr="002F17B5" w:rsidRDefault="00BE43F5" w:rsidP="0068311D">
            <w:pPr>
              <w:spacing w:after="0"/>
              <w:jc w:val="right"/>
              <w:rPr>
                <w:b/>
                <w:sz w:val="22"/>
                <w:szCs w:val="20"/>
              </w:rPr>
            </w:pPr>
            <w:r>
              <w:rPr>
                <w:b/>
                <w:sz w:val="22"/>
                <w:szCs w:val="20"/>
              </w:rPr>
              <w:t>(4.8)</w:t>
            </w:r>
          </w:p>
        </w:tc>
        <w:tc>
          <w:tcPr>
            <w:tcW w:w="1701" w:type="dxa"/>
            <w:shd w:val="clear" w:color="auto" w:fill="FFFFFF" w:themeFill="background1"/>
            <w:vAlign w:val="bottom"/>
          </w:tcPr>
          <w:p w:rsidR="00BE43F5" w:rsidRPr="002F17B5" w:rsidRDefault="00BE43F5" w:rsidP="0068311D">
            <w:pPr>
              <w:spacing w:after="0"/>
              <w:jc w:val="right"/>
              <w:rPr>
                <w:b/>
                <w:sz w:val="22"/>
                <w:szCs w:val="20"/>
              </w:rPr>
            </w:pPr>
            <w:r>
              <w:rPr>
                <w:b/>
                <w:sz w:val="22"/>
                <w:szCs w:val="20"/>
              </w:rPr>
              <w:t>1.0</w:t>
            </w:r>
          </w:p>
        </w:tc>
        <w:tc>
          <w:tcPr>
            <w:tcW w:w="1387" w:type="dxa"/>
            <w:shd w:val="clear" w:color="auto" w:fill="FFFFFF" w:themeFill="background1"/>
            <w:vAlign w:val="bottom"/>
          </w:tcPr>
          <w:p w:rsidR="00BE43F5" w:rsidRPr="002F17B5" w:rsidRDefault="00BE43F5" w:rsidP="0068311D">
            <w:pPr>
              <w:spacing w:after="0"/>
              <w:jc w:val="right"/>
              <w:rPr>
                <w:b/>
                <w:sz w:val="22"/>
                <w:szCs w:val="20"/>
              </w:rPr>
            </w:pPr>
            <w:r>
              <w:rPr>
                <w:b/>
                <w:sz w:val="22"/>
                <w:szCs w:val="20"/>
              </w:rPr>
              <w:t>0.4</w:t>
            </w:r>
          </w:p>
        </w:tc>
        <w:tc>
          <w:tcPr>
            <w:tcW w:w="1436" w:type="dxa"/>
            <w:shd w:val="clear" w:color="auto" w:fill="FFFFFF" w:themeFill="background1"/>
            <w:vAlign w:val="bottom"/>
          </w:tcPr>
          <w:p w:rsidR="00BE43F5" w:rsidRPr="002F17B5" w:rsidRDefault="00BE43F5" w:rsidP="0068311D">
            <w:pPr>
              <w:spacing w:after="0"/>
              <w:jc w:val="right"/>
              <w:rPr>
                <w:b/>
                <w:sz w:val="22"/>
                <w:szCs w:val="20"/>
              </w:rPr>
            </w:pPr>
            <w:r>
              <w:rPr>
                <w:b/>
                <w:sz w:val="22"/>
                <w:szCs w:val="20"/>
              </w:rPr>
              <w:t>(8.1)</w:t>
            </w:r>
          </w:p>
        </w:tc>
      </w:tr>
      <w:tr w:rsidR="006F2C34" w:rsidRPr="002F17B5" w:rsidTr="00785E69">
        <w:trPr>
          <w:trHeight w:val="409"/>
        </w:trPr>
        <w:tc>
          <w:tcPr>
            <w:tcW w:w="2694" w:type="dxa"/>
            <w:shd w:val="clear" w:color="auto" w:fill="FFFFFF" w:themeFill="background1"/>
            <w:vAlign w:val="bottom"/>
            <w:hideMark/>
          </w:tcPr>
          <w:p w:rsidR="006F2C34" w:rsidRPr="002F17B5" w:rsidRDefault="006F2C34" w:rsidP="0068311D">
            <w:pPr>
              <w:spacing w:after="0"/>
              <w:jc w:val="left"/>
              <w:rPr>
                <w:b/>
                <w:bCs/>
                <w:sz w:val="22"/>
                <w:szCs w:val="20"/>
              </w:rPr>
            </w:pPr>
            <w:r w:rsidRPr="002F17B5">
              <w:rPr>
                <w:b/>
                <w:bCs/>
                <w:sz w:val="22"/>
                <w:szCs w:val="20"/>
              </w:rPr>
              <w:t xml:space="preserve">Total Provisions </w:t>
            </w:r>
          </w:p>
        </w:tc>
        <w:tc>
          <w:tcPr>
            <w:tcW w:w="1417" w:type="dxa"/>
            <w:shd w:val="clear" w:color="auto" w:fill="FFFFFF" w:themeFill="background1"/>
            <w:vAlign w:val="bottom"/>
            <w:hideMark/>
          </w:tcPr>
          <w:p w:rsidR="006F2C34" w:rsidRPr="002F17B5" w:rsidRDefault="00785E69" w:rsidP="0068311D">
            <w:pPr>
              <w:spacing w:after="0"/>
              <w:jc w:val="right"/>
              <w:rPr>
                <w:b/>
                <w:sz w:val="22"/>
                <w:szCs w:val="20"/>
              </w:rPr>
            </w:pPr>
            <w:r w:rsidRPr="002F17B5">
              <w:rPr>
                <w:b/>
                <w:sz w:val="22"/>
                <w:szCs w:val="20"/>
              </w:rPr>
              <w:t>(25.9)</w:t>
            </w:r>
          </w:p>
        </w:tc>
        <w:tc>
          <w:tcPr>
            <w:tcW w:w="1418" w:type="dxa"/>
            <w:shd w:val="clear" w:color="auto" w:fill="FFFFFF" w:themeFill="background1"/>
            <w:vAlign w:val="bottom"/>
            <w:hideMark/>
          </w:tcPr>
          <w:p w:rsidR="006F2C34" w:rsidRPr="002F17B5" w:rsidRDefault="00785E69" w:rsidP="0068311D">
            <w:pPr>
              <w:spacing w:after="0"/>
              <w:jc w:val="right"/>
              <w:rPr>
                <w:b/>
                <w:sz w:val="22"/>
                <w:szCs w:val="20"/>
              </w:rPr>
            </w:pPr>
            <w:r w:rsidRPr="002F17B5">
              <w:rPr>
                <w:b/>
                <w:sz w:val="22"/>
                <w:szCs w:val="20"/>
              </w:rPr>
              <w:t>(11.4)</w:t>
            </w:r>
          </w:p>
        </w:tc>
        <w:tc>
          <w:tcPr>
            <w:tcW w:w="1701" w:type="dxa"/>
            <w:shd w:val="clear" w:color="auto" w:fill="FFFFFF" w:themeFill="background1"/>
            <w:vAlign w:val="bottom"/>
            <w:hideMark/>
          </w:tcPr>
          <w:p w:rsidR="006F2C34" w:rsidRPr="002F17B5" w:rsidRDefault="006F2C34" w:rsidP="0068311D">
            <w:pPr>
              <w:spacing w:after="0"/>
              <w:jc w:val="right"/>
              <w:rPr>
                <w:b/>
                <w:sz w:val="22"/>
                <w:szCs w:val="20"/>
              </w:rPr>
            </w:pPr>
            <w:r w:rsidRPr="002F17B5">
              <w:rPr>
                <w:b/>
                <w:sz w:val="22"/>
                <w:szCs w:val="20"/>
              </w:rPr>
              <w:t>10.0</w:t>
            </w:r>
          </w:p>
        </w:tc>
        <w:tc>
          <w:tcPr>
            <w:tcW w:w="1387" w:type="dxa"/>
            <w:shd w:val="clear" w:color="auto" w:fill="FFFFFF" w:themeFill="background1"/>
            <w:vAlign w:val="bottom"/>
            <w:hideMark/>
          </w:tcPr>
          <w:p w:rsidR="006F2C34" w:rsidRPr="002F17B5" w:rsidRDefault="006F2C34" w:rsidP="0068311D">
            <w:pPr>
              <w:spacing w:after="0"/>
              <w:jc w:val="right"/>
              <w:rPr>
                <w:b/>
                <w:sz w:val="22"/>
                <w:szCs w:val="20"/>
              </w:rPr>
            </w:pPr>
            <w:r w:rsidRPr="002F17B5">
              <w:rPr>
                <w:b/>
                <w:sz w:val="22"/>
                <w:szCs w:val="20"/>
              </w:rPr>
              <w:t>0.4</w:t>
            </w:r>
          </w:p>
        </w:tc>
        <w:tc>
          <w:tcPr>
            <w:tcW w:w="1436" w:type="dxa"/>
            <w:shd w:val="clear" w:color="auto" w:fill="FFFFFF" w:themeFill="background1"/>
            <w:vAlign w:val="bottom"/>
            <w:hideMark/>
          </w:tcPr>
          <w:p w:rsidR="006F2C34" w:rsidRPr="002F17B5" w:rsidRDefault="00785E69" w:rsidP="0068311D">
            <w:pPr>
              <w:spacing w:after="0"/>
              <w:jc w:val="right"/>
              <w:rPr>
                <w:b/>
                <w:sz w:val="22"/>
                <w:szCs w:val="20"/>
              </w:rPr>
            </w:pPr>
            <w:r w:rsidRPr="002F17B5">
              <w:rPr>
                <w:b/>
                <w:sz w:val="22"/>
                <w:szCs w:val="20"/>
              </w:rPr>
              <w:t>(26.9)</w:t>
            </w:r>
          </w:p>
        </w:tc>
      </w:tr>
    </w:tbl>
    <w:p w:rsidR="006F4556" w:rsidRDefault="006F4556" w:rsidP="00743C20">
      <w:pPr>
        <w:pStyle w:val="ListParagraph"/>
        <w:ind w:left="142" w:right="272"/>
        <w:contextualSpacing w:val="0"/>
        <w:rPr>
          <w:b/>
        </w:rPr>
      </w:pPr>
    </w:p>
    <w:p w:rsidR="008778FF" w:rsidRPr="002F17B5" w:rsidRDefault="008778FF" w:rsidP="00743C20">
      <w:pPr>
        <w:pStyle w:val="ListParagraph"/>
        <w:ind w:left="142" w:right="272"/>
        <w:contextualSpacing w:val="0"/>
        <w:rPr>
          <w:b/>
        </w:rPr>
      </w:pPr>
    </w:p>
    <w:p w:rsidR="005C6E3B" w:rsidRPr="002F17B5" w:rsidRDefault="005C6E3B" w:rsidP="00743C20">
      <w:pPr>
        <w:pStyle w:val="ListParagraph"/>
        <w:ind w:left="142" w:right="272"/>
        <w:contextualSpacing w:val="0"/>
        <w:rPr>
          <w:b/>
        </w:rPr>
      </w:pPr>
      <w:r w:rsidRPr="002F17B5">
        <w:rPr>
          <w:b/>
        </w:rPr>
        <w:t>Insurance provision</w:t>
      </w:r>
    </w:p>
    <w:p w:rsidR="005C6E3B" w:rsidRPr="002F17B5" w:rsidRDefault="005C6E3B" w:rsidP="00743C20">
      <w:pPr>
        <w:pStyle w:val="ListParagraph"/>
        <w:ind w:left="142" w:right="272"/>
        <w:contextualSpacing w:val="0"/>
      </w:pPr>
      <w:r w:rsidRPr="002F17B5">
        <w:t>We set aside funds to cover liability claims which our insurers will not pay because they fall below our excess and our annual self insured limits. These claims may relate to employer’s liability, public liability or buildings insurance. There are no material unfunded risks. The insurance provision contains large cash resources which may not be needed for several years. We use these resources to support our internal loans reserve .The provision is made at a level of estimated total amount for the financial year for which the council will be liable, and will be due for payment in future years.</w:t>
      </w:r>
    </w:p>
    <w:p w:rsidR="0016132A" w:rsidRDefault="0016132A" w:rsidP="00743C20">
      <w:pPr>
        <w:pStyle w:val="ListParagraph"/>
        <w:ind w:left="142" w:right="272"/>
        <w:contextualSpacing w:val="0"/>
      </w:pPr>
    </w:p>
    <w:p w:rsidR="008778FF" w:rsidRPr="002F17B5" w:rsidRDefault="008778FF" w:rsidP="00743C20">
      <w:pPr>
        <w:pStyle w:val="ListParagraph"/>
        <w:ind w:left="142" w:right="272"/>
        <w:contextualSpacing w:val="0"/>
      </w:pPr>
    </w:p>
    <w:p w:rsidR="007D4BA3" w:rsidRPr="002F17B5" w:rsidRDefault="007D4BA3" w:rsidP="007D4BA3">
      <w:pPr>
        <w:pStyle w:val="ListParagraph"/>
        <w:spacing w:after="80"/>
        <w:ind w:left="142" w:right="272"/>
        <w:contextualSpacing w:val="0"/>
        <w:rPr>
          <w:b/>
        </w:rPr>
      </w:pPr>
      <w:r w:rsidRPr="002F17B5">
        <w:rPr>
          <w:b/>
        </w:rPr>
        <w:t xml:space="preserve">MMI (Municipal Mutual Insurance) </w:t>
      </w:r>
    </w:p>
    <w:p w:rsidR="007D4BA3" w:rsidRPr="002F17B5" w:rsidRDefault="007D4BA3" w:rsidP="007D4BA3">
      <w:pPr>
        <w:pStyle w:val="ListParagraph"/>
        <w:ind w:left="142" w:right="272"/>
        <w:contextualSpacing w:val="0"/>
      </w:pPr>
      <w:r w:rsidRPr="002F17B5">
        <w:t>This long term provision is to cover a liability that may arise from the potential insolvency of Municipal Mutual Insurance.</w:t>
      </w:r>
    </w:p>
    <w:p w:rsidR="000B796D" w:rsidRDefault="000B796D" w:rsidP="00743C20">
      <w:pPr>
        <w:pStyle w:val="ListParagraph"/>
        <w:ind w:left="142" w:right="272"/>
        <w:contextualSpacing w:val="0"/>
        <w:rPr>
          <w:sz w:val="12"/>
        </w:rPr>
      </w:pPr>
    </w:p>
    <w:p w:rsidR="008778FF" w:rsidRPr="002F17B5" w:rsidRDefault="008778FF" w:rsidP="00743C20">
      <w:pPr>
        <w:pStyle w:val="ListParagraph"/>
        <w:ind w:left="142" w:right="272"/>
        <w:contextualSpacing w:val="0"/>
        <w:rPr>
          <w:sz w:val="12"/>
        </w:rPr>
      </w:pPr>
    </w:p>
    <w:p w:rsidR="009124AF" w:rsidRPr="002F17B5" w:rsidRDefault="007D4BA3" w:rsidP="00743C20">
      <w:pPr>
        <w:pStyle w:val="ListParagraph"/>
        <w:ind w:left="142" w:right="272"/>
        <w:contextualSpacing w:val="0"/>
        <w:rPr>
          <w:b/>
        </w:rPr>
      </w:pPr>
      <w:r w:rsidRPr="002F17B5">
        <w:rPr>
          <w:b/>
        </w:rPr>
        <w:t xml:space="preserve">Other Provisions </w:t>
      </w:r>
    </w:p>
    <w:p w:rsidR="009124AF" w:rsidRPr="002F17B5" w:rsidRDefault="009124AF" w:rsidP="00743C20">
      <w:pPr>
        <w:pStyle w:val="ListParagraph"/>
        <w:ind w:left="142" w:right="272"/>
        <w:contextualSpacing w:val="0"/>
      </w:pPr>
      <w:r w:rsidRPr="002F17B5">
        <w:t>All other provisions are individually insignificant</w:t>
      </w:r>
    </w:p>
    <w:p w:rsidR="00E202B8" w:rsidRDefault="00E202B8" w:rsidP="00767E6D">
      <w:pPr>
        <w:autoSpaceDE/>
        <w:autoSpaceDN/>
        <w:adjustRightInd/>
        <w:spacing w:after="20"/>
        <w:jc w:val="left"/>
        <w:rPr>
          <w:b/>
          <w:color w:val="FF0000"/>
          <w:sz w:val="26"/>
        </w:rPr>
      </w:pPr>
    </w:p>
    <w:p w:rsidR="00ED2820" w:rsidRDefault="00ED2820" w:rsidP="00767E6D">
      <w:pPr>
        <w:autoSpaceDE/>
        <w:autoSpaceDN/>
        <w:adjustRightInd/>
        <w:spacing w:after="20"/>
        <w:jc w:val="left"/>
        <w:rPr>
          <w:b/>
          <w:color w:val="FF0000"/>
          <w:sz w:val="12"/>
        </w:rPr>
      </w:pPr>
    </w:p>
    <w:p w:rsidR="008778FF" w:rsidRDefault="008778FF" w:rsidP="00767E6D">
      <w:pPr>
        <w:autoSpaceDE/>
        <w:autoSpaceDN/>
        <w:adjustRightInd/>
        <w:spacing w:after="20"/>
        <w:jc w:val="left"/>
        <w:rPr>
          <w:b/>
          <w:color w:val="FF0000"/>
          <w:sz w:val="12"/>
        </w:rPr>
      </w:pPr>
    </w:p>
    <w:p w:rsidR="008778FF" w:rsidRPr="00ED2820" w:rsidRDefault="008778FF" w:rsidP="00767E6D">
      <w:pPr>
        <w:autoSpaceDE/>
        <w:autoSpaceDN/>
        <w:adjustRightInd/>
        <w:spacing w:after="20"/>
        <w:jc w:val="left"/>
        <w:rPr>
          <w:b/>
          <w:color w:val="FF0000"/>
          <w:sz w:val="12"/>
        </w:rPr>
      </w:pPr>
    </w:p>
    <w:p w:rsidR="00545003" w:rsidRPr="002F17B5" w:rsidRDefault="00545003" w:rsidP="00767E6D">
      <w:pPr>
        <w:autoSpaceDE/>
        <w:autoSpaceDN/>
        <w:adjustRightInd/>
        <w:spacing w:after="20"/>
        <w:jc w:val="left"/>
        <w:rPr>
          <w:b/>
          <w:color w:val="FF0000"/>
        </w:rPr>
      </w:pPr>
    </w:p>
    <w:p w:rsidR="00743C20" w:rsidRPr="002F17B5" w:rsidRDefault="00286D86" w:rsidP="005855CE">
      <w:pPr>
        <w:pStyle w:val="Heading3-numbered"/>
        <w:rPr>
          <w:i w:val="0"/>
          <w:sz w:val="26"/>
        </w:rPr>
      </w:pPr>
      <w:r w:rsidRPr="002F17B5">
        <w:rPr>
          <w:b w:val="0"/>
          <w:bCs w:val="0"/>
          <w:color w:val="FF0000"/>
          <w:sz w:val="26"/>
        </w:rPr>
        <w:lastRenderedPageBreak/>
        <w:t xml:space="preserve">  </w:t>
      </w:r>
      <w:r w:rsidRPr="002F17B5">
        <w:rPr>
          <w:i w:val="0"/>
          <w:sz w:val="26"/>
        </w:rPr>
        <w:t xml:space="preserve">Usable Reserves </w:t>
      </w:r>
    </w:p>
    <w:p w:rsidR="00743C20" w:rsidRPr="002F17B5" w:rsidRDefault="00743C20" w:rsidP="00865370">
      <w:pPr>
        <w:spacing w:after="240"/>
        <w:ind w:left="426"/>
      </w:pPr>
      <w:r w:rsidRPr="002F17B5">
        <w:t>Movements in the council's usable reserves are detailed in the Movement in Reserves Statement.</w:t>
      </w:r>
    </w:p>
    <w:p w:rsidR="00743C20" w:rsidRPr="00ED2820" w:rsidRDefault="00743C20" w:rsidP="00743C20">
      <w:pPr>
        <w:rPr>
          <w:sz w:val="36"/>
        </w:rPr>
      </w:pPr>
    </w:p>
    <w:p w:rsidR="00743C20" w:rsidRPr="002F17B5" w:rsidRDefault="00286D86" w:rsidP="005855CE">
      <w:pPr>
        <w:pStyle w:val="Heading3-numbered"/>
        <w:rPr>
          <w:i w:val="0"/>
          <w:sz w:val="26"/>
        </w:rPr>
      </w:pPr>
      <w:r w:rsidRPr="002F17B5">
        <w:rPr>
          <w:i w:val="0"/>
          <w:sz w:val="26"/>
        </w:rPr>
        <w:t xml:space="preserve">  Unusable Reserves</w:t>
      </w:r>
    </w:p>
    <w:p w:rsidR="00E15957" w:rsidRPr="002F17B5" w:rsidRDefault="00E15957" w:rsidP="00E15957">
      <w:pPr>
        <w:pStyle w:val="Heading3-numbered"/>
        <w:numPr>
          <w:ilvl w:val="0"/>
          <w:numId w:val="0"/>
        </w:numPr>
        <w:ind w:left="644" w:hanging="360"/>
        <w:rPr>
          <w:rFonts w:eastAsia="Calibri" w:cs="Helvetica-Light"/>
          <w:b w:val="0"/>
          <w:bCs w:val="0"/>
          <w:i w:val="0"/>
          <w:color w:val="000000"/>
          <w:sz w:val="24"/>
          <w:szCs w:val="24"/>
        </w:rPr>
      </w:pPr>
      <w:r w:rsidRPr="002F17B5">
        <w:rPr>
          <w:rFonts w:eastAsia="Calibri" w:cs="Helvetica-Light"/>
          <w:b w:val="0"/>
          <w:bCs w:val="0"/>
          <w:i w:val="0"/>
          <w:color w:val="000000"/>
          <w:sz w:val="24"/>
          <w:szCs w:val="24"/>
        </w:rPr>
        <w:t>The table below gives detail of the county council's unusable reserves:</w:t>
      </w:r>
    </w:p>
    <w:p w:rsidR="00E15957" w:rsidRPr="002F17B5" w:rsidRDefault="00E15957" w:rsidP="00E15957">
      <w:pPr>
        <w:pStyle w:val="Heading3-numbered"/>
        <w:numPr>
          <w:ilvl w:val="0"/>
          <w:numId w:val="0"/>
        </w:numPr>
        <w:ind w:left="644" w:hanging="360"/>
        <w:rPr>
          <w:rFonts w:eastAsia="Calibri" w:cs="Helvetica-Light"/>
          <w:b w:val="0"/>
          <w:bCs w:val="0"/>
          <w:i w:val="0"/>
          <w:color w:val="000000"/>
          <w:sz w:val="18"/>
          <w:szCs w:val="24"/>
        </w:rPr>
      </w:pPr>
    </w:p>
    <w:tbl>
      <w:tblPr>
        <w:tblW w:w="8647" w:type="dxa"/>
        <w:tblInd w:w="817" w:type="dxa"/>
        <w:tblLook w:val="04A0" w:firstRow="1" w:lastRow="0" w:firstColumn="1" w:lastColumn="0" w:noHBand="0" w:noVBand="1"/>
      </w:tblPr>
      <w:tblGrid>
        <w:gridCol w:w="5812"/>
        <w:gridCol w:w="1151"/>
        <w:gridCol w:w="1751"/>
      </w:tblGrid>
      <w:tr w:rsidR="00E15957" w:rsidRPr="002F17B5" w:rsidTr="00E15957">
        <w:trPr>
          <w:trHeight w:val="315"/>
        </w:trPr>
        <w:tc>
          <w:tcPr>
            <w:tcW w:w="5812" w:type="dxa"/>
            <w:tcBorders>
              <w:top w:val="nil"/>
              <w:left w:val="nil"/>
              <w:bottom w:val="nil"/>
              <w:right w:val="nil"/>
            </w:tcBorders>
            <w:shd w:val="clear" w:color="auto" w:fill="auto"/>
            <w:noWrap/>
            <w:vAlign w:val="bottom"/>
            <w:hideMark/>
          </w:tcPr>
          <w:p w:rsidR="00E15957" w:rsidRPr="002F17B5" w:rsidRDefault="00E15957" w:rsidP="008778FF">
            <w:pPr>
              <w:autoSpaceDE/>
              <w:autoSpaceDN/>
              <w:adjustRightInd/>
              <w:spacing w:before="40" w:after="100"/>
              <w:jc w:val="left"/>
              <w:rPr>
                <w:rFonts w:eastAsia="Times New Roman" w:cs="Arial"/>
                <w:lang w:eastAsia="en-GB"/>
              </w:rPr>
            </w:pPr>
          </w:p>
        </w:tc>
        <w:tc>
          <w:tcPr>
            <w:tcW w:w="1084" w:type="dxa"/>
            <w:tcBorders>
              <w:top w:val="nil"/>
              <w:left w:val="nil"/>
              <w:bottom w:val="nil"/>
              <w:right w:val="nil"/>
            </w:tcBorders>
            <w:shd w:val="clear" w:color="auto" w:fill="auto"/>
            <w:noWrap/>
            <w:vAlign w:val="bottom"/>
            <w:hideMark/>
          </w:tcPr>
          <w:p w:rsidR="00E15957" w:rsidRPr="002F17B5" w:rsidRDefault="00675319" w:rsidP="008778FF">
            <w:pPr>
              <w:autoSpaceDE/>
              <w:autoSpaceDN/>
              <w:adjustRightInd/>
              <w:spacing w:before="40" w:after="100"/>
              <w:jc w:val="center"/>
              <w:rPr>
                <w:rFonts w:eastAsia="Times New Roman" w:cs="Arial"/>
                <w:b/>
                <w:bCs/>
                <w:lang w:eastAsia="en-GB"/>
              </w:rPr>
            </w:pPr>
            <w:r w:rsidRPr="002F17B5">
              <w:rPr>
                <w:rFonts w:eastAsia="Times New Roman" w:cs="Arial"/>
                <w:b/>
                <w:bCs/>
                <w:lang w:eastAsia="en-GB"/>
              </w:rPr>
              <w:t>31/03/14</w:t>
            </w:r>
          </w:p>
        </w:tc>
        <w:tc>
          <w:tcPr>
            <w:tcW w:w="1751" w:type="dxa"/>
            <w:tcBorders>
              <w:top w:val="nil"/>
              <w:left w:val="nil"/>
              <w:bottom w:val="nil"/>
              <w:right w:val="nil"/>
            </w:tcBorders>
            <w:shd w:val="clear" w:color="auto" w:fill="auto"/>
            <w:noWrap/>
            <w:vAlign w:val="bottom"/>
            <w:hideMark/>
          </w:tcPr>
          <w:p w:rsidR="00E15957" w:rsidRPr="002F17B5" w:rsidRDefault="00675319" w:rsidP="008778FF">
            <w:pPr>
              <w:autoSpaceDE/>
              <w:autoSpaceDN/>
              <w:adjustRightInd/>
              <w:spacing w:before="40" w:after="100"/>
              <w:ind w:left="510"/>
              <w:jc w:val="center"/>
              <w:rPr>
                <w:rFonts w:eastAsia="Times New Roman" w:cs="Arial"/>
                <w:b/>
                <w:bCs/>
                <w:lang w:eastAsia="en-GB"/>
              </w:rPr>
            </w:pPr>
            <w:r w:rsidRPr="002F17B5">
              <w:rPr>
                <w:rFonts w:eastAsia="Times New Roman" w:cs="Arial"/>
                <w:b/>
                <w:bCs/>
                <w:lang w:eastAsia="en-GB"/>
              </w:rPr>
              <w:t>31/03/13</w:t>
            </w:r>
          </w:p>
        </w:tc>
      </w:tr>
      <w:tr w:rsidR="00E15957" w:rsidRPr="002F17B5" w:rsidTr="00E15957">
        <w:trPr>
          <w:trHeight w:val="315"/>
        </w:trPr>
        <w:tc>
          <w:tcPr>
            <w:tcW w:w="5812" w:type="dxa"/>
            <w:tcBorders>
              <w:top w:val="nil"/>
              <w:left w:val="nil"/>
              <w:bottom w:val="nil"/>
              <w:right w:val="nil"/>
            </w:tcBorders>
            <w:shd w:val="clear" w:color="auto" w:fill="auto"/>
            <w:noWrap/>
            <w:vAlign w:val="bottom"/>
            <w:hideMark/>
          </w:tcPr>
          <w:p w:rsidR="00E15957" w:rsidRPr="002F17B5" w:rsidRDefault="00E15957" w:rsidP="008778FF">
            <w:pPr>
              <w:autoSpaceDE/>
              <w:autoSpaceDN/>
              <w:adjustRightInd/>
              <w:spacing w:before="40" w:after="100"/>
              <w:jc w:val="left"/>
              <w:rPr>
                <w:rFonts w:eastAsia="Times New Roman" w:cs="Arial"/>
                <w:lang w:eastAsia="en-GB"/>
              </w:rPr>
            </w:pPr>
          </w:p>
        </w:tc>
        <w:tc>
          <w:tcPr>
            <w:tcW w:w="1084" w:type="dxa"/>
            <w:tcBorders>
              <w:top w:val="nil"/>
              <w:left w:val="nil"/>
              <w:bottom w:val="nil"/>
              <w:right w:val="nil"/>
            </w:tcBorders>
            <w:shd w:val="clear" w:color="auto" w:fill="auto"/>
            <w:noWrap/>
            <w:vAlign w:val="bottom"/>
            <w:hideMark/>
          </w:tcPr>
          <w:p w:rsidR="00E15957" w:rsidRPr="002F17B5" w:rsidRDefault="00E15957" w:rsidP="008778FF">
            <w:pPr>
              <w:autoSpaceDE/>
              <w:autoSpaceDN/>
              <w:adjustRightInd/>
              <w:spacing w:before="40" w:after="100"/>
              <w:jc w:val="center"/>
              <w:rPr>
                <w:rFonts w:eastAsia="Times New Roman" w:cs="Arial"/>
                <w:b/>
                <w:bCs/>
                <w:lang w:eastAsia="en-GB"/>
              </w:rPr>
            </w:pPr>
            <w:r w:rsidRPr="002F17B5">
              <w:rPr>
                <w:rFonts w:eastAsia="Times New Roman" w:cs="Arial"/>
                <w:b/>
                <w:bCs/>
                <w:lang w:eastAsia="en-GB"/>
              </w:rPr>
              <w:t>£m</w:t>
            </w:r>
          </w:p>
        </w:tc>
        <w:tc>
          <w:tcPr>
            <w:tcW w:w="1751" w:type="dxa"/>
            <w:tcBorders>
              <w:top w:val="nil"/>
              <w:left w:val="nil"/>
              <w:bottom w:val="nil"/>
              <w:right w:val="nil"/>
            </w:tcBorders>
            <w:shd w:val="clear" w:color="auto" w:fill="auto"/>
            <w:noWrap/>
            <w:vAlign w:val="bottom"/>
            <w:hideMark/>
          </w:tcPr>
          <w:p w:rsidR="00E15957" w:rsidRPr="002F17B5" w:rsidRDefault="00E15957" w:rsidP="008778FF">
            <w:pPr>
              <w:autoSpaceDE/>
              <w:autoSpaceDN/>
              <w:adjustRightInd/>
              <w:spacing w:before="40" w:after="100"/>
              <w:ind w:left="567"/>
              <w:jc w:val="center"/>
              <w:rPr>
                <w:rFonts w:eastAsia="Times New Roman" w:cs="Arial"/>
                <w:b/>
                <w:bCs/>
                <w:lang w:eastAsia="en-GB"/>
              </w:rPr>
            </w:pPr>
            <w:r w:rsidRPr="002F17B5">
              <w:rPr>
                <w:rFonts w:eastAsia="Times New Roman" w:cs="Arial"/>
                <w:b/>
                <w:bCs/>
                <w:lang w:eastAsia="en-GB"/>
              </w:rPr>
              <w:t>£m</w:t>
            </w:r>
          </w:p>
        </w:tc>
      </w:tr>
      <w:tr w:rsidR="00E15957" w:rsidRPr="002F17B5" w:rsidTr="00E15957">
        <w:trPr>
          <w:trHeight w:val="300"/>
        </w:trPr>
        <w:tc>
          <w:tcPr>
            <w:tcW w:w="5812" w:type="dxa"/>
            <w:tcBorders>
              <w:top w:val="nil"/>
              <w:left w:val="nil"/>
              <w:bottom w:val="nil"/>
              <w:right w:val="nil"/>
            </w:tcBorders>
            <w:shd w:val="clear" w:color="auto" w:fill="auto"/>
            <w:vAlign w:val="bottom"/>
            <w:hideMark/>
          </w:tcPr>
          <w:p w:rsidR="00E15957" w:rsidRPr="002F17B5" w:rsidRDefault="00E15957" w:rsidP="008778FF">
            <w:pPr>
              <w:autoSpaceDE/>
              <w:autoSpaceDN/>
              <w:adjustRightInd/>
              <w:spacing w:before="40" w:after="100"/>
              <w:jc w:val="left"/>
              <w:rPr>
                <w:rFonts w:eastAsia="Times New Roman" w:cs="Arial"/>
                <w:lang w:eastAsia="en-GB"/>
              </w:rPr>
            </w:pPr>
            <w:r w:rsidRPr="002F17B5">
              <w:rPr>
                <w:rFonts w:eastAsia="Times New Roman" w:cs="Arial"/>
                <w:lang w:eastAsia="en-GB"/>
              </w:rPr>
              <w:t>Revaluation Reserve</w:t>
            </w:r>
          </w:p>
        </w:tc>
        <w:tc>
          <w:tcPr>
            <w:tcW w:w="1084"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(665.0)</w:t>
            </w:r>
          </w:p>
        </w:tc>
        <w:tc>
          <w:tcPr>
            <w:tcW w:w="1751"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(663.2)</w:t>
            </w:r>
          </w:p>
        </w:tc>
      </w:tr>
      <w:tr w:rsidR="00E15957" w:rsidRPr="002F17B5" w:rsidTr="00E15957">
        <w:trPr>
          <w:trHeight w:val="300"/>
        </w:trPr>
        <w:tc>
          <w:tcPr>
            <w:tcW w:w="5812" w:type="dxa"/>
            <w:tcBorders>
              <w:top w:val="nil"/>
              <w:left w:val="nil"/>
              <w:bottom w:val="nil"/>
              <w:right w:val="nil"/>
            </w:tcBorders>
            <w:shd w:val="clear" w:color="auto" w:fill="auto"/>
            <w:vAlign w:val="bottom"/>
            <w:hideMark/>
          </w:tcPr>
          <w:p w:rsidR="00E15957" w:rsidRPr="002F17B5" w:rsidRDefault="00E15957" w:rsidP="008778FF">
            <w:pPr>
              <w:autoSpaceDE/>
              <w:autoSpaceDN/>
              <w:adjustRightInd/>
              <w:spacing w:before="40" w:after="100"/>
              <w:jc w:val="left"/>
              <w:rPr>
                <w:rFonts w:eastAsia="Times New Roman" w:cs="Arial"/>
                <w:lang w:eastAsia="en-GB"/>
              </w:rPr>
            </w:pPr>
            <w:r w:rsidRPr="002F17B5">
              <w:rPr>
                <w:rFonts w:eastAsia="Times New Roman" w:cs="Arial"/>
                <w:lang w:eastAsia="en-GB"/>
              </w:rPr>
              <w:t>Capital Adjustment Account</w:t>
            </w:r>
          </w:p>
        </w:tc>
        <w:tc>
          <w:tcPr>
            <w:tcW w:w="1084"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(999.8)</w:t>
            </w:r>
          </w:p>
        </w:tc>
        <w:tc>
          <w:tcPr>
            <w:tcW w:w="1751"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(930.2)</w:t>
            </w:r>
          </w:p>
        </w:tc>
      </w:tr>
      <w:tr w:rsidR="00E15957" w:rsidRPr="002F17B5" w:rsidTr="00E15957">
        <w:trPr>
          <w:trHeight w:val="300"/>
        </w:trPr>
        <w:tc>
          <w:tcPr>
            <w:tcW w:w="5812" w:type="dxa"/>
            <w:tcBorders>
              <w:top w:val="nil"/>
              <w:left w:val="nil"/>
              <w:bottom w:val="nil"/>
              <w:right w:val="nil"/>
            </w:tcBorders>
            <w:shd w:val="clear" w:color="auto" w:fill="auto"/>
            <w:vAlign w:val="bottom"/>
            <w:hideMark/>
          </w:tcPr>
          <w:p w:rsidR="00E15957" w:rsidRPr="002F17B5" w:rsidRDefault="00E15957" w:rsidP="008778FF">
            <w:pPr>
              <w:autoSpaceDE/>
              <w:autoSpaceDN/>
              <w:adjustRightInd/>
              <w:spacing w:before="40" w:after="100"/>
              <w:jc w:val="left"/>
              <w:rPr>
                <w:rFonts w:eastAsia="Times New Roman" w:cs="Arial"/>
                <w:lang w:eastAsia="en-GB"/>
              </w:rPr>
            </w:pPr>
            <w:r w:rsidRPr="002F17B5">
              <w:rPr>
                <w:rFonts w:eastAsia="Times New Roman" w:cs="Arial"/>
                <w:lang w:eastAsia="en-GB"/>
              </w:rPr>
              <w:t>Available for Sale Financial Instruments Reserve</w:t>
            </w:r>
          </w:p>
        </w:tc>
        <w:tc>
          <w:tcPr>
            <w:tcW w:w="1084"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27.4</w:t>
            </w:r>
          </w:p>
        </w:tc>
        <w:tc>
          <w:tcPr>
            <w:tcW w:w="1751"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1.1</w:t>
            </w:r>
          </w:p>
        </w:tc>
      </w:tr>
      <w:tr w:rsidR="00E15957" w:rsidRPr="002F17B5" w:rsidTr="00E15957">
        <w:trPr>
          <w:trHeight w:val="300"/>
        </w:trPr>
        <w:tc>
          <w:tcPr>
            <w:tcW w:w="5812" w:type="dxa"/>
            <w:tcBorders>
              <w:top w:val="nil"/>
              <w:left w:val="nil"/>
              <w:bottom w:val="nil"/>
              <w:right w:val="nil"/>
            </w:tcBorders>
            <w:shd w:val="clear" w:color="auto" w:fill="auto"/>
            <w:vAlign w:val="bottom"/>
            <w:hideMark/>
          </w:tcPr>
          <w:p w:rsidR="00E15957" w:rsidRPr="002F17B5" w:rsidRDefault="00E15957" w:rsidP="008778FF">
            <w:pPr>
              <w:autoSpaceDE/>
              <w:autoSpaceDN/>
              <w:adjustRightInd/>
              <w:spacing w:before="40" w:after="100"/>
              <w:jc w:val="left"/>
              <w:rPr>
                <w:rFonts w:eastAsia="Times New Roman" w:cs="Arial"/>
                <w:lang w:eastAsia="en-GB"/>
              </w:rPr>
            </w:pPr>
            <w:r w:rsidRPr="002F17B5">
              <w:rPr>
                <w:rFonts w:eastAsia="Times New Roman" w:cs="Arial"/>
                <w:lang w:eastAsia="en-GB"/>
              </w:rPr>
              <w:t>Financial Instruments Adjustment Account</w:t>
            </w:r>
          </w:p>
        </w:tc>
        <w:tc>
          <w:tcPr>
            <w:tcW w:w="1084"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27.1</w:t>
            </w:r>
          </w:p>
        </w:tc>
        <w:tc>
          <w:tcPr>
            <w:tcW w:w="1751"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29.6</w:t>
            </w:r>
          </w:p>
        </w:tc>
      </w:tr>
      <w:tr w:rsidR="00E15957" w:rsidRPr="002F17B5" w:rsidTr="00E15957">
        <w:trPr>
          <w:trHeight w:val="300"/>
        </w:trPr>
        <w:tc>
          <w:tcPr>
            <w:tcW w:w="5812" w:type="dxa"/>
            <w:tcBorders>
              <w:top w:val="nil"/>
              <w:left w:val="nil"/>
              <w:bottom w:val="nil"/>
              <w:right w:val="nil"/>
            </w:tcBorders>
            <w:shd w:val="clear" w:color="auto" w:fill="auto"/>
            <w:vAlign w:val="bottom"/>
            <w:hideMark/>
          </w:tcPr>
          <w:p w:rsidR="00E15957" w:rsidRPr="002F17B5" w:rsidRDefault="00E15957" w:rsidP="008778FF">
            <w:pPr>
              <w:autoSpaceDE/>
              <w:autoSpaceDN/>
              <w:adjustRightInd/>
              <w:spacing w:before="40" w:after="100"/>
              <w:jc w:val="left"/>
              <w:rPr>
                <w:rFonts w:eastAsia="Times New Roman" w:cs="Arial"/>
                <w:lang w:eastAsia="en-GB"/>
              </w:rPr>
            </w:pPr>
            <w:r w:rsidRPr="002F17B5">
              <w:rPr>
                <w:rFonts w:eastAsia="Times New Roman" w:cs="Arial"/>
                <w:lang w:eastAsia="en-GB"/>
              </w:rPr>
              <w:t>Pension Reserve</w:t>
            </w:r>
          </w:p>
        </w:tc>
        <w:tc>
          <w:tcPr>
            <w:tcW w:w="1084"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905.1</w:t>
            </w:r>
          </w:p>
        </w:tc>
        <w:tc>
          <w:tcPr>
            <w:tcW w:w="1751"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1,127.1</w:t>
            </w:r>
          </w:p>
        </w:tc>
      </w:tr>
      <w:tr w:rsidR="00E15957" w:rsidRPr="002F17B5" w:rsidTr="00E15957">
        <w:trPr>
          <w:trHeight w:val="300"/>
        </w:trPr>
        <w:tc>
          <w:tcPr>
            <w:tcW w:w="5812" w:type="dxa"/>
            <w:tcBorders>
              <w:top w:val="nil"/>
              <w:left w:val="nil"/>
              <w:bottom w:val="nil"/>
              <w:right w:val="nil"/>
            </w:tcBorders>
            <w:shd w:val="clear" w:color="auto" w:fill="auto"/>
            <w:vAlign w:val="bottom"/>
            <w:hideMark/>
          </w:tcPr>
          <w:p w:rsidR="00E15957" w:rsidRPr="002F17B5" w:rsidRDefault="00E15957" w:rsidP="008778FF">
            <w:pPr>
              <w:autoSpaceDE/>
              <w:autoSpaceDN/>
              <w:adjustRightInd/>
              <w:spacing w:before="40" w:after="100"/>
              <w:jc w:val="left"/>
              <w:rPr>
                <w:rFonts w:eastAsia="Times New Roman" w:cs="Arial"/>
                <w:lang w:eastAsia="en-GB"/>
              </w:rPr>
            </w:pPr>
            <w:r w:rsidRPr="002F17B5">
              <w:rPr>
                <w:rFonts w:eastAsia="Times New Roman" w:cs="Arial"/>
                <w:lang w:eastAsia="en-GB"/>
              </w:rPr>
              <w:t>Collection Fund Adjustment Account</w:t>
            </w:r>
          </w:p>
        </w:tc>
        <w:tc>
          <w:tcPr>
            <w:tcW w:w="1084"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(2.8)</w:t>
            </w:r>
          </w:p>
        </w:tc>
        <w:tc>
          <w:tcPr>
            <w:tcW w:w="1751"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(0.3)</w:t>
            </w:r>
          </w:p>
        </w:tc>
      </w:tr>
      <w:tr w:rsidR="00E15957" w:rsidRPr="002F17B5" w:rsidTr="00E15957">
        <w:trPr>
          <w:trHeight w:val="300"/>
        </w:trPr>
        <w:tc>
          <w:tcPr>
            <w:tcW w:w="5812" w:type="dxa"/>
            <w:tcBorders>
              <w:top w:val="nil"/>
              <w:left w:val="nil"/>
              <w:bottom w:val="nil"/>
              <w:right w:val="nil"/>
            </w:tcBorders>
            <w:shd w:val="clear" w:color="auto" w:fill="auto"/>
            <w:vAlign w:val="bottom"/>
            <w:hideMark/>
          </w:tcPr>
          <w:p w:rsidR="00E15957" w:rsidRPr="002F17B5" w:rsidRDefault="00E15957" w:rsidP="008778FF">
            <w:pPr>
              <w:autoSpaceDE/>
              <w:autoSpaceDN/>
              <w:adjustRightInd/>
              <w:spacing w:before="40" w:after="100"/>
              <w:jc w:val="left"/>
              <w:rPr>
                <w:rFonts w:eastAsia="Times New Roman" w:cs="Arial"/>
                <w:lang w:eastAsia="en-GB"/>
              </w:rPr>
            </w:pPr>
            <w:r w:rsidRPr="002F17B5">
              <w:rPr>
                <w:rFonts w:eastAsia="Times New Roman" w:cs="Arial"/>
                <w:lang w:eastAsia="en-GB"/>
              </w:rPr>
              <w:t>Accumulated Absences Account</w:t>
            </w:r>
          </w:p>
        </w:tc>
        <w:tc>
          <w:tcPr>
            <w:tcW w:w="1084"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29.7</w:t>
            </w:r>
          </w:p>
        </w:tc>
        <w:tc>
          <w:tcPr>
            <w:tcW w:w="1751" w:type="dxa"/>
            <w:tcBorders>
              <w:top w:val="nil"/>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lang w:eastAsia="en-GB"/>
              </w:rPr>
            </w:pPr>
            <w:r w:rsidRPr="002F17B5">
              <w:rPr>
                <w:rFonts w:eastAsia="Times New Roman" w:cs="Arial"/>
                <w:lang w:eastAsia="en-GB"/>
              </w:rPr>
              <w:t>29.1</w:t>
            </w:r>
          </w:p>
        </w:tc>
      </w:tr>
      <w:tr w:rsidR="00E15957" w:rsidRPr="002F17B5" w:rsidTr="006C63C2">
        <w:trPr>
          <w:trHeight w:val="315"/>
        </w:trPr>
        <w:tc>
          <w:tcPr>
            <w:tcW w:w="5812" w:type="dxa"/>
            <w:tcBorders>
              <w:top w:val="nil"/>
              <w:left w:val="nil"/>
              <w:bottom w:val="nil"/>
              <w:right w:val="nil"/>
            </w:tcBorders>
            <w:shd w:val="clear" w:color="auto" w:fill="auto"/>
            <w:vAlign w:val="bottom"/>
            <w:hideMark/>
          </w:tcPr>
          <w:p w:rsidR="00E15957" w:rsidRPr="002F17B5" w:rsidRDefault="00E15957" w:rsidP="008778FF">
            <w:pPr>
              <w:autoSpaceDE/>
              <w:autoSpaceDN/>
              <w:adjustRightInd/>
              <w:spacing w:before="40" w:after="100"/>
              <w:jc w:val="left"/>
              <w:rPr>
                <w:rFonts w:eastAsia="Times New Roman" w:cs="Arial"/>
                <w:b/>
                <w:bCs/>
                <w:lang w:eastAsia="en-GB"/>
              </w:rPr>
            </w:pPr>
            <w:r w:rsidRPr="002F17B5">
              <w:rPr>
                <w:rFonts w:eastAsia="Times New Roman" w:cs="Arial"/>
                <w:b/>
                <w:bCs/>
                <w:lang w:eastAsia="en-GB"/>
              </w:rPr>
              <w:t>Total Unusable Reserves</w:t>
            </w:r>
          </w:p>
        </w:tc>
        <w:tc>
          <w:tcPr>
            <w:tcW w:w="1084" w:type="dxa"/>
            <w:tcBorders>
              <w:top w:val="single" w:sz="4" w:space="0" w:color="auto"/>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b/>
                <w:bCs/>
                <w:lang w:eastAsia="en-GB"/>
              </w:rPr>
            </w:pPr>
            <w:r w:rsidRPr="002F17B5">
              <w:rPr>
                <w:rFonts w:eastAsia="Times New Roman" w:cs="Arial"/>
                <w:b/>
                <w:bCs/>
                <w:lang w:eastAsia="en-GB"/>
              </w:rPr>
              <w:t>(678.3)</w:t>
            </w:r>
          </w:p>
        </w:tc>
        <w:tc>
          <w:tcPr>
            <w:tcW w:w="1751" w:type="dxa"/>
            <w:tcBorders>
              <w:top w:val="single" w:sz="4" w:space="0" w:color="auto"/>
              <w:left w:val="nil"/>
              <w:bottom w:val="nil"/>
              <w:right w:val="nil"/>
            </w:tcBorders>
            <w:shd w:val="clear" w:color="auto" w:fill="auto"/>
            <w:noWrap/>
            <w:vAlign w:val="bottom"/>
            <w:hideMark/>
          </w:tcPr>
          <w:p w:rsidR="001D73DF" w:rsidRPr="002F17B5" w:rsidRDefault="00E15957" w:rsidP="008778FF">
            <w:pPr>
              <w:autoSpaceDE/>
              <w:autoSpaceDN/>
              <w:adjustRightInd/>
              <w:spacing w:before="40" w:after="100"/>
              <w:jc w:val="right"/>
              <w:rPr>
                <w:rFonts w:eastAsia="Times New Roman" w:cs="Arial"/>
                <w:b/>
                <w:bCs/>
                <w:lang w:eastAsia="en-GB"/>
              </w:rPr>
            </w:pPr>
            <w:r w:rsidRPr="002F17B5">
              <w:rPr>
                <w:rFonts w:eastAsia="Times New Roman" w:cs="Arial"/>
                <w:b/>
                <w:bCs/>
                <w:lang w:eastAsia="en-GB"/>
              </w:rPr>
              <w:t>(406.8)</w:t>
            </w:r>
          </w:p>
        </w:tc>
      </w:tr>
    </w:tbl>
    <w:p w:rsidR="00785E69" w:rsidRPr="002F17B5" w:rsidRDefault="00785E69" w:rsidP="00E15957">
      <w:pPr>
        <w:pStyle w:val="Heading3-numbered"/>
        <w:numPr>
          <w:ilvl w:val="0"/>
          <w:numId w:val="0"/>
        </w:numPr>
        <w:ind w:left="644" w:hanging="360"/>
        <w:rPr>
          <w:i w:val="0"/>
          <w:sz w:val="26"/>
        </w:rPr>
      </w:pPr>
    </w:p>
    <w:p w:rsidR="0016132A" w:rsidRDefault="0016132A" w:rsidP="00E15957">
      <w:pPr>
        <w:pStyle w:val="Heading3-numbered"/>
        <w:numPr>
          <w:ilvl w:val="0"/>
          <w:numId w:val="0"/>
        </w:numPr>
        <w:ind w:left="644" w:hanging="360"/>
        <w:rPr>
          <w:i w:val="0"/>
          <w:sz w:val="26"/>
        </w:rPr>
      </w:pPr>
    </w:p>
    <w:p w:rsidR="00ED2820" w:rsidRDefault="00ED2820">
      <w:pPr>
        <w:autoSpaceDE/>
        <w:autoSpaceDN/>
        <w:adjustRightInd/>
        <w:spacing w:after="20"/>
        <w:jc w:val="right"/>
        <w:rPr>
          <w:rFonts w:eastAsia="Times New Roman" w:cs="Arial"/>
          <w:b/>
          <w:bCs/>
          <w:color w:val="auto"/>
          <w:sz w:val="26"/>
          <w:szCs w:val="28"/>
        </w:rPr>
      </w:pPr>
    </w:p>
    <w:p w:rsidR="00743C20" w:rsidRPr="002F17B5" w:rsidRDefault="00743C20" w:rsidP="005E5B6D">
      <w:pPr>
        <w:spacing w:after="240"/>
        <w:ind w:left="284"/>
        <w:rPr>
          <w:b/>
        </w:rPr>
      </w:pPr>
      <w:r w:rsidRPr="002F17B5">
        <w:rPr>
          <w:b/>
        </w:rPr>
        <w:t xml:space="preserve">Revaluation Reserve </w:t>
      </w:r>
    </w:p>
    <w:p w:rsidR="00743C20" w:rsidRPr="002F17B5" w:rsidRDefault="00743C20" w:rsidP="005E5B6D">
      <w:pPr>
        <w:spacing w:after="240"/>
        <w:ind w:left="284"/>
      </w:pPr>
      <w:r w:rsidRPr="002F17B5">
        <w:t>The revaluation reserve contains the gains made by the council arising from increases in the value of its property, plant and equipment and intangible assets.  The balance is reduced when assets with accumulated gains are:</w:t>
      </w:r>
    </w:p>
    <w:p w:rsidR="00B70B4B" w:rsidRPr="002F17B5" w:rsidRDefault="00743C20" w:rsidP="0016132A">
      <w:pPr>
        <w:numPr>
          <w:ilvl w:val="0"/>
          <w:numId w:val="45"/>
        </w:numPr>
        <w:autoSpaceDE/>
        <w:autoSpaceDN/>
        <w:adjustRightInd/>
        <w:spacing w:before="0" w:after="60"/>
        <w:ind w:left="284" w:firstLine="0"/>
      </w:pPr>
      <w:r w:rsidRPr="002F17B5">
        <w:t>revalued downwards or impaired and the gains are lost</w:t>
      </w:r>
    </w:p>
    <w:p w:rsidR="00B70B4B" w:rsidRPr="002F17B5" w:rsidRDefault="00743C20" w:rsidP="0016132A">
      <w:pPr>
        <w:numPr>
          <w:ilvl w:val="0"/>
          <w:numId w:val="45"/>
        </w:numPr>
        <w:autoSpaceDE/>
        <w:autoSpaceDN/>
        <w:adjustRightInd/>
        <w:spacing w:before="0" w:after="60"/>
        <w:ind w:left="284" w:firstLine="0"/>
      </w:pPr>
      <w:r w:rsidRPr="002F17B5">
        <w:t>used in the provision of services and the gains are consumed through depreciation, or</w:t>
      </w:r>
    </w:p>
    <w:p w:rsidR="00B70B4B" w:rsidRPr="002F17B5" w:rsidRDefault="00743C20" w:rsidP="0016132A">
      <w:pPr>
        <w:numPr>
          <w:ilvl w:val="0"/>
          <w:numId w:val="45"/>
        </w:numPr>
        <w:autoSpaceDE/>
        <w:autoSpaceDN/>
        <w:adjustRightInd/>
        <w:spacing w:before="0" w:after="60"/>
        <w:ind w:left="284" w:firstLine="0"/>
      </w:pPr>
      <w:r w:rsidRPr="002F17B5">
        <w:t>disposed of and the gains are realised.</w:t>
      </w:r>
    </w:p>
    <w:p w:rsidR="005E5B6D" w:rsidRPr="008778FF" w:rsidRDefault="005E5B6D" w:rsidP="005E5B6D">
      <w:pPr>
        <w:autoSpaceDE/>
        <w:autoSpaceDN/>
        <w:adjustRightInd/>
        <w:spacing w:before="0" w:after="240"/>
        <w:ind w:left="284"/>
        <w:rPr>
          <w:sz w:val="12"/>
        </w:rPr>
      </w:pPr>
    </w:p>
    <w:p w:rsidR="00743C20" w:rsidRDefault="00743C20" w:rsidP="005E5B6D">
      <w:pPr>
        <w:ind w:left="284"/>
      </w:pPr>
      <w:r w:rsidRPr="002F17B5">
        <w:t>The revaluation reserve contains only revaluation gains accumulated since 1</w:t>
      </w:r>
      <w:r w:rsidR="003E0ABD" w:rsidRPr="002F17B5">
        <w:t xml:space="preserve"> April 2007, the date that the r</w:t>
      </w:r>
      <w:r w:rsidRPr="002F17B5">
        <w:t xml:space="preserve">eserve was created. Accumulated gains arising before that date are consolidated into the balance on the Capital Adjustment Account.  </w:t>
      </w:r>
    </w:p>
    <w:p w:rsidR="008778FF" w:rsidRDefault="008778FF" w:rsidP="005E5B6D">
      <w:pPr>
        <w:ind w:left="284"/>
      </w:pPr>
    </w:p>
    <w:p w:rsidR="008778FF" w:rsidRPr="002F17B5" w:rsidRDefault="008778FF" w:rsidP="005E5B6D">
      <w:pPr>
        <w:ind w:left="284"/>
      </w:pPr>
    </w:p>
    <w:p w:rsidR="005D4EBB" w:rsidRPr="002F17B5" w:rsidRDefault="005D4EBB" w:rsidP="005E5B6D">
      <w:pPr>
        <w:ind w:left="284"/>
      </w:pPr>
    </w:p>
    <w:tbl>
      <w:tblPr>
        <w:tblW w:w="0" w:type="auto"/>
        <w:jc w:val="center"/>
        <w:tblLook w:val="04A0" w:firstRow="1" w:lastRow="0" w:firstColumn="1" w:lastColumn="0" w:noHBand="0" w:noVBand="1"/>
      </w:tblPr>
      <w:tblGrid>
        <w:gridCol w:w="7142"/>
        <w:gridCol w:w="1417"/>
        <w:gridCol w:w="1731"/>
      </w:tblGrid>
      <w:tr w:rsidR="00743C20" w:rsidRPr="002F17B5" w:rsidTr="0016132A">
        <w:trPr>
          <w:jc w:val="center"/>
        </w:trPr>
        <w:tc>
          <w:tcPr>
            <w:tcW w:w="7142" w:type="dxa"/>
            <w:shd w:val="clear" w:color="auto" w:fill="FFFFFF" w:themeFill="background1"/>
          </w:tcPr>
          <w:p w:rsidR="00743C20" w:rsidRPr="002F17B5" w:rsidRDefault="00743C20" w:rsidP="0016132A">
            <w:pPr>
              <w:spacing w:after="80"/>
            </w:pPr>
          </w:p>
        </w:tc>
        <w:tc>
          <w:tcPr>
            <w:tcW w:w="1417" w:type="dxa"/>
            <w:shd w:val="clear" w:color="auto" w:fill="FFFFFF" w:themeFill="background1"/>
          </w:tcPr>
          <w:p w:rsidR="00743C20" w:rsidRPr="002F17B5" w:rsidRDefault="00675319" w:rsidP="0016132A">
            <w:pPr>
              <w:spacing w:after="80"/>
              <w:jc w:val="right"/>
              <w:rPr>
                <w:b/>
              </w:rPr>
            </w:pPr>
            <w:r w:rsidRPr="002F17B5">
              <w:rPr>
                <w:b/>
              </w:rPr>
              <w:t>2013/14</w:t>
            </w:r>
          </w:p>
        </w:tc>
        <w:tc>
          <w:tcPr>
            <w:tcW w:w="1731" w:type="dxa"/>
            <w:shd w:val="clear" w:color="auto" w:fill="FFFFFF" w:themeFill="background1"/>
          </w:tcPr>
          <w:p w:rsidR="00743C20" w:rsidRPr="002F17B5" w:rsidRDefault="00675319" w:rsidP="0016132A">
            <w:pPr>
              <w:spacing w:after="80"/>
              <w:ind w:right="113"/>
              <w:jc w:val="right"/>
              <w:rPr>
                <w:b/>
              </w:rPr>
            </w:pPr>
            <w:r w:rsidRPr="002F17B5">
              <w:rPr>
                <w:b/>
              </w:rPr>
              <w:t>2012/13</w:t>
            </w:r>
          </w:p>
        </w:tc>
      </w:tr>
      <w:tr w:rsidR="00743C20" w:rsidRPr="002F17B5" w:rsidTr="0016132A">
        <w:trPr>
          <w:jc w:val="center"/>
        </w:trPr>
        <w:tc>
          <w:tcPr>
            <w:tcW w:w="7142" w:type="dxa"/>
            <w:shd w:val="clear" w:color="auto" w:fill="FFFFFF" w:themeFill="background1"/>
          </w:tcPr>
          <w:p w:rsidR="00743C20" w:rsidRPr="002F17B5" w:rsidRDefault="00743C20" w:rsidP="0016132A">
            <w:pPr>
              <w:spacing w:after="80"/>
              <w:rPr>
                <w:sz w:val="18"/>
              </w:rPr>
            </w:pPr>
          </w:p>
        </w:tc>
        <w:tc>
          <w:tcPr>
            <w:tcW w:w="1417" w:type="dxa"/>
            <w:shd w:val="clear" w:color="auto" w:fill="FFFFFF" w:themeFill="background1"/>
          </w:tcPr>
          <w:p w:rsidR="00743C20" w:rsidRPr="002F17B5" w:rsidRDefault="00743C20" w:rsidP="0016132A">
            <w:pPr>
              <w:spacing w:after="80"/>
              <w:jc w:val="right"/>
              <w:rPr>
                <w:b/>
              </w:rPr>
            </w:pPr>
            <w:r w:rsidRPr="002F17B5">
              <w:rPr>
                <w:b/>
              </w:rPr>
              <w:t>£m</w:t>
            </w:r>
          </w:p>
        </w:tc>
        <w:tc>
          <w:tcPr>
            <w:tcW w:w="1731" w:type="dxa"/>
            <w:shd w:val="clear" w:color="auto" w:fill="FFFFFF" w:themeFill="background1"/>
          </w:tcPr>
          <w:p w:rsidR="00743C20" w:rsidRPr="002F17B5" w:rsidRDefault="00743C20" w:rsidP="0016132A">
            <w:pPr>
              <w:spacing w:after="80"/>
              <w:ind w:right="113"/>
              <w:jc w:val="right"/>
              <w:rPr>
                <w:b/>
              </w:rPr>
            </w:pPr>
            <w:r w:rsidRPr="002F17B5">
              <w:rPr>
                <w:b/>
              </w:rPr>
              <w:t>£m</w:t>
            </w:r>
          </w:p>
          <w:p w:rsidR="00545003" w:rsidRPr="002F17B5" w:rsidRDefault="00545003" w:rsidP="0016132A">
            <w:pPr>
              <w:spacing w:after="80"/>
              <w:ind w:right="113"/>
              <w:jc w:val="right"/>
              <w:rPr>
                <w:b/>
                <w:sz w:val="6"/>
              </w:rPr>
            </w:pPr>
          </w:p>
        </w:tc>
      </w:tr>
      <w:tr w:rsidR="005C42FF" w:rsidRPr="002F17B5" w:rsidTr="0016132A">
        <w:trPr>
          <w:jc w:val="center"/>
        </w:trPr>
        <w:tc>
          <w:tcPr>
            <w:tcW w:w="7142" w:type="dxa"/>
            <w:shd w:val="clear" w:color="auto" w:fill="FFFFFF" w:themeFill="background1"/>
          </w:tcPr>
          <w:p w:rsidR="005C42FF" w:rsidRPr="002F17B5" w:rsidRDefault="005C42FF" w:rsidP="0016132A">
            <w:pPr>
              <w:spacing w:after="80"/>
              <w:jc w:val="left"/>
              <w:rPr>
                <w:b/>
              </w:rPr>
            </w:pPr>
            <w:r w:rsidRPr="002F17B5">
              <w:rPr>
                <w:b/>
              </w:rPr>
              <w:t>Balance at 1 April</w:t>
            </w:r>
          </w:p>
        </w:tc>
        <w:tc>
          <w:tcPr>
            <w:tcW w:w="1417" w:type="dxa"/>
            <w:shd w:val="clear" w:color="auto" w:fill="FFFFFF" w:themeFill="background1"/>
            <w:vAlign w:val="center"/>
          </w:tcPr>
          <w:p w:rsidR="005C42FF" w:rsidRPr="002F17B5" w:rsidRDefault="00E15957" w:rsidP="0016132A">
            <w:pPr>
              <w:spacing w:after="80"/>
              <w:jc w:val="right"/>
              <w:rPr>
                <w:b/>
              </w:rPr>
            </w:pPr>
            <w:r w:rsidRPr="002F17B5">
              <w:rPr>
                <w:b/>
              </w:rPr>
              <w:t>(663.2)</w:t>
            </w:r>
          </w:p>
        </w:tc>
        <w:tc>
          <w:tcPr>
            <w:tcW w:w="1731" w:type="dxa"/>
            <w:shd w:val="clear" w:color="auto" w:fill="FFFFFF" w:themeFill="background1"/>
            <w:vAlign w:val="center"/>
          </w:tcPr>
          <w:p w:rsidR="005C42FF" w:rsidRPr="002F17B5" w:rsidRDefault="005C42FF" w:rsidP="0016132A">
            <w:pPr>
              <w:spacing w:after="80"/>
              <w:ind w:right="113"/>
              <w:jc w:val="right"/>
              <w:rPr>
                <w:b/>
              </w:rPr>
            </w:pPr>
            <w:r w:rsidRPr="002F17B5">
              <w:rPr>
                <w:b/>
              </w:rPr>
              <w:t>(718.7)</w:t>
            </w:r>
          </w:p>
        </w:tc>
      </w:tr>
      <w:tr w:rsidR="005C42FF" w:rsidRPr="002F17B5" w:rsidTr="0016132A">
        <w:trPr>
          <w:jc w:val="center"/>
        </w:trPr>
        <w:tc>
          <w:tcPr>
            <w:tcW w:w="7142" w:type="dxa"/>
            <w:shd w:val="clear" w:color="auto" w:fill="FFFFFF" w:themeFill="background1"/>
          </w:tcPr>
          <w:p w:rsidR="005C42FF" w:rsidRPr="002F17B5" w:rsidRDefault="005C42FF" w:rsidP="0016132A">
            <w:pPr>
              <w:spacing w:after="80"/>
              <w:jc w:val="left"/>
              <w:rPr>
                <w:sz w:val="2"/>
                <w:szCs w:val="2"/>
              </w:rPr>
            </w:pPr>
          </w:p>
        </w:tc>
        <w:tc>
          <w:tcPr>
            <w:tcW w:w="1417" w:type="dxa"/>
            <w:shd w:val="clear" w:color="auto" w:fill="FFFFFF" w:themeFill="background1"/>
            <w:vAlign w:val="center"/>
          </w:tcPr>
          <w:p w:rsidR="005C42FF" w:rsidRPr="002F17B5" w:rsidRDefault="005C42FF" w:rsidP="0016132A">
            <w:pPr>
              <w:spacing w:after="80"/>
              <w:jc w:val="right"/>
              <w:rPr>
                <w:sz w:val="2"/>
                <w:szCs w:val="2"/>
              </w:rPr>
            </w:pPr>
          </w:p>
        </w:tc>
        <w:tc>
          <w:tcPr>
            <w:tcW w:w="1731" w:type="dxa"/>
            <w:shd w:val="clear" w:color="auto" w:fill="FFFFFF" w:themeFill="background1"/>
            <w:vAlign w:val="center"/>
          </w:tcPr>
          <w:p w:rsidR="005C42FF" w:rsidRPr="002F17B5" w:rsidRDefault="005C42FF" w:rsidP="0016132A">
            <w:pPr>
              <w:spacing w:after="80"/>
              <w:ind w:right="113"/>
              <w:jc w:val="right"/>
              <w:rPr>
                <w:sz w:val="2"/>
                <w:szCs w:val="2"/>
              </w:rPr>
            </w:pPr>
          </w:p>
        </w:tc>
      </w:tr>
      <w:tr w:rsidR="005C42FF" w:rsidRPr="002F17B5" w:rsidTr="0016132A">
        <w:trPr>
          <w:jc w:val="center"/>
        </w:trPr>
        <w:tc>
          <w:tcPr>
            <w:tcW w:w="7142" w:type="dxa"/>
            <w:shd w:val="clear" w:color="auto" w:fill="FFFFFF" w:themeFill="background1"/>
          </w:tcPr>
          <w:p w:rsidR="005C42FF" w:rsidRPr="002F17B5" w:rsidRDefault="005C42FF" w:rsidP="0016132A">
            <w:pPr>
              <w:spacing w:after="80"/>
              <w:jc w:val="left"/>
            </w:pPr>
            <w:r w:rsidRPr="002F17B5">
              <w:t xml:space="preserve">Upward revaluation of assets </w:t>
            </w:r>
          </w:p>
        </w:tc>
        <w:tc>
          <w:tcPr>
            <w:tcW w:w="1417" w:type="dxa"/>
            <w:shd w:val="clear" w:color="auto" w:fill="FFFFFF" w:themeFill="background1"/>
            <w:vAlign w:val="center"/>
          </w:tcPr>
          <w:p w:rsidR="005C42FF" w:rsidRPr="002F17B5" w:rsidRDefault="00E15957" w:rsidP="0016132A">
            <w:pPr>
              <w:spacing w:after="80"/>
              <w:jc w:val="right"/>
            </w:pPr>
            <w:r w:rsidRPr="002F17B5">
              <w:t>(</w:t>
            </w:r>
            <w:r w:rsidR="00F70955" w:rsidRPr="002F17B5">
              <w:t>70.8</w:t>
            </w:r>
            <w:r w:rsidRPr="002F17B5">
              <w:t>)</w:t>
            </w:r>
          </w:p>
        </w:tc>
        <w:tc>
          <w:tcPr>
            <w:tcW w:w="1731" w:type="dxa"/>
            <w:shd w:val="clear" w:color="auto" w:fill="FFFFFF" w:themeFill="background1"/>
            <w:vAlign w:val="center"/>
          </w:tcPr>
          <w:p w:rsidR="005C42FF" w:rsidRPr="002F17B5" w:rsidRDefault="005C42FF" w:rsidP="0016132A">
            <w:pPr>
              <w:spacing w:after="80"/>
              <w:ind w:right="113"/>
              <w:jc w:val="right"/>
            </w:pPr>
            <w:r w:rsidRPr="002F17B5">
              <w:t>(12.3)</w:t>
            </w:r>
          </w:p>
        </w:tc>
      </w:tr>
      <w:tr w:rsidR="005C42FF" w:rsidRPr="002F17B5" w:rsidTr="0016132A">
        <w:trPr>
          <w:jc w:val="center"/>
        </w:trPr>
        <w:tc>
          <w:tcPr>
            <w:tcW w:w="7142" w:type="dxa"/>
            <w:shd w:val="clear" w:color="auto" w:fill="FFFFFF" w:themeFill="background1"/>
          </w:tcPr>
          <w:p w:rsidR="005C42FF" w:rsidRPr="002F17B5" w:rsidRDefault="005C42FF" w:rsidP="0016132A">
            <w:pPr>
              <w:spacing w:after="80"/>
              <w:jc w:val="left"/>
            </w:pPr>
            <w:r w:rsidRPr="002F17B5">
              <w:t>Downward revaluation of assets and impairment losses not charged to the Surplus/Deficit on the Provision of Services</w:t>
            </w:r>
          </w:p>
        </w:tc>
        <w:tc>
          <w:tcPr>
            <w:tcW w:w="1417" w:type="dxa"/>
            <w:shd w:val="clear" w:color="auto" w:fill="FFFFFF" w:themeFill="background1"/>
            <w:vAlign w:val="bottom"/>
          </w:tcPr>
          <w:p w:rsidR="005C42FF" w:rsidRPr="002F17B5" w:rsidRDefault="00F70955" w:rsidP="0016132A">
            <w:pPr>
              <w:spacing w:after="80"/>
              <w:jc w:val="right"/>
            </w:pPr>
            <w:r w:rsidRPr="002F17B5">
              <w:t>56.1</w:t>
            </w:r>
          </w:p>
        </w:tc>
        <w:tc>
          <w:tcPr>
            <w:tcW w:w="1731" w:type="dxa"/>
            <w:shd w:val="clear" w:color="auto" w:fill="FFFFFF" w:themeFill="background1"/>
            <w:vAlign w:val="bottom"/>
          </w:tcPr>
          <w:p w:rsidR="005C42FF" w:rsidRPr="002F17B5" w:rsidRDefault="005C42FF" w:rsidP="0016132A">
            <w:pPr>
              <w:spacing w:after="80"/>
              <w:ind w:right="113"/>
              <w:jc w:val="right"/>
            </w:pPr>
            <w:r w:rsidRPr="002F17B5">
              <w:t xml:space="preserve"> 36.0</w:t>
            </w:r>
          </w:p>
        </w:tc>
      </w:tr>
      <w:tr w:rsidR="005C42FF" w:rsidRPr="002F17B5" w:rsidTr="0016132A">
        <w:trPr>
          <w:jc w:val="center"/>
        </w:trPr>
        <w:tc>
          <w:tcPr>
            <w:tcW w:w="7142" w:type="dxa"/>
            <w:shd w:val="clear" w:color="auto" w:fill="FFFFFF" w:themeFill="background1"/>
          </w:tcPr>
          <w:p w:rsidR="005C42FF" w:rsidRPr="002F17B5" w:rsidRDefault="005C42FF" w:rsidP="0016132A">
            <w:pPr>
              <w:spacing w:after="80"/>
              <w:jc w:val="left"/>
              <w:rPr>
                <w:b/>
                <w:sz w:val="4"/>
              </w:rPr>
            </w:pPr>
          </w:p>
          <w:p w:rsidR="005C42FF" w:rsidRPr="002F17B5" w:rsidRDefault="005C42FF" w:rsidP="0016132A">
            <w:pPr>
              <w:spacing w:after="80"/>
              <w:jc w:val="left"/>
              <w:rPr>
                <w:b/>
              </w:rPr>
            </w:pPr>
            <w:r w:rsidRPr="002F17B5">
              <w:rPr>
                <w:b/>
              </w:rPr>
              <w:t>Surplus or deficit on revaluation of non-current assets not posted to the Surplus or Deficit on the Provision of Services</w:t>
            </w:r>
          </w:p>
        </w:tc>
        <w:tc>
          <w:tcPr>
            <w:tcW w:w="1417" w:type="dxa"/>
            <w:shd w:val="clear" w:color="auto" w:fill="FFFFFF" w:themeFill="background1"/>
            <w:vAlign w:val="bottom"/>
          </w:tcPr>
          <w:p w:rsidR="005C42FF" w:rsidRPr="002F17B5" w:rsidRDefault="00E15957" w:rsidP="0016132A">
            <w:pPr>
              <w:spacing w:after="80"/>
              <w:jc w:val="right"/>
              <w:rPr>
                <w:b/>
                <w:bCs/>
              </w:rPr>
            </w:pPr>
            <w:r w:rsidRPr="002F17B5">
              <w:rPr>
                <w:b/>
                <w:bCs/>
              </w:rPr>
              <w:t>(14.7)</w:t>
            </w:r>
          </w:p>
        </w:tc>
        <w:tc>
          <w:tcPr>
            <w:tcW w:w="1731" w:type="dxa"/>
            <w:shd w:val="clear" w:color="auto" w:fill="FFFFFF" w:themeFill="background1"/>
            <w:vAlign w:val="bottom"/>
          </w:tcPr>
          <w:p w:rsidR="005C42FF" w:rsidRPr="002F17B5" w:rsidRDefault="005C42FF" w:rsidP="0016132A">
            <w:pPr>
              <w:spacing w:after="80"/>
              <w:ind w:right="113"/>
              <w:jc w:val="right"/>
              <w:rPr>
                <w:b/>
                <w:bCs/>
              </w:rPr>
            </w:pPr>
            <w:r w:rsidRPr="002F17B5">
              <w:rPr>
                <w:b/>
                <w:bCs/>
              </w:rPr>
              <w:t>23.7</w:t>
            </w:r>
          </w:p>
        </w:tc>
      </w:tr>
      <w:tr w:rsidR="005C42FF" w:rsidRPr="002F17B5" w:rsidTr="0016132A">
        <w:trPr>
          <w:jc w:val="center"/>
        </w:trPr>
        <w:tc>
          <w:tcPr>
            <w:tcW w:w="7142" w:type="dxa"/>
            <w:shd w:val="clear" w:color="auto" w:fill="FFFFFF" w:themeFill="background1"/>
          </w:tcPr>
          <w:p w:rsidR="005C42FF" w:rsidRPr="002F17B5" w:rsidRDefault="005C42FF" w:rsidP="0016132A">
            <w:pPr>
              <w:spacing w:after="80"/>
              <w:jc w:val="left"/>
              <w:rPr>
                <w:sz w:val="6"/>
              </w:rPr>
            </w:pPr>
          </w:p>
          <w:p w:rsidR="005C42FF" w:rsidRPr="002F17B5" w:rsidRDefault="005C42FF" w:rsidP="0016132A">
            <w:pPr>
              <w:spacing w:after="80"/>
              <w:jc w:val="left"/>
            </w:pPr>
            <w:r w:rsidRPr="002F17B5">
              <w:t>Difference between fair value depreciation and historical cost depreciation</w:t>
            </w:r>
          </w:p>
        </w:tc>
        <w:tc>
          <w:tcPr>
            <w:tcW w:w="1417" w:type="dxa"/>
            <w:shd w:val="clear" w:color="auto" w:fill="FFFFFF" w:themeFill="background1"/>
            <w:vAlign w:val="bottom"/>
          </w:tcPr>
          <w:p w:rsidR="005C42FF" w:rsidRPr="002F17B5" w:rsidRDefault="00E15957" w:rsidP="0016132A">
            <w:pPr>
              <w:spacing w:after="80"/>
              <w:jc w:val="right"/>
            </w:pPr>
            <w:r w:rsidRPr="002F17B5">
              <w:t>9.4</w:t>
            </w:r>
          </w:p>
        </w:tc>
        <w:tc>
          <w:tcPr>
            <w:tcW w:w="1731" w:type="dxa"/>
            <w:shd w:val="clear" w:color="auto" w:fill="FFFFFF" w:themeFill="background1"/>
            <w:vAlign w:val="bottom"/>
          </w:tcPr>
          <w:p w:rsidR="005C42FF" w:rsidRPr="002F17B5" w:rsidRDefault="005C42FF" w:rsidP="0016132A">
            <w:pPr>
              <w:spacing w:after="80"/>
              <w:ind w:right="113"/>
              <w:jc w:val="right"/>
            </w:pPr>
            <w:r w:rsidRPr="002F17B5">
              <w:t>11.0</w:t>
            </w:r>
          </w:p>
        </w:tc>
      </w:tr>
      <w:tr w:rsidR="005C42FF" w:rsidRPr="002F17B5" w:rsidTr="0016132A">
        <w:trPr>
          <w:jc w:val="center"/>
        </w:trPr>
        <w:tc>
          <w:tcPr>
            <w:tcW w:w="7142" w:type="dxa"/>
            <w:shd w:val="clear" w:color="auto" w:fill="FFFFFF" w:themeFill="background1"/>
          </w:tcPr>
          <w:p w:rsidR="005C42FF" w:rsidRPr="002F17B5" w:rsidRDefault="005C42FF" w:rsidP="0016132A">
            <w:pPr>
              <w:spacing w:after="80"/>
              <w:jc w:val="left"/>
            </w:pPr>
            <w:r w:rsidRPr="002F17B5">
              <w:t>Accumulated gains on assets sold or scrapped</w:t>
            </w:r>
          </w:p>
        </w:tc>
        <w:tc>
          <w:tcPr>
            <w:tcW w:w="1417" w:type="dxa"/>
            <w:shd w:val="clear" w:color="auto" w:fill="FFFFFF" w:themeFill="background1"/>
            <w:vAlign w:val="center"/>
          </w:tcPr>
          <w:p w:rsidR="005C42FF" w:rsidRPr="002F17B5" w:rsidRDefault="00E15957" w:rsidP="0016132A">
            <w:pPr>
              <w:spacing w:after="80"/>
              <w:jc w:val="right"/>
            </w:pPr>
            <w:r w:rsidRPr="002F17B5">
              <w:t>3.5</w:t>
            </w:r>
          </w:p>
        </w:tc>
        <w:tc>
          <w:tcPr>
            <w:tcW w:w="1731" w:type="dxa"/>
            <w:shd w:val="clear" w:color="auto" w:fill="FFFFFF" w:themeFill="background1"/>
            <w:vAlign w:val="center"/>
          </w:tcPr>
          <w:p w:rsidR="005C42FF" w:rsidRPr="002F17B5" w:rsidRDefault="005C42FF" w:rsidP="0016132A">
            <w:pPr>
              <w:spacing w:after="80"/>
              <w:ind w:right="113"/>
              <w:jc w:val="right"/>
            </w:pPr>
            <w:r w:rsidRPr="002F17B5">
              <w:t>20.8</w:t>
            </w:r>
          </w:p>
        </w:tc>
      </w:tr>
      <w:tr w:rsidR="005C42FF" w:rsidRPr="002F17B5" w:rsidTr="0016132A">
        <w:trPr>
          <w:jc w:val="center"/>
        </w:trPr>
        <w:tc>
          <w:tcPr>
            <w:tcW w:w="7142" w:type="dxa"/>
            <w:shd w:val="clear" w:color="auto" w:fill="FFFFFF" w:themeFill="background1"/>
          </w:tcPr>
          <w:p w:rsidR="005C42FF" w:rsidRPr="00630928" w:rsidRDefault="005C42FF" w:rsidP="0016132A">
            <w:pPr>
              <w:spacing w:after="80"/>
              <w:jc w:val="left"/>
              <w:rPr>
                <w:b/>
              </w:rPr>
            </w:pPr>
            <w:r w:rsidRPr="00630928">
              <w:rPr>
                <w:b/>
              </w:rPr>
              <w:t>Amount written off to the Capital Adjustment Account</w:t>
            </w:r>
          </w:p>
        </w:tc>
        <w:tc>
          <w:tcPr>
            <w:tcW w:w="1417" w:type="dxa"/>
            <w:shd w:val="clear" w:color="auto" w:fill="FFFFFF" w:themeFill="background1"/>
            <w:vAlign w:val="center"/>
          </w:tcPr>
          <w:p w:rsidR="005C42FF" w:rsidRPr="00630928" w:rsidRDefault="00E15957" w:rsidP="0016132A">
            <w:pPr>
              <w:spacing w:after="80"/>
              <w:jc w:val="right"/>
              <w:rPr>
                <w:b/>
              </w:rPr>
            </w:pPr>
            <w:r w:rsidRPr="00630928">
              <w:rPr>
                <w:b/>
              </w:rPr>
              <w:t>12.9</w:t>
            </w:r>
          </w:p>
        </w:tc>
        <w:tc>
          <w:tcPr>
            <w:tcW w:w="1731" w:type="dxa"/>
            <w:shd w:val="clear" w:color="auto" w:fill="FFFFFF" w:themeFill="background1"/>
            <w:vAlign w:val="center"/>
          </w:tcPr>
          <w:p w:rsidR="005C42FF" w:rsidRPr="00630928" w:rsidRDefault="005C42FF" w:rsidP="0016132A">
            <w:pPr>
              <w:spacing w:after="80"/>
              <w:ind w:right="113"/>
              <w:jc w:val="right"/>
              <w:rPr>
                <w:b/>
              </w:rPr>
            </w:pPr>
            <w:r w:rsidRPr="00630928">
              <w:rPr>
                <w:b/>
              </w:rPr>
              <w:t>31.8</w:t>
            </w:r>
          </w:p>
        </w:tc>
      </w:tr>
      <w:tr w:rsidR="005C42FF" w:rsidRPr="002F17B5" w:rsidTr="0016132A">
        <w:trPr>
          <w:jc w:val="center"/>
        </w:trPr>
        <w:tc>
          <w:tcPr>
            <w:tcW w:w="7142" w:type="dxa"/>
            <w:shd w:val="clear" w:color="auto" w:fill="FFFFFF" w:themeFill="background1"/>
            <w:vAlign w:val="center"/>
          </w:tcPr>
          <w:p w:rsidR="005C42FF" w:rsidRPr="002F17B5" w:rsidRDefault="005C42FF" w:rsidP="0016132A">
            <w:pPr>
              <w:spacing w:after="80"/>
              <w:jc w:val="left"/>
              <w:rPr>
                <w:b/>
              </w:rPr>
            </w:pPr>
            <w:r w:rsidRPr="002F17B5">
              <w:rPr>
                <w:b/>
              </w:rPr>
              <w:t>Balance at 31 March</w:t>
            </w:r>
          </w:p>
        </w:tc>
        <w:tc>
          <w:tcPr>
            <w:tcW w:w="1417" w:type="dxa"/>
            <w:shd w:val="clear" w:color="auto" w:fill="FFFFFF" w:themeFill="background1"/>
            <w:vAlign w:val="center"/>
          </w:tcPr>
          <w:p w:rsidR="005C42FF" w:rsidRPr="002F17B5" w:rsidRDefault="00E15957" w:rsidP="0016132A">
            <w:pPr>
              <w:spacing w:after="80"/>
              <w:jc w:val="right"/>
              <w:rPr>
                <w:b/>
              </w:rPr>
            </w:pPr>
            <w:r w:rsidRPr="002F17B5">
              <w:rPr>
                <w:b/>
              </w:rPr>
              <w:t>(665.0)</w:t>
            </w:r>
          </w:p>
        </w:tc>
        <w:tc>
          <w:tcPr>
            <w:tcW w:w="1731" w:type="dxa"/>
            <w:shd w:val="clear" w:color="auto" w:fill="FFFFFF" w:themeFill="background1"/>
            <w:vAlign w:val="center"/>
          </w:tcPr>
          <w:p w:rsidR="005C42FF" w:rsidRPr="002F17B5" w:rsidRDefault="005C42FF" w:rsidP="0016132A">
            <w:pPr>
              <w:spacing w:after="80"/>
              <w:ind w:right="113"/>
              <w:jc w:val="right"/>
              <w:rPr>
                <w:b/>
              </w:rPr>
            </w:pPr>
            <w:r w:rsidRPr="002F17B5">
              <w:rPr>
                <w:b/>
              </w:rPr>
              <w:t>(663.2)</w:t>
            </w:r>
          </w:p>
        </w:tc>
      </w:tr>
    </w:tbl>
    <w:p w:rsidR="00545003" w:rsidRDefault="00545003" w:rsidP="0016132A">
      <w:pPr>
        <w:spacing w:after="80"/>
        <w:rPr>
          <w:b/>
          <w:u w:val="single"/>
        </w:rPr>
      </w:pPr>
    </w:p>
    <w:p w:rsidR="002A101C" w:rsidRPr="002F17B5" w:rsidRDefault="002A101C" w:rsidP="0016132A">
      <w:pPr>
        <w:spacing w:after="80"/>
        <w:rPr>
          <w:b/>
          <w:u w:val="single"/>
        </w:rPr>
      </w:pPr>
    </w:p>
    <w:p w:rsidR="0016132A" w:rsidRPr="002F17B5" w:rsidRDefault="0016132A" w:rsidP="0016132A">
      <w:pPr>
        <w:spacing w:after="80"/>
        <w:rPr>
          <w:b/>
          <w:u w:val="single"/>
        </w:rPr>
      </w:pPr>
    </w:p>
    <w:p w:rsidR="00743C20" w:rsidRPr="002F17B5" w:rsidRDefault="00743C20" w:rsidP="00865370">
      <w:pPr>
        <w:spacing w:after="240"/>
        <w:ind w:left="142"/>
        <w:rPr>
          <w:b/>
        </w:rPr>
      </w:pPr>
      <w:r w:rsidRPr="002F17B5">
        <w:rPr>
          <w:b/>
        </w:rPr>
        <w:t xml:space="preserve">Capital Adjustment Account </w:t>
      </w:r>
    </w:p>
    <w:p w:rsidR="00743C20" w:rsidRPr="002F17B5" w:rsidRDefault="00743C20" w:rsidP="002A101C">
      <w:pPr>
        <w:spacing w:after="360"/>
        <w:ind w:left="142"/>
      </w:pPr>
      <w:r w:rsidRPr="002F17B5">
        <w:t xml:space="preserve">The capital adjustment account absorbs the timing differences arising from the different arrangements for accounting for the consumption of non-current assets and for financing the acquisition, construction or </w:t>
      </w:r>
      <w:r w:rsidR="007E4C45" w:rsidRPr="002F17B5">
        <w:t>additions</w:t>
      </w:r>
      <w:r w:rsidRPr="002F17B5">
        <w:t xml:space="preserve"> of those assets under statutory provisions. </w:t>
      </w:r>
    </w:p>
    <w:p w:rsidR="00743C20" w:rsidRPr="002F17B5" w:rsidRDefault="00743C20" w:rsidP="002A101C">
      <w:pPr>
        <w:spacing w:after="360"/>
        <w:ind w:left="142"/>
      </w:pPr>
      <w:r w:rsidRPr="002F17B5">
        <w:t xml:space="preserve">The account is debited with the cost of acquisition, construction or </w:t>
      </w:r>
      <w:r w:rsidR="007E4C45" w:rsidRPr="002F17B5">
        <w:t>subsequent costs</w:t>
      </w:r>
      <w:r w:rsidRPr="002F17B5">
        <w:t xml:space="preserve">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council as finance for the costs of acquisition, construction and enhancement. </w:t>
      </w:r>
    </w:p>
    <w:p w:rsidR="00743C20" w:rsidRPr="002F17B5" w:rsidRDefault="00743C20" w:rsidP="002A101C">
      <w:pPr>
        <w:spacing w:after="360"/>
        <w:ind w:left="142"/>
      </w:pPr>
      <w:r w:rsidRPr="002F17B5">
        <w:t xml:space="preserve">The account contains revaluation gains accumulated on Property, Plant and Equipment before </w:t>
      </w:r>
      <w:r w:rsidR="003E49E8" w:rsidRPr="002F17B5">
        <w:t xml:space="preserve">  </w:t>
      </w:r>
      <w:r w:rsidRPr="002F17B5">
        <w:t xml:space="preserve">1 April 2007, the date that the Revaluation Reserve was created to hold such gains. </w:t>
      </w:r>
    </w:p>
    <w:p w:rsidR="00897C8D" w:rsidRPr="002F17B5" w:rsidRDefault="00743C20" w:rsidP="002A101C">
      <w:pPr>
        <w:spacing w:after="360"/>
        <w:ind w:left="142"/>
      </w:pPr>
      <w:r w:rsidRPr="002F17B5">
        <w:t xml:space="preserve">Note </w:t>
      </w:r>
      <w:r w:rsidR="00707B63" w:rsidRPr="002F17B5">
        <w:t xml:space="preserve">7 </w:t>
      </w:r>
      <w:r w:rsidRPr="002F17B5">
        <w:t>details the source of all the transactions posted to the account.</w:t>
      </w:r>
    </w:p>
    <w:p w:rsidR="0016132A" w:rsidRPr="002F17B5" w:rsidRDefault="0016132A" w:rsidP="0016132A">
      <w:pPr>
        <w:spacing w:after="300"/>
        <w:ind w:left="142"/>
      </w:pPr>
      <w:r w:rsidRPr="002F17B5">
        <w:br w:type="page"/>
      </w:r>
    </w:p>
    <w:tbl>
      <w:tblPr>
        <w:tblW w:w="9922" w:type="dxa"/>
        <w:jc w:val="center"/>
        <w:tblLook w:val="04A0" w:firstRow="1" w:lastRow="0" w:firstColumn="1" w:lastColumn="0" w:noHBand="0" w:noVBand="1"/>
      </w:tblPr>
      <w:tblGrid>
        <w:gridCol w:w="7361"/>
        <w:gridCol w:w="1286"/>
        <w:gridCol w:w="1275"/>
      </w:tblGrid>
      <w:tr w:rsidR="00743C20" w:rsidRPr="002F17B5" w:rsidTr="00935A8A">
        <w:trPr>
          <w:trHeight w:val="330"/>
          <w:jc w:val="center"/>
        </w:trPr>
        <w:tc>
          <w:tcPr>
            <w:tcW w:w="7361" w:type="dxa"/>
            <w:shd w:val="clear" w:color="auto" w:fill="FFFFFF" w:themeFill="background1"/>
            <w:hideMark/>
          </w:tcPr>
          <w:p w:rsidR="00743C20" w:rsidRPr="002F17B5" w:rsidRDefault="00743C20" w:rsidP="00870247">
            <w:pPr>
              <w:spacing w:after="80"/>
              <w:rPr>
                <w:b/>
                <w:bCs/>
                <w:u w:val="single"/>
              </w:rPr>
            </w:pPr>
          </w:p>
        </w:tc>
        <w:tc>
          <w:tcPr>
            <w:tcW w:w="1286" w:type="dxa"/>
            <w:shd w:val="clear" w:color="auto" w:fill="FFFFFF" w:themeFill="background1"/>
            <w:hideMark/>
          </w:tcPr>
          <w:p w:rsidR="00743C20" w:rsidRPr="002F17B5" w:rsidRDefault="00CD4CF3" w:rsidP="00870247">
            <w:pPr>
              <w:spacing w:after="80"/>
              <w:jc w:val="right"/>
              <w:rPr>
                <w:b/>
                <w:bCs/>
              </w:rPr>
            </w:pPr>
            <w:r w:rsidRPr="002F17B5">
              <w:rPr>
                <w:b/>
                <w:bCs/>
              </w:rPr>
              <w:t>2013/14</w:t>
            </w:r>
          </w:p>
        </w:tc>
        <w:tc>
          <w:tcPr>
            <w:tcW w:w="1275" w:type="dxa"/>
            <w:shd w:val="clear" w:color="auto" w:fill="FFFFFF" w:themeFill="background1"/>
            <w:hideMark/>
          </w:tcPr>
          <w:p w:rsidR="00743C20" w:rsidRPr="002F17B5" w:rsidRDefault="00CD4CF3" w:rsidP="00870247">
            <w:pPr>
              <w:spacing w:after="80"/>
              <w:jc w:val="right"/>
              <w:rPr>
                <w:b/>
                <w:bCs/>
              </w:rPr>
            </w:pPr>
            <w:r w:rsidRPr="002F17B5">
              <w:rPr>
                <w:b/>
                <w:bCs/>
              </w:rPr>
              <w:t>2012/13</w:t>
            </w:r>
          </w:p>
        </w:tc>
      </w:tr>
      <w:tr w:rsidR="00743C20" w:rsidRPr="002F17B5" w:rsidTr="00935A8A">
        <w:trPr>
          <w:trHeight w:val="330"/>
          <w:jc w:val="center"/>
        </w:trPr>
        <w:tc>
          <w:tcPr>
            <w:tcW w:w="7361" w:type="dxa"/>
            <w:shd w:val="clear" w:color="auto" w:fill="FFFFFF" w:themeFill="background1"/>
            <w:hideMark/>
          </w:tcPr>
          <w:p w:rsidR="00743C20" w:rsidRPr="002F17B5" w:rsidRDefault="00743C20" w:rsidP="00870247">
            <w:pPr>
              <w:spacing w:after="80"/>
              <w:rPr>
                <w:b/>
                <w:bCs/>
              </w:rPr>
            </w:pPr>
            <w:r w:rsidRPr="002F17B5">
              <w:rPr>
                <w:b/>
                <w:bCs/>
              </w:rPr>
              <w:t> </w:t>
            </w:r>
          </w:p>
        </w:tc>
        <w:tc>
          <w:tcPr>
            <w:tcW w:w="1286" w:type="dxa"/>
            <w:shd w:val="clear" w:color="auto" w:fill="FFFFFF" w:themeFill="background1"/>
            <w:hideMark/>
          </w:tcPr>
          <w:p w:rsidR="00743C20" w:rsidRPr="002F17B5" w:rsidRDefault="00743C20" w:rsidP="00870247">
            <w:pPr>
              <w:spacing w:after="80"/>
              <w:jc w:val="right"/>
              <w:rPr>
                <w:b/>
                <w:bCs/>
              </w:rPr>
            </w:pPr>
            <w:r w:rsidRPr="002F17B5">
              <w:rPr>
                <w:b/>
                <w:bCs/>
              </w:rPr>
              <w:t>£m</w:t>
            </w:r>
          </w:p>
        </w:tc>
        <w:tc>
          <w:tcPr>
            <w:tcW w:w="1275" w:type="dxa"/>
            <w:shd w:val="clear" w:color="auto" w:fill="FFFFFF" w:themeFill="background1"/>
            <w:hideMark/>
          </w:tcPr>
          <w:p w:rsidR="00743C20" w:rsidRPr="002F17B5" w:rsidRDefault="00743C20" w:rsidP="00870247">
            <w:pPr>
              <w:spacing w:after="80"/>
              <w:jc w:val="right"/>
              <w:rPr>
                <w:b/>
                <w:bCs/>
              </w:rPr>
            </w:pPr>
            <w:r w:rsidRPr="002F17B5">
              <w:rPr>
                <w:b/>
                <w:bCs/>
              </w:rPr>
              <w:t>£m</w:t>
            </w:r>
          </w:p>
        </w:tc>
      </w:tr>
      <w:tr w:rsidR="00743C20" w:rsidRPr="002F17B5" w:rsidTr="00935A8A">
        <w:trPr>
          <w:trHeight w:val="315"/>
          <w:jc w:val="center"/>
        </w:trPr>
        <w:tc>
          <w:tcPr>
            <w:tcW w:w="7361" w:type="dxa"/>
            <w:shd w:val="clear" w:color="auto" w:fill="FFFFFF" w:themeFill="background1"/>
            <w:hideMark/>
          </w:tcPr>
          <w:p w:rsidR="00B70B4B" w:rsidRPr="002F17B5" w:rsidRDefault="00743C20" w:rsidP="00870247">
            <w:pPr>
              <w:jc w:val="left"/>
              <w:rPr>
                <w:b/>
              </w:rPr>
            </w:pPr>
            <w:r w:rsidRPr="002F17B5">
              <w:rPr>
                <w:b/>
              </w:rPr>
              <w:t>Balance at 1 April</w:t>
            </w:r>
          </w:p>
        </w:tc>
        <w:tc>
          <w:tcPr>
            <w:tcW w:w="1286" w:type="dxa"/>
            <w:shd w:val="clear" w:color="auto" w:fill="FFFFFF" w:themeFill="background1"/>
            <w:vAlign w:val="bottom"/>
            <w:hideMark/>
          </w:tcPr>
          <w:p w:rsidR="00743C20" w:rsidRPr="002F17B5" w:rsidRDefault="000068C0" w:rsidP="00870247">
            <w:pPr>
              <w:jc w:val="right"/>
              <w:rPr>
                <w:b/>
              </w:rPr>
            </w:pPr>
            <w:r w:rsidRPr="002F17B5">
              <w:rPr>
                <w:b/>
              </w:rPr>
              <w:t>(930.2)</w:t>
            </w:r>
          </w:p>
        </w:tc>
        <w:tc>
          <w:tcPr>
            <w:tcW w:w="1275" w:type="dxa"/>
            <w:shd w:val="clear" w:color="auto" w:fill="FFFFFF" w:themeFill="background1"/>
            <w:vAlign w:val="bottom"/>
            <w:hideMark/>
          </w:tcPr>
          <w:p w:rsidR="00743C20" w:rsidRPr="002F17B5" w:rsidRDefault="00743C20" w:rsidP="00870247">
            <w:pPr>
              <w:jc w:val="right"/>
              <w:rPr>
                <w:b/>
              </w:rPr>
            </w:pPr>
            <w:r w:rsidRPr="002F17B5">
              <w:rPr>
                <w:b/>
              </w:rPr>
              <w:t>(862</w:t>
            </w:r>
            <w:r w:rsidR="00F915F4" w:rsidRPr="002F17B5">
              <w:rPr>
                <w:b/>
              </w:rPr>
              <w:t>.0</w:t>
            </w:r>
            <w:r w:rsidRPr="002F17B5">
              <w:rPr>
                <w:b/>
              </w:rPr>
              <w:t>)</w:t>
            </w:r>
          </w:p>
        </w:tc>
      </w:tr>
      <w:tr w:rsidR="005C42FF" w:rsidRPr="002F17B5" w:rsidTr="00935A8A">
        <w:trPr>
          <w:trHeight w:val="684"/>
          <w:jc w:val="center"/>
        </w:trPr>
        <w:tc>
          <w:tcPr>
            <w:tcW w:w="7361" w:type="dxa"/>
            <w:shd w:val="clear" w:color="auto" w:fill="FFFFFF" w:themeFill="background1"/>
            <w:hideMark/>
          </w:tcPr>
          <w:p w:rsidR="005C42FF" w:rsidRPr="002F17B5" w:rsidRDefault="005C42FF" w:rsidP="00870247">
            <w:pPr>
              <w:jc w:val="left"/>
              <w:rPr>
                <w:b/>
                <w:bCs/>
              </w:rPr>
            </w:pPr>
            <w:r w:rsidRPr="002F17B5">
              <w:rPr>
                <w:b/>
                <w:bCs/>
                <w:sz w:val="22"/>
              </w:rPr>
              <w:t>Reversal of items relating to capital expenditure debited or credited to the Comprehensive Income and</w:t>
            </w:r>
            <w:r w:rsidRPr="002F17B5">
              <w:rPr>
                <w:sz w:val="22"/>
              </w:rPr>
              <w:t xml:space="preserve"> </w:t>
            </w:r>
            <w:r w:rsidRPr="002F17B5">
              <w:rPr>
                <w:b/>
                <w:bCs/>
                <w:sz w:val="22"/>
              </w:rPr>
              <w:t>Expenditure Statement</w:t>
            </w:r>
          </w:p>
        </w:tc>
        <w:tc>
          <w:tcPr>
            <w:tcW w:w="1286" w:type="dxa"/>
            <w:shd w:val="clear" w:color="auto" w:fill="FFFFFF" w:themeFill="background1"/>
            <w:vAlign w:val="bottom"/>
            <w:hideMark/>
          </w:tcPr>
          <w:p w:rsidR="005C42FF" w:rsidRPr="002F17B5" w:rsidRDefault="005C42FF" w:rsidP="00870247">
            <w:pPr>
              <w:jc w:val="right"/>
            </w:pPr>
          </w:p>
        </w:tc>
        <w:tc>
          <w:tcPr>
            <w:tcW w:w="1275" w:type="dxa"/>
            <w:shd w:val="clear" w:color="auto" w:fill="FFFFFF" w:themeFill="background1"/>
            <w:vAlign w:val="bottom"/>
            <w:hideMark/>
          </w:tcPr>
          <w:p w:rsidR="005C42FF" w:rsidRPr="002F17B5" w:rsidRDefault="005C42FF" w:rsidP="00870247">
            <w:pPr>
              <w:jc w:val="right"/>
            </w:pPr>
            <w:r w:rsidRPr="002F17B5">
              <w:t> </w:t>
            </w:r>
          </w:p>
        </w:tc>
      </w:tr>
      <w:tr w:rsidR="005C42FF" w:rsidRPr="002F17B5" w:rsidTr="00935A8A">
        <w:trPr>
          <w:trHeight w:val="315"/>
          <w:jc w:val="center"/>
        </w:trPr>
        <w:tc>
          <w:tcPr>
            <w:tcW w:w="7361" w:type="dxa"/>
            <w:shd w:val="clear" w:color="auto" w:fill="FFFFFF" w:themeFill="background1"/>
            <w:hideMark/>
          </w:tcPr>
          <w:p w:rsidR="005C42FF" w:rsidRPr="002F17B5" w:rsidRDefault="005C42FF" w:rsidP="00870247">
            <w:pPr>
              <w:jc w:val="left"/>
            </w:pPr>
            <w:r w:rsidRPr="002F17B5">
              <w:t>Charges for depreciation and impairment of non current assets</w:t>
            </w:r>
          </w:p>
        </w:tc>
        <w:tc>
          <w:tcPr>
            <w:tcW w:w="1286" w:type="dxa"/>
            <w:shd w:val="clear" w:color="auto" w:fill="FFFFFF" w:themeFill="background1"/>
            <w:vAlign w:val="bottom"/>
            <w:hideMark/>
          </w:tcPr>
          <w:p w:rsidR="005C42FF" w:rsidRPr="002F17B5" w:rsidRDefault="003A5B8C" w:rsidP="00870247">
            <w:pPr>
              <w:jc w:val="right"/>
            </w:pPr>
            <w:r w:rsidRPr="002F17B5">
              <w:t>47.2</w:t>
            </w:r>
          </w:p>
        </w:tc>
        <w:tc>
          <w:tcPr>
            <w:tcW w:w="1275" w:type="dxa"/>
            <w:shd w:val="clear" w:color="auto" w:fill="FFFFFF" w:themeFill="background1"/>
            <w:vAlign w:val="bottom"/>
            <w:hideMark/>
          </w:tcPr>
          <w:p w:rsidR="005C42FF" w:rsidRPr="002F17B5" w:rsidRDefault="005C42FF" w:rsidP="00870247">
            <w:pPr>
              <w:jc w:val="right"/>
            </w:pPr>
            <w:r w:rsidRPr="002F17B5">
              <w:t>53.2</w:t>
            </w:r>
          </w:p>
        </w:tc>
      </w:tr>
      <w:tr w:rsidR="005C42FF" w:rsidRPr="002F17B5" w:rsidTr="00935A8A">
        <w:trPr>
          <w:trHeight w:val="315"/>
          <w:jc w:val="center"/>
        </w:trPr>
        <w:tc>
          <w:tcPr>
            <w:tcW w:w="7361" w:type="dxa"/>
            <w:shd w:val="clear" w:color="auto" w:fill="FFFFFF" w:themeFill="background1"/>
            <w:hideMark/>
          </w:tcPr>
          <w:p w:rsidR="005C42FF" w:rsidRPr="002F17B5" w:rsidRDefault="005C42FF" w:rsidP="00870247">
            <w:pPr>
              <w:jc w:val="left"/>
            </w:pPr>
            <w:r w:rsidRPr="002F17B5">
              <w:t>Revaluation losses on Property, Plant and Equipment</w:t>
            </w:r>
            <w:r w:rsidR="007A4C1D" w:rsidRPr="002F17B5">
              <w:t xml:space="preserve"> including assets held for sale</w:t>
            </w:r>
          </w:p>
        </w:tc>
        <w:tc>
          <w:tcPr>
            <w:tcW w:w="1286" w:type="dxa"/>
            <w:shd w:val="clear" w:color="auto" w:fill="FFFFFF" w:themeFill="background1"/>
            <w:vAlign w:val="bottom"/>
            <w:hideMark/>
          </w:tcPr>
          <w:p w:rsidR="005C42FF" w:rsidRPr="002F17B5" w:rsidRDefault="003A5B8C" w:rsidP="00870247">
            <w:pPr>
              <w:jc w:val="right"/>
            </w:pPr>
            <w:r w:rsidRPr="002F17B5">
              <w:t>38.4</w:t>
            </w:r>
          </w:p>
        </w:tc>
        <w:tc>
          <w:tcPr>
            <w:tcW w:w="1275" w:type="dxa"/>
            <w:shd w:val="clear" w:color="auto" w:fill="FFFFFF" w:themeFill="background1"/>
            <w:vAlign w:val="bottom"/>
            <w:hideMark/>
          </w:tcPr>
          <w:p w:rsidR="005C42FF" w:rsidRPr="002F17B5" w:rsidRDefault="005C42FF" w:rsidP="00870247">
            <w:pPr>
              <w:jc w:val="right"/>
            </w:pPr>
            <w:r w:rsidRPr="002F17B5">
              <w:t>13.3</w:t>
            </w:r>
          </w:p>
        </w:tc>
      </w:tr>
      <w:tr w:rsidR="005C42FF" w:rsidRPr="002F17B5" w:rsidTr="00935A8A">
        <w:trPr>
          <w:trHeight w:val="315"/>
          <w:jc w:val="center"/>
        </w:trPr>
        <w:tc>
          <w:tcPr>
            <w:tcW w:w="7361" w:type="dxa"/>
            <w:shd w:val="clear" w:color="auto" w:fill="FFFFFF" w:themeFill="background1"/>
            <w:hideMark/>
          </w:tcPr>
          <w:p w:rsidR="005C42FF" w:rsidRPr="002F17B5" w:rsidRDefault="005C42FF" w:rsidP="00870247">
            <w:pPr>
              <w:jc w:val="left"/>
            </w:pPr>
            <w:r w:rsidRPr="002F17B5">
              <w:t>Amortisation of intangible assets</w:t>
            </w:r>
          </w:p>
        </w:tc>
        <w:tc>
          <w:tcPr>
            <w:tcW w:w="1286" w:type="dxa"/>
            <w:shd w:val="clear" w:color="auto" w:fill="FFFFFF" w:themeFill="background1"/>
            <w:vAlign w:val="bottom"/>
            <w:hideMark/>
          </w:tcPr>
          <w:p w:rsidR="005C42FF" w:rsidRPr="002F17B5" w:rsidRDefault="003A5B8C" w:rsidP="00870247">
            <w:pPr>
              <w:jc w:val="right"/>
            </w:pPr>
            <w:r w:rsidRPr="002F17B5">
              <w:t>2.8</w:t>
            </w:r>
          </w:p>
        </w:tc>
        <w:tc>
          <w:tcPr>
            <w:tcW w:w="1275" w:type="dxa"/>
            <w:shd w:val="clear" w:color="auto" w:fill="FFFFFF" w:themeFill="background1"/>
            <w:vAlign w:val="bottom"/>
            <w:hideMark/>
          </w:tcPr>
          <w:p w:rsidR="005C42FF" w:rsidRPr="002F17B5" w:rsidRDefault="005C42FF" w:rsidP="00870247">
            <w:pPr>
              <w:jc w:val="right"/>
            </w:pPr>
            <w:r w:rsidRPr="002F17B5">
              <w:t>1.8</w:t>
            </w:r>
          </w:p>
        </w:tc>
      </w:tr>
      <w:tr w:rsidR="005C42FF" w:rsidRPr="002F17B5" w:rsidTr="00935A8A">
        <w:trPr>
          <w:trHeight w:val="315"/>
          <w:jc w:val="center"/>
        </w:trPr>
        <w:tc>
          <w:tcPr>
            <w:tcW w:w="7361" w:type="dxa"/>
            <w:shd w:val="clear" w:color="auto" w:fill="FFFFFF" w:themeFill="background1"/>
            <w:hideMark/>
          </w:tcPr>
          <w:p w:rsidR="005C42FF" w:rsidRPr="002F17B5" w:rsidRDefault="005C42FF" w:rsidP="00870247">
            <w:pPr>
              <w:jc w:val="left"/>
            </w:pPr>
            <w:r w:rsidRPr="002F17B5">
              <w:t>Revenue expenditure funded from capital under statute</w:t>
            </w:r>
          </w:p>
        </w:tc>
        <w:tc>
          <w:tcPr>
            <w:tcW w:w="1286" w:type="dxa"/>
            <w:shd w:val="clear" w:color="auto" w:fill="FFFFFF" w:themeFill="background1"/>
            <w:vAlign w:val="bottom"/>
            <w:hideMark/>
          </w:tcPr>
          <w:p w:rsidR="005C42FF" w:rsidRPr="002F17B5" w:rsidRDefault="00153D5E" w:rsidP="00870247">
            <w:pPr>
              <w:jc w:val="right"/>
            </w:pPr>
            <w:r w:rsidRPr="002F17B5">
              <w:t>8.7</w:t>
            </w:r>
          </w:p>
        </w:tc>
        <w:tc>
          <w:tcPr>
            <w:tcW w:w="1275" w:type="dxa"/>
            <w:shd w:val="clear" w:color="auto" w:fill="FFFFFF" w:themeFill="background1"/>
            <w:vAlign w:val="bottom"/>
            <w:hideMark/>
          </w:tcPr>
          <w:p w:rsidR="005C42FF" w:rsidRPr="002F17B5" w:rsidRDefault="005C42FF" w:rsidP="00870247">
            <w:pPr>
              <w:jc w:val="right"/>
            </w:pPr>
            <w:r w:rsidRPr="002F17B5">
              <w:t>16.9</w:t>
            </w:r>
          </w:p>
        </w:tc>
      </w:tr>
      <w:tr w:rsidR="005C42FF" w:rsidRPr="002F17B5" w:rsidTr="00935A8A">
        <w:trPr>
          <w:trHeight w:val="315"/>
          <w:jc w:val="center"/>
        </w:trPr>
        <w:tc>
          <w:tcPr>
            <w:tcW w:w="7361" w:type="dxa"/>
            <w:shd w:val="clear" w:color="auto" w:fill="FFFFFF" w:themeFill="background1"/>
            <w:hideMark/>
          </w:tcPr>
          <w:p w:rsidR="005C42FF" w:rsidRPr="002F17B5" w:rsidRDefault="005C42FF" w:rsidP="00870247">
            <w:pPr>
              <w:jc w:val="left"/>
            </w:pPr>
            <w:r w:rsidRPr="002F17B5">
              <w:t>Reversal of charge re transfer of academies</w:t>
            </w:r>
          </w:p>
        </w:tc>
        <w:tc>
          <w:tcPr>
            <w:tcW w:w="1286" w:type="dxa"/>
            <w:shd w:val="clear" w:color="auto" w:fill="FFFFFF" w:themeFill="background1"/>
            <w:vAlign w:val="bottom"/>
            <w:hideMark/>
          </w:tcPr>
          <w:p w:rsidR="005C42FF" w:rsidRPr="002F17B5" w:rsidRDefault="00E718DF" w:rsidP="00870247">
            <w:pPr>
              <w:jc w:val="right"/>
            </w:pPr>
            <w:r>
              <w:t>13</w:t>
            </w:r>
            <w:r w:rsidR="003A5B8C" w:rsidRPr="002F17B5">
              <w:t>.3</w:t>
            </w:r>
          </w:p>
        </w:tc>
        <w:tc>
          <w:tcPr>
            <w:tcW w:w="1275" w:type="dxa"/>
            <w:shd w:val="clear" w:color="auto" w:fill="FFFFFF" w:themeFill="background1"/>
            <w:vAlign w:val="bottom"/>
            <w:hideMark/>
          </w:tcPr>
          <w:p w:rsidR="005C42FF" w:rsidRPr="002F17B5" w:rsidRDefault="005C42FF" w:rsidP="00870247">
            <w:pPr>
              <w:jc w:val="right"/>
            </w:pPr>
            <w:r w:rsidRPr="002F17B5">
              <w:t>38.2</w:t>
            </w:r>
          </w:p>
        </w:tc>
      </w:tr>
      <w:tr w:rsidR="005C42FF" w:rsidRPr="002F17B5" w:rsidTr="00935A8A">
        <w:trPr>
          <w:trHeight w:val="915"/>
          <w:jc w:val="center"/>
        </w:trPr>
        <w:tc>
          <w:tcPr>
            <w:tcW w:w="7361" w:type="dxa"/>
            <w:shd w:val="clear" w:color="auto" w:fill="FFFFFF" w:themeFill="background1"/>
            <w:hideMark/>
          </w:tcPr>
          <w:p w:rsidR="005C42FF" w:rsidRPr="002F17B5" w:rsidRDefault="005C42FF" w:rsidP="00870247">
            <w:pPr>
              <w:jc w:val="left"/>
            </w:pPr>
            <w:r w:rsidRPr="002F17B5">
              <w:t>Amounts of non-current assets written off on disposal or sale as part of the gain/loss on disposal to the Comprehensive Income and Expenditure Statement</w:t>
            </w:r>
          </w:p>
        </w:tc>
        <w:tc>
          <w:tcPr>
            <w:tcW w:w="1286" w:type="dxa"/>
            <w:shd w:val="clear" w:color="auto" w:fill="FFFFFF" w:themeFill="background1"/>
            <w:vAlign w:val="bottom"/>
            <w:hideMark/>
          </w:tcPr>
          <w:p w:rsidR="005C42FF" w:rsidRPr="002F17B5" w:rsidRDefault="003A5B8C" w:rsidP="00E718DF">
            <w:pPr>
              <w:jc w:val="right"/>
            </w:pPr>
            <w:r w:rsidRPr="002F17B5">
              <w:t>2</w:t>
            </w:r>
            <w:r w:rsidR="00E718DF">
              <w:t>2</w:t>
            </w:r>
            <w:r w:rsidRPr="002F17B5">
              <w:t>.7</w:t>
            </w:r>
          </w:p>
        </w:tc>
        <w:tc>
          <w:tcPr>
            <w:tcW w:w="1275" w:type="dxa"/>
            <w:shd w:val="clear" w:color="auto" w:fill="FFFFFF" w:themeFill="background1"/>
            <w:vAlign w:val="bottom"/>
            <w:hideMark/>
          </w:tcPr>
          <w:p w:rsidR="005C42FF" w:rsidRPr="002F17B5" w:rsidRDefault="005C42FF" w:rsidP="00870247">
            <w:pPr>
              <w:jc w:val="right"/>
            </w:pPr>
            <w:r w:rsidRPr="002F17B5">
              <w:t>11.0</w:t>
            </w:r>
          </w:p>
        </w:tc>
      </w:tr>
      <w:tr w:rsidR="005C42FF" w:rsidRPr="002F17B5" w:rsidTr="00935A8A">
        <w:trPr>
          <w:trHeight w:val="315"/>
          <w:jc w:val="center"/>
        </w:trPr>
        <w:tc>
          <w:tcPr>
            <w:tcW w:w="7361" w:type="dxa"/>
            <w:shd w:val="clear" w:color="auto" w:fill="FFFFFF" w:themeFill="background1"/>
            <w:hideMark/>
          </w:tcPr>
          <w:p w:rsidR="005C42FF" w:rsidRPr="002F17B5" w:rsidRDefault="005C42FF" w:rsidP="00870247">
            <w:pPr>
              <w:jc w:val="left"/>
            </w:pPr>
            <w:r w:rsidRPr="002F17B5">
              <w:t>Write down of Private Finance Initiative (PFI) liability</w:t>
            </w:r>
          </w:p>
        </w:tc>
        <w:tc>
          <w:tcPr>
            <w:tcW w:w="1286" w:type="dxa"/>
            <w:shd w:val="clear" w:color="auto" w:fill="FFFFFF" w:themeFill="background1"/>
            <w:vAlign w:val="bottom"/>
            <w:hideMark/>
          </w:tcPr>
          <w:p w:rsidR="005C42FF" w:rsidRPr="002F17B5" w:rsidRDefault="00153D5E" w:rsidP="00870247">
            <w:pPr>
              <w:jc w:val="right"/>
            </w:pPr>
            <w:r w:rsidRPr="002F17B5">
              <w:t>(7.6)</w:t>
            </w:r>
          </w:p>
        </w:tc>
        <w:tc>
          <w:tcPr>
            <w:tcW w:w="1275" w:type="dxa"/>
            <w:shd w:val="clear" w:color="auto" w:fill="FFFFFF" w:themeFill="background1"/>
            <w:vAlign w:val="bottom"/>
            <w:hideMark/>
          </w:tcPr>
          <w:p w:rsidR="005C42FF" w:rsidRPr="002F17B5" w:rsidRDefault="005C42FF" w:rsidP="00870247">
            <w:pPr>
              <w:jc w:val="right"/>
            </w:pPr>
            <w:r w:rsidRPr="002F17B5">
              <w:t>(7.9)</w:t>
            </w:r>
          </w:p>
        </w:tc>
      </w:tr>
      <w:tr w:rsidR="005C42FF" w:rsidRPr="002F17B5" w:rsidTr="00153D5E">
        <w:trPr>
          <w:trHeight w:val="315"/>
          <w:jc w:val="center"/>
        </w:trPr>
        <w:tc>
          <w:tcPr>
            <w:tcW w:w="7361" w:type="dxa"/>
            <w:shd w:val="clear" w:color="auto" w:fill="FFFFFF" w:themeFill="background1"/>
            <w:hideMark/>
          </w:tcPr>
          <w:p w:rsidR="005C42FF" w:rsidRPr="002F17B5" w:rsidRDefault="005C42FF" w:rsidP="00870247">
            <w:pPr>
              <w:jc w:val="left"/>
            </w:pPr>
            <w:r w:rsidRPr="002F17B5">
              <w:t>Adjusting amounts written out of the Revaluation Reserve</w:t>
            </w:r>
          </w:p>
        </w:tc>
        <w:tc>
          <w:tcPr>
            <w:tcW w:w="1286" w:type="dxa"/>
            <w:tcBorders>
              <w:bottom w:val="single" w:sz="4" w:space="0" w:color="auto"/>
            </w:tcBorders>
            <w:shd w:val="clear" w:color="auto" w:fill="FFFFFF" w:themeFill="background1"/>
            <w:vAlign w:val="bottom"/>
            <w:hideMark/>
          </w:tcPr>
          <w:p w:rsidR="005C42FF" w:rsidRPr="002F17B5" w:rsidRDefault="00153D5E" w:rsidP="00870247">
            <w:pPr>
              <w:jc w:val="right"/>
            </w:pPr>
            <w:r w:rsidRPr="002F17B5">
              <w:t>(12.9)</w:t>
            </w:r>
          </w:p>
        </w:tc>
        <w:tc>
          <w:tcPr>
            <w:tcW w:w="1275" w:type="dxa"/>
            <w:tcBorders>
              <w:bottom w:val="single" w:sz="4" w:space="0" w:color="auto"/>
            </w:tcBorders>
            <w:shd w:val="clear" w:color="auto" w:fill="FFFFFF" w:themeFill="background1"/>
            <w:vAlign w:val="bottom"/>
            <w:hideMark/>
          </w:tcPr>
          <w:p w:rsidR="005C42FF" w:rsidRPr="002F17B5" w:rsidRDefault="005C42FF" w:rsidP="00870247">
            <w:pPr>
              <w:jc w:val="right"/>
            </w:pPr>
            <w:r w:rsidRPr="002F17B5">
              <w:t>(31.8)</w:t>
            </w:r>
          </w:p>
        </w:tc>
      </w:tr>
      <w:tr w:rsidR="005C42FF" w:rsidRPr="002F17B5" w:rsidTr="00153D5E">
        <w:trPr>
          <w:trHeight w:val="518"/>
          <w:jc w:val="center"/>
        </w:trPr>
        <w:tc>
          <w:tcPr>
            <w:tcW w:w="7361" w:type="dxa"/>
            <w:shd w:val="clear" w:color="auto" w:fill="FFFFFF" w:themeFill="background1"/>
            <w:hideMark/>
          </w:tcPr>
          <w:p w:rsidR="005C42FF" w:rsidRPr="002F17B5" w:rsidRDefault="005C42FF" w:rsidP="00870247">
            <w:pPr>
              <w:jc w:val="left"/>
              <w:rPr>
                <w:b/>
                <w:bCs/>
              </w:rPr>
            </w:pPr>
            <w:r w:rsidRPr="002F17B5">
              <w:rPr>
                <w:b/>
                <w:bCs/>
              </w:rPr>
              <w:t> </w:t>
            </w:r>
          </w:p>
        </w:tc>
        <w:tc>
          <w:tcPr>
            <w:tcW w:w="1286" w:type="dxa"/>
            <w:tcBorders>
              <w:top w:val="single" w:sz="4" w:space="0" w:color="auto"/>
            </w:tcBorders>
            <w:shd w:val="clear" w:color="auto" w:fill="FFFFFF" w:themeFill="background1"/>
            <w:vAlign w:val="bottom"/>
            <w:hideMark/>
          </w:tcPr>
          <w:p w:rsidR="005C42FF" w:rsidRPr="002F17B5" w:rsidRDefault="003A5B8C" w:rsidP="00870247">
            <w:pPr>
              <w:jc w:val="right"/>
              <w:rPr>
                <w:b/>
                <w:bCs/>
              </w:rPr>
            </w:pPr>
            <w:r w:rsidRPr="002F17B5">
              <w:rPr>
                <w:b/>
                <w:bCs/>
              </w:rPr>
              <w:t>(817.6</w:t>
            </w:r>
            <w:r w:rsidR="00153D5E" w:rsidRPr="002F17B5">
              <w:rPr>
                <w:b/>
                <w:bCs/>
              </w:rPr>
              <w:t>)</w:t>
            </w:r>
          </w:p>
        </w:tc>
        <w:tc>
          <w:tcPr>
            <w:tcW w:w="1275" w:type="dxa"/>
            <w:tcBorders>
              <w:top w:val="single" w:sz="4" w:space="0" w:color="auto"/>
            </w:tcBorders>
            <w:shd w:val="clear" w:color="auto" w:fill="FFFFFF" w:themeFill="background1"/>
            <w:vAlign w:val="bottom"/>
            <w:hideMark/>
          </w:tcPr>
          <w:p w:rsidR="005C42FF" w:rsidRPr="002F17B5" w:rsidRDefault="005C42FF" w:rsidP="00870247">
            <w:pPr>
              <w:jc w:val="right"/>
              <w:rPr>
                <w:b/>
                <w:bCs/>
              </w:rPr>
            </w:pPr>
            <w:r w:rsidRPr="002F17B5">
              <w:rPr>
                <w:b/>
                <w:bCs/>
              </w:rPr>
              <w:t>(770.9)</w:t>
            </w:r>
          </w:p>
        </w:tc>
      </w:tr>
      <w:tr w:rsidR="005C42FF" w:rsidRPr="002F17B5" w:rsidTr="00935A8A">
        <w:trPr>
          <w:trHeight w:val="398"/>
          <w:jc w:val="center"/>
        </w:trPr>
        <w:tc>
          <w:tcPr>
            <w:tcW w:w="7361" w:type="dxa"/>
            <w:shd w:val="clear" w:color="auto" w:fill="FFFFFF" w:themeFill="background1"/>
            <w:hideMark/>
          </w:tcPr>
          <w:p w:rsidR="00870247" w:rsidRPr="002F17B5" w:rsidRDefault="00870247" w:rsidP="00870247">
            <w:pPr>
              <w:jc w:val="left"/>
              <w:rPr>
                <w:b/>
                <w:bCs/>
                <w:sz w:val="26"/>
              </w:rPr>
            </w:pPr>
          </w:p>
          <w:p w:rsidR="005C42FF" w:rsidRPr="002F17B5" w:rsidRDefault="005C42FF" w:rsidP="00870247">
            <w:pPr>
              <w:jc w:val="left"/>
              <w:rPr>
                <w:b/>
                <w:bCs/>
              </w:rPr>
            </w:pPr>
            <w:r w:rsidRPr="002F17B5">
              <w:rPr>
                <w:b/>
                <w:bCs/>
                <w:sz w:val="22"/>
              </w:rPr>
              <w:t>Capital financing applied in the year:</w:t>
            </w:r>
          </w:p>
        </w:tc>
        <w:tc>
          <w:tcPr>
            <w:tcW w:w="1286" w:type="dxa"/>
            <w:shd w:val="clear" w:color="auto" w:fill="FFFFFF" w:themeFill="background1"/>
            <w:vAlign w:val="bottom"/>
            <w:hideMark/>
          </w:tcPr>
          <w:p w:rsidR="005C42FF" w:rsidRPr="002F17B5" w:rsidRDefault="005C42FF" w:rsidP="00870247">
            <w:pPr>
              <w:jc w:val="right"/>
              <w:rPr>
                <w:b/>
                <w:bCs/>
              </w:rPr>
            </w:pPr>
          </w:p>
        </w:tc>
        <w:tc>
          <w:tcPr>
            <w:tcW w:w="1275" w:type="dxa"/>
            <w:shd w:val="clear" w:color="auto" w:fill="FFFFFF" w:themeFill="background1"/>
            <w:vAlign w:val="bottom"/>
            <w:hideMark/>
          </w:tcPr>
          <w:p w:rsidR="005C42FF" w:rsidRPr="002F17B5" w:rsidRDefault="005C42FF" w:rsidP="00870247">
            <w:pPr>
              <w:jc w:val="right"/>
              <w:rPr>
                <w:b/>
                <w:bCs/>
              </w:rPr>
            </w:pPr>
            <w:r w:rsidRPr="002F17B5">
              <w:rPr>
                <w:b/>
                <w:bCs/>
              </w:rPr>
              <w:t> </w:t>
            </w:r>
          </w:p>
        </w:tc>
      </w:tr>
      <w:tr w:rsidR="005C42FF" w:rsidRPr="002F17B5" w:rsidTr="00935A8A">
        <w:trPr>
          <w:trHeight w:val="615"/>
          <w:jc w:val="center"/>
        </w:trPr>
        <w:tc>
          <w:tcPr>
            <w:tcW w:w="7361" w:type="dxa"/>
            <w:shd w:val="clear" w:color="auto" w:fill="FFFFFF" w:themeFill="background1"/>
            <w:hideMark/>
          </w:tcPr>
          <w:p w:rsidR="005C42FF" w:rsidRPr="002F17B5" w:rsidRDefault="005C42FF" w:rsidP="00870247">
            <w:pPr>
              <w:jc w:val="left"/>
            </w:pPr>
            <w:r w:rsidRPr="002F17B5">
              <w:t>Capital grants and contributions credited to the Comprehensive Income and Expenditure Statement that have been applied to capital financing</w:t>
            </w:r>
          </w:p>
        </w:tc>
        <w:tc>
          <w:tcPr>
            <w:tcW w:w="1286" w:type="dxa"/>
            <w:shd w:val="clear" w:color="auto" w:fill="FFFFFF" w:themeFill="background1"/>
            <w:vAlign w:val="bottom"/>
            <w:hideMark/>
          </w:tcPr>
          <w:p w:rsidR="005C42FF" w:rsidRPr="002F17B5" w:rsidRDefault="003A5B8C" w:rsidP="00870247">
            <w:pPr>
              <w:jc w:val="right"/>
            </w:pPr>
            <w:r w:rsidRPr="002F17B5">
              <w:t>(78.6</w:t>
            </w:r>
            <w:r w:rsidR="00153D5E" w:rsidRPr="002F17B5">
              <w:t>)</w:t>
            </w:r>
          </w:p>
        </w:tc>
        <w:tc>
          <w:tcPr>
            <w:tcW w:w="1275" w:type="dxa"/>
            <w:shd w:val="clear" w:color="auto" w:fill="FFFFFF" w:themeFill="background1"/>
            <w:vAlign w:val="bottom"/>
            <w:hideMark/>
          </w:tcPr>
          <w:p w:rsidR="005C42FF" w:rsidRPr="002F17B5" w:rsidRDefault="005C42FF" w:rsidP="00870247">
            <w:pPr>
              <w:jc w:val="right"/>
            </w:pPr>
            <w:r w:rsidRPr="002F17B5">
              <w:t>(30.3)</w:t>
            </w:r>
          </w:p>
        </w:tc>
      </w:tr>
      <w:tr w:rsidR="005C42FF" w:rsidRPr="002F17B5" w:rsidTr="00935A8A">
        <w:trPr>
          <w:trHeight w:val="615"/>
          <w:jc w:val="center"/>
        </w:trPr>
        <w:tc>
          <w:tcPr>
            <w:tcW w:w="7361" w:type="dxa"/>
            <w:shd w:val="clear" w:color="auto" w:fill="FFFFFF" w:themeFill="background1"/>
            <w:hideMark/>
          </w:tcPr>
          <w:p w:rsidR="005C42FF" w:rsidRPr="002F17B5" w:rsidRDefault="005C42FF" w:rsidP="00870247">
            <w:pPr>
              <w:jc w:val="left"/>
            </w:pPr>
            <w:r w:rsidRPr="002F17B5">
              <w:t>Application of grants to capital financing from the Capital Grants Unapplied Account</w:t>
            </w:r>
          </w:p>
        </w:tc>
        <w:tc>
          <w:tcPr>
            <w:tcW w:w="1286" w:type="dxa"/>
            <w:shd w:val="clear" w:color="auto" w:fill="FFFFFF" w:themeFill="background1"/>
            <w:vAlign w:val="bottom"/>
            <w:hideMark/>
          </w:tcPr>
          <w:p w:rsidR="005C42FF" w:rsidRPr="002F17B5" w:rsidRDefault="003A5B8C" w:rsidP="00870247">
            <w:pPr>
              <w:jc w:val="right"/>
            </w:pPr>
            <w:r w:rsidRPr="002F17B5">
              <w:t>(59.5)</w:t>
            </w:r>
          </w:p>
        </w:tc>
        <w:tc>
          <w:tcPr>
            <w:tcW w:w="1275" w:type="dxa"/>
            <w:shd w:val="clear" w:color="auto" w:fill="FFFFFF" w:themeFill="background1"/>
            <w:vAlign w:val="bottom"/>
            <w:hideMark/>
          </w:tcPr>
          <w:p w:rsidR="005C42FF" w:rsidRPr="002F17B5" w:rsidRDefault="005C42FF" w:rsidP="00870247">
            <w:pPr>
              <w:jc w:val="right"/>
            </w:pPr>
            <w:r w:rsidRPr="002F17B5">
              <w:t>(81.0)</w:t>
            </w:r>
          </w:p>
        </w:tc>
      </w:tr>
      <w:tr w:rsidR="005C42FF" w:rsidRPr="002F17B5" w:rsidTr="00935A8A">
        <w:trPr>
          <w:trHeight w:val="615"/>
          <w:jc w:val="center"/>
        </w:trPr>
        <w:tc>
          <w:tcPr>
            <w:tcW w:w="7361" w:type="dxa"/>
            <w:shd w:val="clear" w:color="auto" w:fill="FFFFFF" w:themeFill="background1"/>
            <w:hideMark/>
          </w:tcPr>
          <w:p w:rsidR="005C42FF" w:rsidRPr="002F17B5" w:rsidRDefault="005C42FF" w:rsidP="00870247">
            <w:pPr>
              <w:jc w:val="left"/>
            </w:pPr>
            <w:r w:rsidRPr="002F17B5">
              <w:t>Statutory provision for the financing of capital investment charged against the County Fund</w:t>
            </w:r>
          </w:p>
        </w:tc>
        <w:tc>
          <w:tcPr>
            <w:tcW w:w="1286" w:type="dxa"/>
            <w:shd w:val="clear" w:color="auto" w:fill="FFFFFF" w:themeFill="background1"/>
            <w:vAlign w:val="bottom"/>
            <w:hideMark/>
          </w:tcPr>
          <w:p w:rsidR="005C42FF" w:rsidRPr="002F17B5" w:rsidRDefault="00153D5E" w:rsidP="00870247">
            <w:pPr>
              <w:jc w:val="right"/>
            </w:pPr>
            <w:r w:rsidRPr="002F17B5">
              <w:t>(27.6)</w:t>
            </w:r>
          </w:p>
        </w:tc>
        <w:tc>
          <w:tcPr>
            <w:tcW w:w="1275" w:type="dxa"/>
            <w:shd w:val="clear" w:color="auto" w:fill="FFFFFF" w:themeFill="background1"/>
            <w:vAlign w:val="bottom"/>
            <w:hideMark/>
          </w:tcPr>
          <w:p w:rsidR="005C42FF" w:rsidRPr="002F17B5" w:rsidRDefault="005C42FF" w:rsidP="00870247">
            <w:pPr>
              <w:jc w:val="right"/>
            </w:pPr>
            <w:r w:rsidRPr="002F17B5">
              <w:t>(28.9)</w:t>
            </w:r>
          </w:p>
        </w:tc>
      </w:tr>
      <w:tr w:rsidR="005C42FF" w:rsidRPr="002F17B5" w:rsidTr="00153D5E">
        <w:trPr>
          <w:trHeight w:val="315"/>
          <w:jc w:val="center"/>
        </w:trPr>
        <w:tc>
          <w:tcPr>
            <w:tcW w:w="7361" w:type="dxa"/>
            <w:shd w:val="clear" w:color="auto" w:fill="FFFFFF" w:themeFill="background1"/>
            <w:hideMark/>
          </w:tcPr>
          <w:p w:rsidR="005C42FF" w:rsidRPr="002F17B5" w:rsidRDefault="005C42FF" w:rsidP="00870247">
            <w:pPr>
              <w:jc w:val="left"/>
            </w:pPr>
            <w:r w:rsidRPr="002F17B5">
              <w:t>Capital expenditure charged against the County Fund</w:t>
            </w:r>
          </w:p>
        </w:tc>
        <w:tc>
          <w:tcPr>
            <w:tcW w:w="1286" w:type="dxa"/>
            <w:tcBorders>
              <w:bottom w:val="single" w:sz="4" w:space="0" w:color="auto"/>
            </w:tcBorders>
            <w:shd w:val="clear" w:color="auto" w:fill="FFFFFF" w:themeFill="background1"/>
            <w:vAlign w:val="bottom"/>
            <w:hideMark/>
          </w:tcPr>
          <w:p w:rsidR="005C42FF" w:rsidRPr="002F17B5" w:rsidRDefault="003A5B8C" w:rsidP="00870247">
            <w:pPr>
              <w:jc w:val="right"/>
            </w:pPr>
            <w:r w:rsidRPr="002F17B5">
              <w:t>(16.4</w:t>
            </w:r>
            <w:r w:rsidR="00153D5E" w:rsidRPr="002F17B5">
              <w:t>)</w:t>
            </w:r>
          </w:p>
        </w:tc>
        <w:tc>
          <w:tcPr>
            <w:tcW w:w="1275" w:type="dxa"/>
            <w:tcBorders>
              <w:bottom w:val="single" w:sz="4" w:space="0" w:color="auto"/>
            </w:tcBorders>
            <w:shd w:val="clear" w:color="auto" w:fill="FFFFFF" w:themeFill="background1"/>
            <w:vAlign w:val="bottom"/>
            <w:hideMark/>
          </w:tcPr>
          <w:p w:rsidR="005C42FF" w:rsidRPr="002F17B5" w:rsidRDefault="005C42FF" w:rsidP="00870247">
            <w:pPr>
              <w:jc w:val="right"/>
            </w:pPr>
            <w:r w:rsidRPr="002F17B5">
              <w:t>(28.1)</w:t>
            </w:r>
          </w:p>
        </w:tc>
      </w:tr>
      <w:tr w:rsidR="005C42FF" w:rsidRPr="002F17B5" w:rsidTr="00153D5E">
        <w:trPr>
          <w:trHeight w:val="330"/>
          <w:jc w:val="center"/>
        </w:trPr>
        <w:tc>
          <w:tcPr>
            <w:tcW w:w="7361" w:type="dxa"/>
            <w:shd w:val="clear" w:color="auto" w:fill="FFFFFF" w:themeFill="background1"/>
            <w:hideMark/>
          </w:tcPr>
          <w:p w:rsidR="005C42FF" w:rsidRPr="002F17B5" w:rsidRDefault="005C42FF" w:rsidP="00870247">
            <w:pPr>
              <w:jc w:val="left"/>
              <w:rPr>
                <w:b/>
                <w:bCs/>
              </w:rPr>
            </w:pPr>
            <w:r w:rsidRPr="002F17B5">
              <w:rPr>
                <w:b/>
                <w:bCs/>
              </w:rPr>
              <w:t> </w:t>
            </w:r>
          </w:p>
        </w:tc>
        <w:tc>
          <w:tcPr>
            <w:tcW w:w="1286" w:type="dxa"/>
            <w:tcBorders>
              <w:top w:val="single" w:sz="4" w:space="0" w:color="auto"/>
            </w:tcBorders>
            <w:shd w:val="clear" w:color="auto" w:fill="FFFFFF" w:themeFill="background1"/>
            <w:vAlign w:val="bottom"/>
            <w:hideMark/>
          </w:tcPr>
          <w:p w:rsidR="005C42FF" w:rsidRPr="002F17B5" w:rsidRDefault="003A5B8C" w:rsidP="00870247">
            <w:pPr>
              <w:jc w:val="right"/>
              <w:rPr>
                <w:b/>
                <w:bCs/>
              </w:rPr>
            </w:pPr>
            <w:r w:rsidRPr="002F17B5">
              <w:rPr>
                <w:b/>
                <w:bCs/>
              </w:rPr>
              <w:t>(182.1</w:t>
            </w:r>
            <w:r w:rsidR="00153D5E" w:rsidRPr="002F17B5">
              <w:rPr>
                <w:b/>
                <w:bCs/>
              </w:rPr>
              <w:t>)</w:t>
            </w:r>
          </w:p>
        </w:tc>
        <w:tc>
          <w:tcPr>
            <w:tcW w:w="1275" w:type="dxa"/>
            <w:tcBorders>
              <w:top w:val="single" w:sz="4" w:space="0" w:color="auto"/>
            </w:tcBorders>
            <w:shd w:val="clear" w:color="auto" w:fill="FFFFFF" w:themeFill="background1"/>
            <w:vAlign w:val="bottom"/>
            <w:hideMark/>
          </w:tcPr>
          <w:p w:rsidR="005C42FF" w:rsidRPr="002F17B5" w:rsidRDefault="005C42FF" w:rsidP="00870247">
            <w:pPr>
              <w:jc w:val="right"/>
              <w:rPr>
                <w:b/>
                <w:bCs/>
              </w:rPr>
            </w:pPr>
            <w:r w:rsidRPr="002F17B5">
              <w:rPr>
                <w:b/>
                <w:bCs/>
              </w:rPr>
              <w:t>(168.3)</w:t>
            </w:r>
          </w:p>
        </w:tc>
      </w:tr>
      <w:tr w:rsidR="005C42FF" w:rsidRPr="002F17B5" w:rsidTr="00935A8A">
        <w:trPr>
          <w:trHeight w:val="615"/>
          <w:jc w:val="center"/>
        </w:trPr>
        <w:tc>
          <w:tcPr>
            <w:tcW w:w="7361" w:type="dxa"/>
            <w:shd w:val="clear" w:color="auto" w:fill="FFFFFF" w:themeFill="background1"/>
            <w:hideMark/>
          </w:tcPr>
          <w:p w:rsidR="005C42FF" w:rsidRPr="002F17B5" w:rsidRDefault="005C42FF" w:rsidP="00870247">
            <w:pPr>
              <w:jc w:val="left"/>
              <w:rPr>
                <w:sz w:val="28"/>
              </w:rPr>
            </w:pPr>
          </w:p>
          <w:p w:rsidR="005C42FF" w:rsidRPr="002F17B5" w:rsidRDefault="005C42FF" w:rsidP="00870247">
            <w:pPr>
              <w:jc w:val="left"/>
            </w:pPr>
            <w:r w:rsidRPr="002F17B5">
              <w:t>Movements in the market value of investment properties debited or credited to the Comprehensive Income and Expenditure Statement</w:t>
            </w:r>
          </w:p>
        </w:tc>
        <w:tc>
          <w:tcPr>
            <w:tcW w:w="1286" w:type="dxa"/>
            <w:shd w:val="clear" w:color="auto" w:fill="FFFFFF" w:themeFill="background1"/>
            <w:vAlign w:val="bottom"/>
            <w:hideMark/>
          </w:tcPr>
          <w:p w:rsidR="005C42FF" w:rsidRPr="002F17B5" w:rsidRDefault="003A5B8C" w:rsidP="00870247">
            <w:pPr>
              <w:jc w:val="right"/>
            </w:pPr>
            <w:r w:rsidRPr="002F17B5">
              <w:t>1.5</w:t>
            </w:r>
          </w:p>
        </w:tc>
        <w:tc>
          <w:tcPr>
            <w:tcW w:w="1275" w:type="dxa"/>
            <w:shd w:val="clear" w:color="auto" w:fill="FFFFFF" w:themeFill="background1"/>
            <w:vAlign w:val="bottom"/>
            <w:hideMark/>
          </w:tcPr>
          <w:p w:rsidR="005C42FF" w:rsidRPr="002F17B5" w:rsidRDefault="005C42FF" w:rsidP="00870247">
            <w:pPr>
              <w:jc w:val="right"/>
            </w:pPr>
            <w:r w:rsidRPr="002F17B5">
              <w:t>0.2</w:t>
            </w:r>
          </w:p>
        </w:tc>
      </w:tr>
      <w:tr w:rsidR="005C42FF" w:rsidRPr="002F17B5" w:rsidTr="00153D5E">
        <w:trPr>
          <w:trHeight w:val="615"/>
          <w:jc w:val="center"/>
        </w:trPr>
        <w:tc>
          <w:tcPr>
            <w:tcW w:w="7361" w:type="dxa"/>
            <w:shd w:val="clear" w:color="auto" w:fill="FFFFFF" w:themeFill="background1"/>
            <w:hideMark/>
          </w:tcPr>
          <w:p w:rsidR="005C42FF" w:rsidRPr="002F17B5" w:rsidRDefault="005C42FF" w:rsidP="00870247">
            <w:pPr>
              <w:jc w:val="left"/>
            </w:pPr>
            <w:r w:rsidRPr="002F17B5">
              <w:t>Reclassifications – PPE adjustments and waste PFI deferred consideration write out</w:t>
            </w:r>
          </w:p>
        </w:tc>
        <w:tc>
          <w:tcPr>
            <w:tcW w:w="1286" w:type="dxa"/>
            <w:tcBorders>
              <w:bottom w:val="single" w:sz="4" w:space="0" w:color="auto"/>
            </w:tcBorders>
            <w:shd w:val="clear" w:color="auto" w:fill="FFFFFF" w:themeFill="background1"/>
            <w:vAlign w:val="bottom"/>
            <w:hideMark/>
          </w:tcPr>
          <w:p w:rsidR="005C42FF" w:rsidRPr="002F17B5" w:rsidRDefault="003A5B8C" w:rsidP="00870247">
            <w:pPr>
              <w:jc w:val="right"/>
            </w:pPr>
            <w:r w:rsidRPr="002F17B5">
              <w:t>(1.6</w:t>
            </w:r>
            <w:r w:rsidR="00153D5E" w:rsidRPr="002F17B5">
              <w:t>)</w:t>
            </w:r>
          </w:p>
        </w:tc>
        <w:tc>
          <w:tcPr>
            <w:tcW w:w="1275" w:type="dxa"/>
            <w:tcBorders>
              <w:bottom w:val="single" w:sz="4" w:space="0" w:color="auto"/>
            </w:tcBorders>
            <w:shd w:val="clear" w:color="auto" w:fill="FFFFFF" w:themeFill="background1"/>
            <w:vAlign w:val="bottom"/>
            <w:hideMark/>
          </w:tcPr>
          <w:p w:rsidR="005C42FF" w:rsidRPr="002F17B5" w:rsidRDefault="005C42FF" w:rsidP="00870247">
            <w:pPr>
              <w:jc w:val="right"/>
            </w:pPr>
            <w:r w:rsidRPr="002F17B5">
              <w:t>8.8</w:t>
            </w:r>
          </w:p>
        </w:tc>
      </w:tr>
      <w:tr w:rsidR="005C42FF" w:rsidRPr="002F17B5" w:rsidTr="00153D5E">
        <w:trPr>
          <w:trHeight w:val="330"/>
          <w:jc w:val="center"/>
        </w:trPr>
        <w:tc>
          <w:tcPr>
            <w:tcW w:w="7361" w:type="dxa"/>
            <w:shd w:val="clear" w:color="auto" w:fill="FFFFFF" w:themeFill="background1"/>
            <w:hideMark/>
          </w:tcPr>
          <w:p w:rsidR="005C42FF" w:rsidRPr="002F17B5" w:rsidRDefault="005C42FF" w:rsidP="00870247">
            <w:pPr>
              <w:jc w:val="left"/>
              <w:rPr>
                <w:b/>
                <w:bCs/>
              </w:rPr>
            </w:pPr>
            <w:r w:rsidRPr="002F17B5">
              <w:rPr>
                <w:b/>
                <w:bCs/>
              </w:rPr>
              <w:t>Balance at 31 March</w:t>
            </w:r>
          </w:p>
        </w:tc>
        <w:tc>
          <w:tcPr>
            <w:tcW w:w="1286" w:type="dxa"/>
            <w:tcBorders>
              <w:top w:val="single" w:sz="4" w:space="0" w:color="auto"/>
            </w:tcBorders>
            <w:shd w:val="clear" w:color="auto" w:fill="FFFFFF" w:themeFill="background1"/>
            <w:vAlign w:val="bottom"/>
            <w:hideMark/>
          </w:tcPr>
          <w:p w:rsidR="005C42FF" w:rsidRPr="002F17B5" w:rsidRDefault="00153D5E" w:rsidP="00870247">
            <w:pPr>
              <w:jc w:val="right"/>
              <w:rPr>
                <w:b/>
                <w:bCs/>
              </w:rPr>
            </w:pPr>
            <w:r w:rsidRPr="002F17B5">
              <w:rPr>
                <w:b/>
                <w:bCs/>
              </w:rPr>
              <w:t>(999.8)</w:t>
            </w:r>
          </w:p>
        </w:tc>
        <w:tc>
          <w:tcPr>
            <w:tcW w:w="1275" w:type="dxa"/>
            <w:tcBorders>
              <w:top w:val="single" w:sz="4" w:space="0" w:color="auto"/>
            </w:tcBorders>
            <w:shd w:val="clear" w:color="auto" w:fill="FFFFFF" w:themeFill="background1"/>
            <w:vAlign w:val="bottom"/>
            <w:hideMark/>
          </w:tcPr>
          <w:p w:rsidR="005C42FF" w:rsidRPr="002F17B5" w:rsidRDefault="005C42FF" w:rsidP="00870247">
            <w:pPr>
              <w:jc w:val="right"/>
              <w:rPr>
                <w:b/>
                <w:bCs/>
              </w:rPr>
            </w:pPr>
            <w:r w:rsidRPr="002F17B5">
              <w:rPr>
                <w:b/>
                <w:bCs/>
              </w:rPr>
              <w:t>(930.2)</w:t>
            </w:r>
          </w:p>
        </w:tc>
      </w:tr>
    </w:tbl>
    <w:p w:rsidR="0016132A" w:rsidRPr="002F17B5" w:rsidRDefault="0016132A" w:rsidP="00870247">
      <w:pPr>
        <w:rPr>
          <w:b/>
        </w:rPr>
      </w:pPr>
    </w:p>
    <w:p w:rsidR="00122637" w:rsidRDefault="00122637" w:rsidP="00870247">
      <w:pPr>
        <w:rPr>
          <w:b/>
        </w:rPr>
      </w:pPr>
    </w:p>
    <w:p w:rsidR="00AA0715" w:rsidRPr="002F17B5" w:rsidRDefault="00AA0715" w:rsidP="00870247">
      <w:pPr>
        <w:rPr>
          <w:b/>
        </w:rPr>
      </w:pPr>
      <w:r w:rsidRPr="002F17B5">
        <w:rPr>
          <w:b/>
        </w:rPr>
        <w:t xml:space="preserve">Available for Sale Financial Instruments Reserve </w:t>
      </w:r>
    </w:p>
    <w:p w:rsidR="00AA0715" w:rsidRDefault="00AA0715" w:rsidP="00870247">
      <w:pPr>
        <w:ind w:left="57"/>
      </w:pPr>
      <w:r w:rsidRPr="002F17B5">
        <w:t>The Available for Sale Financial Instruments Reserve contains the gains made by the council arising from increases in the value of its investments that have quoted market prices or otherwise do not have fixed or determinable payments. The balance is reduced when investments with accumulated gains are revalued downwards or impaired and the gains are lost or</w:t>
      </w:r>
      <w:r w:rsidRPr="002F17B5">
        <w:rPr>
          <w:color w:val="949699"/>
        </w:rPr>
        <w:t xml:space="preserve"> </w:t>
      </w:r>
      <w:r w:rsidRPr="002F17B5">
        <w:t>disposed of and the gains are realised.</w:t>
      </w:r>
    </w:p>
    <w:p w:rsidR="008778FF" w:rsidRPr="002F17B5" w:rsidRDefault="008778FF" w:rsidP="00870247">
      <w:pPr>
        <w:ind w:left="57"/>
      </w:pPr>
    </w:p>
    <w:p w:rsidR="00AA0715" w:rsidRPr="002F17B5" w:rsidRDefault="00AA0715" w:rsidP="00AA0715">
      <w:pPr>
        <w:rPr>
          <w:sz w:val="6"/>
        </w:rPr>
      </w:pPr>
    </w:p>
    <w:tbl>
      <w:tblPr>
        <w:tblW w:w="9923" w:type="dxa"/>
        <w:tblLook w:val="04A0" w:firstRow="1" w:lastRow="0" w:firstColumn="1" w:lastColumn="0" w:noHBand="0" w:noVBand="1"/>
      </w:tblPr>
      <w:tblGrid>
        <w:gridCol w:w="7569"/>
        <w:gridCol w:w="1270"/>
        <w:gridCol w:w="1197"/>
      </w:tblGrid>
      <w:tr w:rsidR="00AA0715" w:rsidRPr="002F17B5" w:rsidTr="00153D5E">
        <w:trPr>
          <w:trHeight w:val="300"/>
        </w:trPr>
        <w:tc>
          <w:tcPr>
            <w:tcW w:w="7569" w:type="dxa"/>
            <w:shd w:val="clear" w:color="auto" w:fill="auto"/>
            <w:noWrap/>
            <w:vAlign w:val="center"/>
            <w:hideMark/>
          </w:tcPr>
          <w:p w:rsidR="00AA0715" w:rsidRPr="002F17B5" w:rsidRDefault="00AA0715" w:rsidP="00870247">
            <w:pPr>
              <w:spacing w:after="40"/>
              <w:ind w:left="113"/>
              <w:jc w:val="center"/>
              <w:rPr>
                <w:b/>
                <w:bCs/>
              </w:rPr>
            </w:pPr>
          </w:p>
        </w:tc>
        <w:tc>
          <w:tcPr>
            <w:tcW w:w="1270" w:type="dxa"/>
            <w:shd w:val="clear" w:color="auto" w:fill="auto"/>
            <w:noWrap/>
            <w:vAlign w:val="center"/>
            <w:hideMark/>
          </w:tcPr>
          <w:p w:rsidR="00AA0715" w:rsidRPr="002F17B5" w:rsidRDefault="00AA0715" w:rsidP="00870247">
            <w:pPr>
              <w:spacing w:after="40"/>
              <w:ind w:left="113"/>
              <w:jc w:val="center"/>
              <w:rPr>
                <w:b/>
                <w:bCs/>
              </w:rPr>
            </w:pPr>
            <w:r w:rsidRPr="002F17B5">
              <w:rPr>
                <w:b/>
                <w:bCs/>
              </w:rPr>
              <w:t>2013/14</w:t>
            </w:r>
          </w:p>
        </w:tc>
        <w:tc>
          <w:tcPr>
            <w:tcW w:w="1084" w:type="dxa"/>
            <w:shd w:val="clear" w:color="auto" w:fill="auto"/>
            <w:noWrap/>
            <w:vAlign w:val="center"/>
            <w:hideMark/>
          </w:tcPr>
          <w:p w:rsidR="00AA0715" w:rsidRPr="002F17B5" w:rsidRDefault="00AA0715" w:rsidP="00870247">
            <w:pPr>
              <w:spacing w:after="40"/>
              <w:ind w:left="113"/>
              <w:jc w:val="center"/>
              <w:rPr>
                <w:b/>
                <w:bCs/>
              </w:rPr>
            </w:pPr>
            <w:r w:rsidRPr="002F17B5">
              <w:rPr>
                <w:b/>
                <w:bCs/>
              </w:rPr>
              <w:t>2012/13</w:t>
            </w:r>
          </w:p>
        </w:tc>
      </w:tr>
      <w:tr w:rsidR="00AA0715" w:rsidRPr="002F17B5" w:rsidTr="00153D5E">
        <w:trPr>
          <w:trHeight w:val="300"/>
        </w:trPr>
        <w:tc>
          <w:tcPr>
            <w:tcW w:w="7569" w:type="dxa"/>
            <w:shd w:val="clear" w:color="auto" w:fill="auto"/>
            <w:noWrap/>
            <w:vAlign w:val="center"/>
            <w:hideMark/>
          </w:tcPr>
          <w:p w:rsidR="00AA0715" w:rsidRPr="002F17B5" w:rsidRDefault="00AA0715" w:rsidP="00870247">
            <w:pPr>
              <w:spacing w:after="40"/>
              <w:ind w:left="113"/>
              <w:jc w:val="center"/>
            </w:pPr>
          </w:p>
        </w:tc>
        <w:tc>
          <w:tcPr>
            <w:tcW w:w="1270" w:type="dxa"/>
            <w:shd w:val="clear" w:color="auto" w:fill="auto"/>
            <w:noWrap/>
            <w:vAlign w:val="center"/>
            <w:hideMark/>
          </w:tcPr>
          <w:p w:rsidR="00AA0715" w:rsidRPr="002F17B5" w:rsidRDefault="00AA0715" w:rsidP="00870247">
            <w:pPr>
              <w:spacing w:after="40"/>
              <w:ind w:left="113"/>
              <w:jc w:val="center"/>
              <w:rPr>
                <w:b/>
                <w:bCs/>
              </w:rPr>
            </w:pPr>
            <w:r w:rsidRPr="002F17B5">
              <w:rPr>
                <w:b/>
                <w:bCs/>
              </w:rPr>
              <w:t>£m</w:t>
            </w:r>
          </w:p>
        </w:tc>
        <w:tc>
          <w:tcPr>
            <w:tcW w:w="1084" w:type="dxa"/>
            <w:shd w:val="clear" w:color="auto" w:fill="auto"/>
            <w:noWrap/>
            <w:vAlign w:val="center"/>
            <w:hideMark/>
          </w:tcPr>
          <w:p w:rsidR="00AA0715" w:rsidRPr="002F17B5" w:rsidRDefault="00AA0715" w:rsidP="00870247">
            <w:pPr>
              <w:spacing w:after="40"/>
              <w:ind w:left="113"/>
              <w:jc w:val="center"/>
              <w:rPr>
                <w:b/>
                <w:bCs/>
              </w:rPr>
            </w:pPr>
            <w:r w:rsidRPr="002F17B5">
              <w:rPr>
                <w:b/>
                <w:bCs/>
              </w:rPr>
              <w:t>£m</w:t>
            </w:r>
          </w:p>
        </w:tc>
      </w:tr>
      <w:tr w:rsidR="00AA0715" w:rsidRPr="002F17B5" w:rsidTr="00153D5E">
        <w:trPr>
          <w:trHeight w:val="300"/>
        </w:trPr>
        <w:tc>
          <w:tcPr>
            <w:tcW w:w="7569" w:type="dxa"/>
            <w:shd w:val="clear" w:color="auto" w:fill="auto"/>
            <w:noWrap/>
            <w:vAlign w:val="center"/>
            <w:hideMark/>
          </w:tcPr>
          <w:p w:rsidR="00AA0715" w:rsidRPr="002F17B5" w:rsidRDefault="00AA0715" w:rsidP="00870247">
            <w:pPr>
              <w:spacing w:after="40"/>
              <w:ind w:left="113"/>
              <w:rPr>
                <w:b/>
                <w:bCs/>
              </w:rPr>
            </w:pPr>
            <w:r w:rsidRPr="002F17B5">
              <w:rPr>
                <w:b/>
                <w:bCs/>
              </w:rPr>
              <w:t>Balance at 1 April</w:t>
            </w:r>
          </w:p>
        </w:tc>
        <w:tc>
          <w:tcPr>
            <w:tcW w:w="1270" w:type="dxa"/>
            <w:shd w:val="clear" w:color="auto" w:fill="auto"/>
            <w:noWrap/>
            <w:vAlign w:val="center"/>
            <w:hideMark/>
          </w:tcPr>
          <w:p w:rsidR="001D73DF" w:rsidRPr="002F17B5" w:rsidRDefault="00AA0715" w:rsidP="002A101C">
            <w:pPr>
              <w:spacing w:after="40"/>
              <w:ind w:left="113" w:right="283"/>
              <w:jc w:val="right"/>
            </w:pPr>
            <w:r w:rsidRPr="002F17B5">
              <w:t>1.1</w:t>
            </w:r>
          </w:p>
        </w:tc>
        <w:tc>
          <w:tcPr>
            <w:tcW w:w="1084" w:type="dxa"/>
            <w:shd w:val="clear" w:color="auto" w:fill="auto"/>
            <w:noWrap/>
            <w:vAlign w:val="center"/>
            <w:hideMark/>
          </w:tcPr>
          <w:p w:rsidR="001D73DF" w:rsidRPr="002F17B5" w:rsidRDefault="00AA0715" w:rsidP="002A101C">
            <w:pPr>
              <w:spacing w:after="40"/>
              <w:ind w:left="113" w:right="170"/>
              <w:jc w:val="right"/>
            </w:pPr>
            <w:r w:rsidRPr="002F17B5">
              <w:t>0.5</w:t>
            </w:r>
          </w:p>
        </w:tc>
      </w:tr>
      <w:tr w:rsidR="00AA0715" w:rsidRPr="002F17B5" w:rsidTr="00153D5E">
        <w:trPr>
          <w:trHeight w:val="300"/>
        </w:trPr>
        <w:tc>
          <w:tcPr>
            <w:tcW w:w="7569" w:type="dxa"/>
            <w:shd w:val="clear" w:color="auto" w:fill="auto"/>
            <w:noWrap/>
            <w:vAlign w:val="center"/>
            <w:hideMark/>
          </w:tcPr>
          <w:p w:rsidR="00AA0715" w:rsidRPr="002F17B5" w:rsidRDefault="00AA0715" w:rsidP="002A101C">
            <w:pPr>
              <w:spacing w:after="40"/>
              <w:ind w:left="113"/>
              <w:jc w:val="left"/>
            </w:pPr>
            <w:r w:rsidRPr="002F17B5">
              <w:t>Upwards revaluation of investments</w:t>
            </w:r>
          </w:p>
        </w:tc>
        <w:tc>
          <w:tcPr>
            <w:tcW w:w="1270" w:type="dxa"/>
            <w:shd w:val="clear" w:color="auto" w:fill="auto"/>
            <w:noWrap/>
            <w:vAlign w:val="center"/>
            <w:hideMark/>
          </w:tcPr>
          <w:p w:rsidR="001D73DF" w:rsidRPr="002F17B5" w:rsidRDefault="00AA0715" w:rsidP="002A101C">
            <w:pPr>
              <w:spacing w:after="40"/>
              <w:ind w:left="113" w:right="283"/>
              <w:jc w:val="right"/>
            </w:pPr>
            <w:r w:rsidRPr="002F17B5">
              <w:t>-</w:t>
            </w:r>
          </w:p>
        </w:tc>
        <w:tc>
          <w:tcPr>
            <w:tcW w:w="1084" w:type="dxa"/>
            <w:shd w:val="clear" w:color="auto" w:fill="auto"/>
            <w:noWrap/>
            <w:vAlign w:val="center"/>
            <w:hideMark/>
          </w:tcPr>
          <w:p w:rsidR="001D73DF" w:rsidRPr="002F17B5" w:rsidRDefault="00AA0715" w:rsidP="002A101C">
            <w:pPr>
              <w:spacing w:after="40"/>
              <w:ind w:left="113" w:right="170"/>
              <w:jc w:val="right"/>
            </w:pPr>
            <w:r w:rsidRPr="002F17B5">
              <w:t>(1.1)</w:t>
            </w:r>
          </w:p>
        </w:tc>
      </w:tr>
      <w:tr w:rsidR="00AA0715" w:rsidRPr="002F17B5" w:rsidTr="00153D5E">
        <w:trPr>
          <w:trHeight w:val="540"/>
        </w:trPr>
        <w:tc>
          <w:tcPr>
            <w:tcW w:w="7569" w:type="dxa"/>
            <w:shd w:val="clear" w:color="auto" w:fill="auto"/>
            <w:vAlign w:val="center"/>
            <w:hideMark/>
          </w:tcPr>
          <w:p w:rsidR="00AA0715" w:rsidRPr="002F17B5" w:rsidRDefault="00AA0715" w:rsidP="002A101C">
            <w:pPr>
              <w:spacing w:after="40"/>
              <w:ind w:left="113"/>
              <w:jc w:val="left"/>
            </w:pPr>
            <w:r w:rsidRPr="002F17B5">
              <w:t xml:space="preserve">Downward revaluation of investments not </w:t>
            </w:r>
            <w:r w:rsidR="006C63C2" w:rsidRPr="002F17B5">
              <w:t>charged to the surplus/deficit</w:t>
            </w:r>
            <w:r w:rsidRPr="002F17B5">
              <w:t xml:space="preserve"> on the Provision of Services</w:t>
            </w:r>
          </w:p>
        </w:tc>
        <w:tc>
          <w:tcPr>
            <w:tcW w:w="1270" w:type="dxa"/>
            <w:tcBorders>
              <w:bottom w:val="single" w:sz="4" w:space="0" w:color="auto"/>
            </w:tcBorders>
            <w:shd w:val="clear" w:color="auto" w:fill="auto"/>
            <w:noWrap/>
            <w:vAlign w:val="center"/>
            <w:hideMark/>
          </w:tcPr>
          <w:p w:rsidR="001D73DF" w:rsidRPr="002F17B5" w:rsidRDefault="00AA0715" w:rsidP="002A101C">
            <w:pPr>
              <w:spacing w:after="40"/>
              <w:ind w:left="113" w:right="283"/>
              <w:jc w:val="right"/>
            </w:pPr>
            <w:r w:rsidRPr="002F17B5">
              <w:t>26.3</w:t>
            </w:r>
          </w:p>
        </w:tc>
        <w:tc>
          <w:tcPr>
            <w:tcW w:w="1084" w:type="dxa"/>
            <w:tcBorders>
              <w:bottom w:val="single" w:sz="4" w:space="0" w:color="auto"/>
            </w:tcBorders>
            <w:shd w:val="clear" w:color="auto" w:fill="auto"/>
            <w:noWrap/>
            <w:vAlign w:val="center"/>
            <w:hideMark/>
          </w:tcPr>
          <w:p w:rsidR="001D73DF" w:rsidRPr="002F17B5" w:rsidRDefault="00AA0715" w:rsidP="002A101C">
            <w:pPr>
              <w:spacing w:after="40"/>
              <w:ind w:left="113" w:right="170"/>
              <w:jc w:val="right"/>
            </w:pPr>
            <w:r w:rsidRPr="002F17B5">
              <w:t>1.7</w:t>
            </w:r>
          </w:p>
        </w:tc>
      </w:tr>
      <w:tr w:rsidR="00AA0715" w:rsidRPr="002F17B5" w:rsidTr="00153D5E">
        <w:trPr>
          <w:trHeight w:val="315"/>
        </w:trPr>
        <w:tc>
          <w:tcPr>
            <w:tcW w:w="7569" w:type="dxa"/>
            <w:shd w:val="clear" w:color="auto" w:fill="auto"/>
            <w:noWrap/>
            <w:vAlign w:val="center"/>
            <w:hideMark/>
          </w:tcPr>
          <w:p w:rsidR="00AA0715" w:rsidRPr="002F17B5" w:rsidRDefault="00AA0715" w:rsidP="00870247">
            <w:pPr>
              <w:spacing w:after="40"/>
              <w:ind w:left="113"/>
            </w:pPr>
            <w:r w:rsidRPr="002F17B5">
              <w:rPr>
                <w:b/>
                <w:bCs/>
              </w:rPr>
              <w:t>Balance at 31 March</w:t>
            </w:r>
          </w:p>
        </w:tc>
        <w:tc>
          <w:tcPr>
            <w:tcW w:w="1270" w:type="dxa"/>
            <w:tcBorders>
              <w:top w:val="single" w:sz="4" w:space="0" w:color="auto"/>
            </w:tcBorders>
            <w:shd w:val="clear" w:color="auto" w:fill="auto"/>
            <w:noWrap/>
            <w:vAlign w:val="center"/>
            <w:hideMark/>
          </w:tcPr>
          <w:p w:rsidR="001D73DF" w:rsidRPr="002F17B5" w:rsidRDefault="00AA0715" w:rsidP="002A101C">
            <w:pPr>
              <w:spacing w:after="40"/>
              <w:ind w:left="113" w:right="283"/>
              <w:jc w:val="right"/>
              <w:rPr>
                <w:b/>
              </w:rPr>
            </w:pPr>
            <w:r w:rsidRPr="002F17B5">
              <w:rPr>
                <w:b/>
              </w:rPr>
              <w:t>27.4</w:t>
            </w:r>
          </w:p>
        </w:tc>
        <w:tc>
          <w:tcPr>
            <w:tcW w:w="1084" w:type="dxa"/>
            <w:tcBorders>
              <w:top w:val="single" w:sz="4" w:space="0" w:color="auto"/>
            </w:tcBorders>
            <w:shd w:val="clear" w:color="auto" w:fill="auto"/>
            <w:noWrap/>
            <w:vAlign w:val="center"/>
            <w:hideMark/>
          </w:tcPr>
          <w:p w:rsidR="001D73DF" w:rsidRPr="002F17B5" w:rsidRDefault="00AA0715" w:rsidP="002A101C">
            <w:pPr>
              <w:spacing w:after="40"/>
              <w:ind w:left="113" w:right="170"/>
              <w:jc w:val="right"/>
              <w:rPr>
                <w:b/>
              </w:rPr>
            </w:pPr>
            <w:r w:rsidRPr="002F17B5">
              <w:rPr>
                <w:b/>
              </w:rPr>
              <w:t>1.1</w:t>
            </w:r>
          </w:p>
        </w:tc>
      </w:tr>
    </w:tbl>
    <w:p w:rsidR="00743C20" w:rsidRPr="002F17B5" w:rsidRDefault="00743C20" w:rsidP="00743C20">
      <w:pPr>
        <w:spacing w:after="240"/>
        <w:rPr>
          <w:b/>
          <w:sz w:val="14"/>
        </w:rPr>
      </w:pPr>
    </w:p>
    <w:p w:rsidR="00870247" w:rsidRPr="002F17B5" w:rsidRDefault="00870247" w:rsidP="00743C20">
      <w:pPr>
        <w:spacing w:after="240"/>
        <w:rPr>
          <w:b/>
          <w:sz w:val="14"/>
        </w:rPr>
      </w:pPr>
    </w:p>
    <w:p w:rsidR="00870247" w:rsidRPr="002F17B5" w:rsidRDefault="00870247" w:rsidP="00743C20">
      <w:pPr>
        <w:spacing w:after="240"/>
        <w:rPr>
          <w:b/>
          <w:sz w:val="14"/>
        </w:rPr>
      </w:pPr>
    </w:p>
    <w:p w:rsidR="00B70B4B" w:rsidRPr="002F17B5" w:rsidRDefault="00E030E9" w:rsidP="00870247">
      <w:pPr>
        <w:rPr>
          <w:b/>
        </w:rPr>
      </w:pPr>
      <w:r w:rsidRPr="002F17B5">
        <w:rPr>
          <w:b/>
        </w:rPr>
        <w:t xml:space="preserve">  </w:t>
      </w:r>
      <w:r w:rsidR="00743C20" w:rsidRPr="002F17B5">
        <w:rPr>
          <w:b/>
        </w:rPr>
        <w:t xml:space="preserve">Pensions Reserve </w:t>
      </w:r>
    </w:p>
    <w:p w:rsidR="00743C20" w:rsidRPr="002F17B5" w:rsidRDefault="00743C20" w:rsidP="00865370">
      <w:pPr>
        <w:ind w:left="142"/>
      </w:pPr>
      <w:r w:rsidRPr="002F17B5">
        <w:t xml:space="preserve">The pensions reserve absorbs the timing differences arising from the different arrangements for accounting for post employment benefits and for funding benefits in accordance with statutory provisions. </w:t>
      </w:r>
    </w:p>
    <w:p w:rsidR="00743C20" w:rsidRPr="008778FF" w:rsidRDefault="00743C20" w:rsidP="00865370">
      <w:pPr>
        <w:ind w:left="142"/>
        <w:rPr>
          <w:sz w:val="12"/>
        </w:rPr>
      </w:pPr>
    </w:p>
    <w:p w:rsidR="00743C20" w:rsidRPr="002F17B5" w:rsidRDefault="00743C20" w:rsidP="00865370">
      <w:pPr>
        <w:ind w:left="142"/>
      </w:pPr>
      <w:r w:rsidRPr="002F17B5">
        <w:t xml:space="preserve">The council accounts for post 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w:t>
      </w:r>
    </w:p>
    <w:p w:rsidR="00743C20" w:rsidRPr="008778FF" w:rsidRDefault="00743C20" w:rsidP="00865370">
      <w:pPr>
        <w:ind w:left="142"/>
        <w:rPr>
          <w:sz w:val="14"/>
        </w:rPr>
      </w:pPr>
    </w:p>
    <w:p w:rsidR="00743C20" w:rsidRPr="002F17B5" w:rsidRDefault="00743C20" w:rsidP="00865370">
      <w:pPr>
        <w:ind w:left="142"/>
      </w:pPr>
      <w:r w:rsidRPr="002F17B5">
        <w:t>However, statutory arrangements require benefits earned to be financed, as the council makes employer's contributions to pension funds or eventually pay any pensions for which it is directly responsible. The debit balance on the Pensions Reserve therefore shows a substantial shortfall in the benefits earned by past and current employees and the resources the council has set aside to meet them. The statutory arrangements will ensure that funding will have been set aside by the time the benefits come to be paid.</w:t>
      </w:r>
    </w:p>
    <w:p w:rsidR="00870247" w:rsidRPr="002F17B5" w:rsidRDefault="00870247">
      <w:pPr>
        <w:autoSpaceDE/>
        <w:autoSpaceDN/>
        <w:adjustRightInd/>
        <w:spacing w:after="20"/>
        <w:jc w:val="right"/>
      </w:pPr>
      <w:r w:rsidRPr="002F17B5">
        <w:br w:type="page"/>
      </w:r>
    </w:p>
    <w:tbl>
      <w:tblPr>
        <w:tblW w:w="4703" w:type="pct"/>
        <w:jc w:val="center"/>
        <w:tblLook w:val="04A0" w:firstRow="1" w:lastRow="0" w:firstColumn="1" w:lastColumn="0" w:noHBand="0" w:noVBand="1"/>
      </w:tblPr>
      <w:tblGrid>
        <w:gridCol w:w="6572"/>
        <w:gridCol w:w="1419"/>
        <w:gridCol w:w="2056"/>
      </w:tblGrid>
      <w:tr w:rsidR="00743C20" w:rsidRPr="002F17B5" w:rsidTr="00935A8A">
        <w:trPr>
          <w:jc w:val="center"/>
        </w:trPr>
        <w:tc>
          <w:tcPr>
            <w:tcW w:w="3271" w:type="pct"/>
            <w:shd w:val="clear" w:color="auto" w:fill="FFFFFF" w:themeFill="background1"/>
          </w:tcPr>
          <w:p w:rsidR="00743C20" w:rsidRPr="002F17B5" w:rsidRDefault="00743C20" w:rsidP="00870247">
            <w:pPr>
              <w:spacing w:after="80"/>
            </w:pPr>
            <w:r w:rsidRPr="002F17B5">
              <w:lastRenderedPageBreak/>
              <w:br w:type="page"/>
            </w:r>
          </w:p>
        </w:tc>
        <w:tc>
          <w:tcPr>
            <w:tcW w:w="706" w:type="pct"/>
            <w:shd w:val="clear" w:color="auto" w:fill="FFFFFF" w:themeFill="background1"/>
          </w:tcPr>
          <w:p w:rsidR="00743C20" w:rsidRPr="002F17B5" w:rsidRDefault="008B7B52" w:rsidP="00870247">
            <w:pPr>
              <w:spacing w:after="80"/>
              <w:jc w:val="right"/>
              <w:rPr>
                <w:b/>
              </w:rPr>
            </w:pPr>
            <w:r w:rsidRPr="002F17B5">
              <w:rPr>
                <w:b/>
              </w:rPr>
              <w:t>31/03/201</w:t>
            </w:r>
            <w:r w:rsidR="00935A8A" w:rsidRPr="002F17B5">
              <w:rPr>
                <w:b/>
              </w:rPr>
              <w:t>4</w:t>
            </w:r>
          </w:p>
        </w:tc>
        <w:tc>
          <w:tcPr>
            <w:tcW w:w="1023" w:type="pct"/>
            <w:shd w:val="clear" w:color="auto" w:fill="FFFFFF" w:themeFill="background1"/>
          </w:tcPr>
          <w:p w:rsidR="00743C20" w:rsidRPr="002F17B5" w:rsidRDefault="008B7B52" w:rsidP="00870247">
            <w:pPr>
              <w:spacing w:after="80"/>
              <w:jc w:val="right"/>
              <w:rPr>
                <w:b/>
              </w:rPr>
            </w:pPr>
            <w:r w:rsidRPr="002F17B5">
              <w:rPr>
                <w:b/>
              </w:rPr>
              <w:t>31/03/20</w:t>
            </w:r>
            <w:r w:rsidR="00A90216" w:rsidRPr="002F17B5">
              <w:rPr>
                <w:b/>
              </w:rPr>
              <w:t>1</w:t>
            </w:r>
            <w:r w:rsidR="00935A8A" w:rsidRPr="002F17B5">
              <w:rPr>
                <w:b/>
              </w:rPr>
              <w:t>3</w:t>
            </w:r>
            <w:r w:rsidRPr="002F17B5">
              <w:rPr>
                <w:b/>
              </w:rPr>
              <w:t xml:space="preserve"> </w:t>
            </w:r>
          </w:p>
        </w:tc>
      </w:tr>
      <w:tr w:rsidR="00743C20" w:rsidRPr="002F17B5" w:rsidTr="00870247">
        <w:trPr>
          <w:trHeight w:val="546"/>
          <w:jc w:val="center"/>
        </w:trPr>
        <w:tc>
          <w:tcPr>
            <w:tcW w:w="3271" w:type="pct"/>
            <w:shd w:val="clear" w:color="auto" w:fill="FFFFFF" w:themeFill="background1"/>
          </w:tcPr>
          <w:p w:rsidR="00743C20" w:rsidRPr="002F17B5" w:rsidRDefault="00743C20" w:rsidP="00870247">
            <w:pPr>
              <w:spacing w:after="80"/>
            </w:pPr>
          </w:p>
        </w:tc>
        <w:tc>
          <w:tcPr>
            <w:tcW w:w="706" w:type="pct"/>
            <w:shd w:val="clear" w:color="auto" w:fill="FFFFFF" w:themeFill="background1"/>
          </w:tcPr>
          <w:p w:rsidR="00743C20" w:rsidRPr="002F17B5" w:rsidRDefault="00743C20" w:rsidP="00870247">
            <w:pPr>
              <w:spacing w:after="80"/>
              <w:jc w:val="right"/>
              <w:rPr>
                <w:b/>
              </w:rPr>
            </w:pPr>
            <w:r w:rsidRPr="002F17B5">
              <w:rPr>
                <w:b/>
              </w:rPr>
              <w:t>£m</w:t>
            </w:r>
          </w:p>
        </w:tc>
        <w:tc>
          <w:tcPr>
            <w:tcW w:w="1023" w:type="pct"/>
            <w:shd w:val="clear" w:color="auto" w:fill="FFFFFF" w:themeFill="background1"/>
          </w:tcPr>
          <w:p w:rsidR="00743C20" w:rsidRPr="002F17B5" w:rsidRDefault="00743C20" w:rsidP="00870247">
            <w:pPr>
              <w:spacing w:after="80"/>
              <w:jc w:val="right"/>
              <w:rPr>
                <w:b/>
              </w:rPr>
            </w:pPr>
            <w:r w:rsidRPr="002F17B5">
              <w:rPr>
                <w:b/>
              </w:rPr>
              <w:t>£m</w:t>
            </w:r>
          </w:p>
        </w:tc>
      </w:tr>
      <w:tr w:rsidR="005C42FF" w:rsidRPr="002F17B5" w:rsidTr="00870247">
        <w:trPr>
          <w:trHeight w:val="426"/>
          <w:jc w:val="center"/>
        </w:trPr>
        <w:tc>
          <w:tcPr>
            <w:tcW w:w="3271" w:type="pct"/>
            <w:shd w:val="clear" w:color="auto" w:fill="FFFFFF" w:themeFill="background1"/>
          </w:tcPr>
          <w:p w:rsidR="005C42FF" w:rsidRPr="002F17B5" w:rsidRDefault="005C42FF" w:rsidP="00870247">
            <w:pPr>
              <w:spacing w:after="80"/>
              <w:jc w:val="left"/>
              <w:rPr>
                <w:b/>
              </w:rPr>
            </w:pPr>
            <w:r w:rsidRPr="002F17B5">
              <w:rPr>
                <w:b/>
              </w:rPr>
              <w:t>Balance at 1 April</w:t>
            </w:r>
          </w:p>
        </w:tc>
        <w:tc>
          <w:tcPr>
            <w:tcW w:w="706" w:type="pct"/>
            <w:shd w:val="clear" w:color="auto" w:fill="FFFFFF" w:themeFill="background1"/>
            <w:vAlign w:val="center"/>
          </w:tcPr>
          <w:p w:rsidR="005C42FF" w:rsidRPr="002F17B5" w:rsidRDefault="006C63C2" w:rsidP="00870247">
            <w:pPr>
              <w:spacing w:after="80"/>
              <w:jc w:val="right"/>
            </w:pPr>
            <w:r w:rsidRPr="002F17B5">
              <w:t>1,127.1</w:t>
            </w:r>
          </w:p>
        </w:tc>
        <w:tc>
          <w:tcPr>
            <w:tcW w:w="1023" w:type="pct"/>
            <w:shd w:val="clear" w:color="auto" w:fill="FFFFFF" w:themeFill="background1"/>
            <w:vAlign w:val="center"/>
          </w:tcPr>
          <w:p w:rsidR="005C42FF" w:rsidRPr="002F17B5" w:rsidRDefault="006C63C2" w:rsidP="00870247">
            <w:pPr>
              <w:spacing w:after="80"/>
              <w:jc w:val="right"/>
            </w:pPr>
            <w:r w:rsidRPr="002F17B5">
              <w:t>939.5</w:t>
            </w:r>
          </w:p>
        </w:tc>
      </w:tr>
      <w:tr w:rsidR="005C42FF" w:rsidRPr="002F17B5" w:rsidTr="00870247">
        <w:trPr>
          <w:trHeight w:val="417"/>
          <w:jc w:val="center"/>
        </w:trPr>
        <w:tc>
          <w:tcPr>
            <w:tcW w:w="3271" w:type="pct"/>
            <w:shd w:val="clear" w:color="auto" w:fill="FFFFFF" w:themeFill="background1"/>
          </w:tcPr>
          <w:p w:rsidR="005C42FF" w:rsidRPr="002F17B5" w:rsidRDefault="006C63C2" w:rsidP="00870247">
            <w:pPr>
              <w:spacing w:after="80"/>
              <w:jc w:val="left"/>
              <w:rPr>
                <w:rFonts w:cs="Arial"/>
              </w:rPr>
            </w:pPr>
            <w:proofErr w:type="spellStart"/>
            <w:r w:rsidRPr="002F17B5">
              <w:rPr>
                <w:rFonts w:cs="Arial"/>
              </w:rPr>
              <w:t>Remeasurements</w:t>
            </w:r>
            <w:proofErr w:type="spellEnd"/>
            <w:r w:rsidRPr="002F17B5">
              <w:rPr>
                <w:rFonts w:cs="Arial"/>
              </w:rPr>
              <w:t xml:space="preserve"> of the net defined benefit liability/(asset)</w:t>
            </w:r>
          </w:p>
        </w:tc>
        <w:tc>
          <w:tcPr>
            <w:tcW w:w="706" w:type="pct"/>
            <w:shd w:val="clear" w:color="auto" w:fill="FFFFFF" w:themeFill="background1"/>
            <w:vAlign w:val="center"/>
          </w:tcPr>
          <w:p w:rsidR="005C42FF" w:rsidRPr="002F17B5" w:rsidRDefault="006C63C2" w:rsidP="00870247">
            <w:pPr>
              <w:spacing w:after="80"/>
              <w:jc w:val="right"/>
            </w:pPr>
            <w:r w:rsidRPr="002F17B5">
              <w:t>(273.8)</w:t>
            </w:r>
          </w:p>
        </w:tc>
        <w:tc>
          <w:tcPr>
            <w:tcW w:w="1023" w:type="pct"/>
            <w:shd w:val="clear" w:color="auto" w:fill="FFFFFF" w:themeFill="background1"/>
            <w:vAlign w:val="center"/>
          </w:tcPr>
          <w:p w:rsidR="005C42FF" w:rsidRPr="002F17B5" w:rsidRDefault="005C42FF" w:rsidP="00870247">
            <w:pPr>
              <w:spacing w:after="80"/>
              <w:jc w:val="right"/>
            </w:pPr>
            <w:r w:rsidRPr="002F17B5">
              <w:t>173.3</w:t>
            </w:r>
          </w:p>
        </w:tc>
      </w:tr>
      <w:tr w:rsidR="005C42FF" w:rsidRPr="002F17B5" w:rsidTr="00935A8A">
        <w:trPr>
          <w:jc w:val="center"/>
        </w:trPr>
        <w:tc>
          <w:tcPr>
            <w:tcW w:w="3271" w:type="pct"/>
            <w:shd w:val="clear" w:color="auto" w:fill="FFFFFF" w:themeFill="background1"/>
          </w:tcPr>
          <w:p w:rsidR="005C42FF" w:rsidRPr="002F17B5" w:rsidRDefault="005C42FF" w:rsidP="00870247">
            <w:pPr>
              <w:spacing w:after="80"/>
              <w:jc w:val="left"/>
            </w:pPr>
            <w:r w:rsidRPr="002F17B5">
              <w:t>Reversal of items relating to retirement benefits debited or credited to the Surplus or Deficit on the Provision of Services in the Comprehensive Income and Expenditure Statement</w:t>
            </w:r>
          </w:p>
        </w:tc>
        <w:tc>
          <w:tcPr>
            <w:tcW w:w="706" w:type="pct"/>
            <w:shd w:val="clear" w:color="auto" w:fill="FFFFFF" w:themeFill="background1"/>
            <w:vAlign w:val="center"/>
          </w:tcPr>
          <w:p w:rsidR="005C42FF" w:rsidRPr="002F17B5" w:rsidRDefault="006C63C2" w:rsidP="00870247">
            <w:pPr>
              <w:spacing w:after="80"/>
              <w:jc w:val="right"/>
            </w:pPr>
            <w:r w:rsidRPr="002F17B5">
              <w:t>134.9</w:t>
            </w:r>
          </w:p>
        </w:tc>
        <w:tc>
          <w:tcPr>
            <w:tcW w:w="1023" w:type="pct"/>
            <w:shd w:val="clear" w:color="auto" w:fill="FFFFFF" w:themeFill="background1"/>
            <w:vAlign w:val="center"/>
          </w:tcPr>
          <w:p w:rsidR="005C42FF" w:rsidRPr="002F17B5" w:rsidRDefault="005C42FF" w:rsidP="00870247">
            <w:pPr>
              <w:spacing w:after="80"/>
              <w:jc w:val="right"/>
            </w:pPr>
            <w:r w:rsidRPr="002F17B5">
              <w:t>91.2</w:t>
            </w:r>
          </w:p>
        </w:tc>
      </w:tr>
      <w:tr w:rsidR="005C42FF" w:rsidRPr="002F17B5" w:rsidTr="00870247">
        <w:trPr>
          <w:trHeight w:val="795"/>
          <w:jc w:val="center"/>
        </w:trPr>
        <w:tc>
          <w:tcPr>
            <w:tcW w:w="3271" w:type="pct"/>
            <w:shd w:val="clear" w:color="auto" w:fill="FFFFFF" w:themeFill="background1"/>
          </w:tcPr>
          <w:p w:rsidR="005C42FF" w:rsidRPr="002F17B5" w:rsidRDefault="005C42FF" w:rsidP="00870247">
            <w:pPr>
              <w:spacing w:after="80"/>
              <w:jc w:val="left"/>
            </w:pPr>
            <w:r w:rsidRPr="002F17B5">
              <w:t>Employer's pension contributions and direct payments to pensioners payable in the year</w:t>
            </w:r>
          </w:p>
        </w:tc>
        <w:tc>
          <w:tcPr>
            <w:tcW w:w="706" w:type="pct"/>
            <w:tcBorders>
              <w:bottom w:val="single" w:sz="4" w:space="0" w:color="auto"/>
            </w:tcBorders>
            <w:shd w:val="clear" w:color="auto" w:fill="FFFFFF" w:themeFill="background1"/>
            <w:vAlign w:val="center"/>
          </w:tcPr>
          <w:p w:rsidR="005C42FF" w:rsidRPr="002F17B5" w:rsidRDefault="006C63C2" w:rsidP="00870247">
            <w:pPr>
              <w:spacing w:after="80"/>
              <w:jc w:val="right"/>
            </w:pPr>
            <w:r w:rsidRPr="002F17B5">
              <w:t>(83.1)</w:t>
            </w:r>
          </w:p>
        </w:tc>
        <w:tc>
          <w:tcPr>
            <w:tcW w:w="1023" w:type="pct"/>
            <w:tcBorders>
              <w:bottom w:val="single" w:sz="4" w:space="0" w:color="auto"/>
            </w:tcBorders>
            <w:shd w:val="clear" w:color="auto" w:fill="FFFFFF" w:themeFill="background1"/>
            <w:vAlign w:val="center"/>
          </w:tcPr>
          <w:p w:rsidR="005C42FF" w:rsidRPr="002F17B5" w:rsidRDefault="006C63C2" w:rsidP="00870247">
            <w:pPr>
              <w:spacing w:after="80"/>
              <w:jc w:val="right"/>
            </w:pPr>
            <w:r w:rsidRPr="002F17B5">
              <w:t>(</w:t>
            </w:r>
            <w:r w:rsidR="005C42FF" w:rsidRPr="002F17B5">
              <w:t>76.9</w:t>
            </w:r>
            <w:r w:rsidRPr="002F17B5">
              <w:t>)</w:t>
            </w:r>
          </w:p>
        </w:tc>
      </w:tr>
      <w:tr w:rsidR="005C42FF" w:rsidRPr="002F17B5" w:rsidTr="006C63C2">
        <w:trPr>
          <w:jc w:val="center"/>
        </w:trPr>
        <w:tc>
          <w:tcPr>
            <w:tcW w:w="3271" w:type="pct"/>
            <w:shd w:val="clear" w:color="auto" w:fill="FFFFFF" w:themeFill="background1"/>
          </w:tcPr>
          <w:p w:rsidR="005C42FF" w:rsidRPr="002F17B5" w:rsidRDefault="005C42FF" w:rsidP="00870247">
            <w:pPr>
              <w:spacing w:after="80"/>
              <w:jc w:val="left"/>
              <w:rPr>
                <w:b/>
              </w:rPr>
            </w:pPr>
            <w:r w:rsidRPr="002F17B5">
              <w:rPr>
                <w:b/>
              </w:rPr>
              <w:t>Balance at 31</w:t>
            </w:r>
            <w:r w:rsidRPr="002F17B5">
              <w:rPr>
                <w:b/>
                <w:vertAlign w:val="superscript"/>
              </w:rPr>
              <w:t xml:space="preserve"> </w:t>
            </w:r>
            <w:r w:rsidRPr="002F17B5">
              <w:rPr>
                <w:b/>
              </w:rPr>
              <w:t>March</w:t>
            </w:r>
          </w:p>
        </w:tc>
        <w:tc>
          <w:tcPr>
            <w:tcW w:w="706" w:type="pct"/>
            <w:tcBorders>
              <w:top w:val="single" w:sz="4" w:space="0" w:color="auto"/>
            </w:tcBorders>
            <w:shd w:val="clear" w:color="auto" w:fill="FFFFFF" w:themeFill="background1"/>
            <w:vAlign w:val="center"/>
          </w:tcPr>
          <w:p w:rsidR="005C42FF" w:rsidRPr="002F17B5" w:rsidRDefault="006C63C2" w:rsidP="00870247">
            <w:pPr>
              <w:spacing w:after="80"/>
              <w:jc w:val="right"/>
              <w:rPr>
                <w:b/>
              </w:rPr>
            </w:pPr>
            <w:r w:rsidRPr="002F17B5">
              <w:rPr>
                <w:b/>
              </w:rPr>
              <w:t>905.1</w:t>
            </w:r>
          </w:p>
        </w:tc>
        <w:tc>
          <w:tcPr>
            <w:tcW w:w="1023" w:type="pct"/>
            <w:tcBorders>
              <w:top w:val="single" w:sz="4" w:space="0" w:color="auto"/>
            </w:tcBorders>
            <w:shd w:val="clear" w:color="auto" w:fill="FFFFFF" w:themeFill="background1"/>
            <w:vAlign w:val="center"/>
          </w:tcPr>
          <w:p w:rsidR="005C42FF" w:rsidRPr="002F17B5" w:rsidRDefault="005C42FF" w:rsidP="00870247">
            <w:pPr>
              <w:spacing w:after="80"/>
              <w:jc w:val="right"/>
              <w:rPr>
                <w:b/>
              </w:rPr>
            </w:pPr>
            <w:r w:rsidRPr="002F17B5">
              <w:rPr>
                <w:b/>
              </w:rPr>
              <w:t>1,127.1</w:t>
            </w:r>
          </w:p>
        </w:tc>
      </w:tr>
    </w:tbl>
    <w:p w:rsidR="00870247" w:rsidRPr="002F17B5" w:rsidRDefault="00286D86" w:rsidP="00870247">
      <w:pPr>
        <w:pStyle w:val="Heading3-numbered"/>
        <w:numPr>
          <w:ilvl w:val="0"/>
          <w:numId w:val="0"/>
        </w:numPr>
        <w:ind w:left="360"/>
        <w:rPr>
          <w:i w:val="0"/>
          <w:sz w:val="26"/>
        </w:rPr>
      </w:pPr>
      <w:r w:rsidRPr="002F17B5">
        <w:rPr>
          <w:b w:val="0"/>
          <w:bCs w:val="0"/>
          <w:sz w:val="26"/>
        </w:rPr>
        <w:t xml:space="preserve"> </w:t>
      </w:r>
    </w:p>
    <w:p w:rsidR="00870247" w:rsidRDefault="00870247" w:rsidP="00870247">
      <w:pPr>
        <w:pStyle w:val="Heading3-numbered"/>
        <w:numPr>
          <w:ilvl w:val="0"/>
          <w:numId w:val="0"/>
        </w:numPr>
        <w:ind w:left="360"/>
        <w:rPr>
          <w:i w:val="0"/>
          <w:sz w:val="26"/>
        </w:rPr>
      </w:pPr>
    </w:p>
    <w:p w:rsidR="00DB314D" w:rsidRPr="002F17B5" w:rsidRDefault="00DB314D" w:rsidP="00870247">
      <w:pPr>
        <w:pStyle w:val="Heading3-numbered"/>
        <w:numPr>
          <w:ilvl w:val="0"/>
          <w:numId w:val="0"/>
        </w:numPr>
        <w:ind w:left="360"/>
        <w:rPr>
          <w:i w:val="0"/>
          <w:sz w:val="26"/>
        </w:rPr>
      </w:pPr>
    </w:p>
    <w:p w:rsidR="00E030E9" w:rsidRPr="002F17B5" w:rsidRDefault="00286D86" w:rsidP="00E030E9">
      <w:pPr>
        <w:pStyle w:val="Heading3-numbered"/>
        <w:rPr>
          <w:i w:val="0"/>
          <w:sz w:val="26"/>
        </w:rPr>
      </w:pPr>
      <w:r w:rsidRPr="002F17B5">
        <w:rPr>
          <w:b w:val="0"/>
          <w:bCs w:val="0"/>
          <w:sz w:val="26"/>
        </w:rPr>
        <w:t xml:space="preserve"> </w:t>
      </w:r>
      <w:r w:rsidRPr="002F17B5">
        <w:rPr>
          <w:i w:val="0"/>
          <w:sz w:val="26"/>
        </w:rPr>
        <w:t>Long Term Debtors</w:t>
      </w:r>
    </w:p>
    <w:p w:rsidR="00870247" w:rsidRPr="002F17B5" w:rsidRDefault="00870247" w:rsidP="00AA0715">
      <w:pPr>
        <w:pStyle w:val="Heading3-numbered"/>
        <w:numPr>
          <w:ilvl w:val="0"/>
          <w:numId w:val="0"/>
        </w:numPr>
        <w:ind w:left="644"/>
        <w:rPr>
          <w:rFonts w:eastAsia="Calibri" w:cs="Helvetica-Light"/>
          <w:b w:val="0"/>
          <w:bCs w:val="0"/>
          <w:i w:val="0"/>
          <w:color w:val="000000"/>
          <w:sz w:val="10"/>
          <w:szCs w:val="24"/>
        </w:rPr>
      </w:pPr>
    </w:p>
    <w:p w:rsidR="00AA0715" w:rsidRPr="002F17B5" w:rsidRDefault="00321511" w:rsidP="00321511">
      <w:pPr>
        <w:pStyle w:val="Heading3-numbered"/>
        <w:numPr>
          <w:ilvl w:val="0"/>
          <w:numId w:val="0"/>
        </w:numPr>
        <w:ind w:left="360" w:hanging="360"/>
        <w:rPr>
          <w:rFonts w:eastAsia="Calibri" w:cs="Helvetica-Light"/>
          <w:b w:val="0"/>
          <w:bCs w:val="0"/>
          <w:i w:val="0"/>
          <w:color w:val="000000"/>
          <w:sz w:val="24"/>
          <w:szCs w:val="24"/>
        </w:rPr>
      </w:pPr>
      <w:r>
        <w:rPr>
          <w:rFonts w:eastAsia="Calibri" w:cs="Helvetica-Light"/>
          <w:b w:val="0"/>
          <w:bCs w:val="0"/>
          <w:i w:val="0"/>
          <w:color w:val="000000"/>
          <w:sz w:val="24"/>
          <w:szCs w:val="24"/>
        </w:rPr>
        <w:tab/>
      </w:r>
      <w:r w:rsidR="00AA0715" w:rsidRPr="002F17B5">
        <w:rPr>
          <w:rFonts w:eastAsia="Calibri" w:cs="Helvetica-Light"/>
          <w:b w:val="0"/>
          <w:bCs w:val="0"/>
          <w:i w:val="0"/>
          <w:color w:val="000000"/>
          <w:sz w:val="24"/>
          <w:szCs w:val="24"/>
        </w:rPr>
        <w:t>Long term debts to the council are shown below:</w:t>
      </w:r>
    </w:p>
    <w:p w:rsidR="00AA0715" w:rsidRPr="002F17B5" w:rsidRDefault="00AA0715" w:rsidP="00AA0715">
      <w:pPr>
        <w:pStyle w:val="Heading3-numbered"/>
        <w:numPr>
          <w:ilvl w:val="0"/>
          <w:numId w:val="0"/>
        </w:numPr>
        <w:ind w:left="644"/>
        <w:rPr>
          <w:sz w:val="12"/>
        </w:rPr>
      </w:pPr>
    </w:p>
    <w:tbl>
      <w:tblPr>
        <w:tblW w:w="0" w:type="auto"/>
        <w:tblInd w:w="750" w:type="dxa"/>
        <w:tblLook w:val="04A0" w:firstRow="1" w:lastRow="0" w:firstColumn="1" w:lastColumn="0" w:noHBand="0" w:noVBand="1"/>
      </w:tblPr>
      <w:tblGrid>
        <w:gridCol w:w="2193"/>
        <w:gridCol w:w="1985"/>
        <w:gridCol w:w="2126"/>
      </w:tblGrid>
      <w:tr w:rsidR="002D69F0" w:rsidRPr="002F17B5" w:rsidTr="007E4C45">
        <w:tc>
          <w:tcPr>
            <w:tcW w:w="2193" w:type="dxa"/>
          </w:tcPr>
          <w:p w:rsidR="002D69F0" w:rsidRPr="002F17B5" w:rsidRDefault="002D69F0" w:rsidP="002D69F0"/>
        </w:tc>
        <w:tc>
          <w:tcPr>
            <w:tcW w:w="1985" w:type="dxa"/>
          </w:tcPr>
          <w:p w:rsidR="002D69F0" w:rsidRPr="002F17B5" w:rsidRDefault="002D69F0" w:rsidP="002D69F0">
            <w:pPr>
              <w:spacing w:after="80"/>
              <w:jc w:val="right"/>
              <w:rPr>
                <w:b/>
              </w:rPr>
            </w:pPr>
            <w:r w:rsidRPr="002F17B5">
              <w:rPr>
                <w:b/>
              </w:rPr>
              <w:t>31/03/2014</w:t>
            </w:r>
          </w:p>
        </w:tc>
        <w:tc>
          <w:tcPr>
            <w:tcW w:w="2126" w:type="dxa"/>
          </w:tcPr>
          <w:p w:rsidR="002D69F0" w:rsidRPr="002F17B5" w:rsidRDefault="002D69F0" w:rsidP="002D69F0">
            <w:pPr>
              <w:spacing w:after="80"/>
              <w:jc w:val="right"/>
              <w:rPr>
                <w:b/>
              </w:rPr>
            </w:pPr>
            <w:r w:rsidRPr="002F17B5">
              <w:rPr>
                <w:b/>
              </w:rPr>
              <w:t xml:space="preserve">31/03/2013 </w:t>
            </w:r>
          </w:p>
        </w:tc>
      </w:tr>
      <w:tr w:rsidR="00AA0715" w:rsidRPr="002F17B5" w:rsidTr="007E4C45">
        <w:tc>
          <w:tcPr>
            <w:tcW w:w="2193" w:type="dxa"/>
          </w:tcPr>
          <w:p w:rsidR="00AA0715" w:rsidRPr="002F17B5" w:rsidRDefault="00AA0715" w:rsidP="00F265DF"/>
        </w:tc>
        <w:tc>
          <w:tcPr>
            <w:tcW w:w="1985" w:type="dxa"/>
          </w:tcPr>
          <w:p w:rsidR="00AA0715" w:rsidRPr="002F17B5" w:rsidRDefault="00AA0715" w:rsidP="00F265DF">
            <w:pPr>
              <w:jc w:val="right"/>
              <w:rPr>
                <w:b/>
              </w:rPr>
            </w:pPr>
            <w:r w:rsidRPr="002F17B5">
              <w:rPr>
                <w:b/>
              </w:rPr>
              <w:t>£m</w:t>
            </w:r>
          </w:p>
        </w:tc>
        <w:tc>
          <w:tcPr>
            <w:tcW w:w="2126" w:type="dxa"/>
          </w:tcPr>
          <w:p w:rsidR="00AA0715" w:rsidRPr="002F17B5" w:rsidRDefault="00AA0715" w:rsidP="00F265DF">
            <w:pPr>
              <w:jc w:val="right"/>
              <w:rPr>
                <w:b/>
              </w:rPr>
            </w:pPr>
            <w:r w:rsidRPr="002F17B5">
              <w:rPr>
                <w:b/>
              </w:rPr>
              <w:t>£m</w:t>
            </w:r>
          </w:p>
        </w:tc>
      </w:tr>
      <w:tr w:rsidR="00AA0715" w:rsidRPr="002F17B5" w:rsidTr="007E4C45">
        <w:tc>
          <w:tcPr>
            <w:tcW w:w="2193" w:type="dxa"/>
          </w:tcPr>
          <w:p w:rsidR="00AA0715" w:rsidRPr="002F17B5" w:rsidRDefault="00AA0715" w:rsidP="00F265DF">
            <w:r w:rsidRPr="002F17B5">
              <w:t>Transferred Debt</w:t>
            </w:r>
          </w:p>
        </w:tc>
        <w:tc>
          <w:tcPr>
            <w:tcW w:w="1985" w:type="dxa"/>
            <w:tcBorders>
              <w:bottom w:val="single" w:sz="4" w:space="0" w:color="auto"/>
            </w:tcBorders>
          </w:tcPr>
          <w:p w:rsidR="00AA0715" w:rsidRPr="002F17B5" w:rsidRDefault="00AA0715" w:rsidP="00F265DF">
            <w:pPr>
              <w:jc w:val="right"/>
            </w:pPr>
            <w:r w:rsidRPr="002F17B5">
              <w:t>41.1</w:t>
            </w:r>
          </w:p>
        </w:tc>
        <w:tc>
          <w:tcPr>
            <w:tcW w:w="2126" w:type="dxa"/>
            <w:tcBorders>
              <w:bottom w:val="single" w:sz="4" w:space="0" w:color="auto"/>
            </w:tcBorders>
          </w:tcPr>
          <w:p w:rsidR="00AA0715" w:rsidRPr="002F17B5" w:rsidRDefault="00AA0715" w:rsidP="00F265DF">
            <w:pPr>
              <w:jc w:val="right"/>
            </w:pPr>
            <w:r w:rsidRPr="002F17B5">
              <w:t>43.1</w:t>
            </w:r>
          </w:p>
        </w:tc>
      </w:tr>
      <w:tr w:rsidR="00AA0715" w:rsidRPr="002F17B5" w:rsidTr="007E4C45">
        <w:tc>
          <w:tcPr>
            <w:tcW w:w="2193" w:type="dxa"/>
          </w:tcPr>
          <w:p w:rsidR="00AA0715" w:rsidRPr="002F17B5" w:rsidRDefault="00AA0715" w:rsidP="00F265DF">
            <w:pPr>
              <w:rPr>
                <w:b/>
              </w:rPr>
            </w:pPr>
            <w:r w:rsidRPr="002F17B5">
              <w:rPr>
                <w:b/>
              </w:rPr>
              <w:t>Total</w:t>
            </w:r>
          </w:p>
        </w:tc>
        <w:tc>
          <w:tcPr>
            <w:tcW w:w="1985" w:type="dxa"/>
            <w:tcBorders>
              <w:top w:val="single" w:sz="4" w:space="0" w:color="auto"/>
            </w:tcBorders>
          </w:tcPr>
          <w:p w:rsidR="00AA0715" w:rsidRPr="002F17B5" w:rsidRDefault="00AA0715" w:rsidP="00F265DF">
            <w:pPr>
              <w:jc w:val="right"/>
              <w:rPr>
                <w:b/>
              </w:rPr>
            </w:pPr>
            <w:r w:rsidRPr="002F17B5">
              <w:rPr>
                <w:b/>
              </w:rPr>
              <w:t>41.1</w:t>
            </w:r>
          </w:p>
        </w:tc>
        <w:tc>
          <w:tcPr>
            <w:tcW w:w="2126" w:type="dxa"/>
            <w:tcBorders>
              <w:top w:val="single" w:sz="4" w:space="0" w:color="auto"/>
            </w:tcBorders>
          </w:tcPr>
          <w:p w:rsidR="00AA0715" w:rsidRPr="002F17B5" w:rsidRDefault="00AA0715" w:rsidP="00F265DF">
            <w:pPr>
              <w:jc w:val="right"/>
              <w:rPr>
                <w:b/>
              </w:rPr>
            </w:pPr>
            <w:r w:rsidRPr="002F17B5">
              <w:rPr>
                <w:b/>
              </w:rPr>
              <w:t>43.1</w:t>
            </w:r>
          </w:p>
        </w:tc>
      </w:tr>
    </w:tbl>
    <w:p w:rsidR="00870247" w:rsidRPr="002F17B5" w:rsidRDefault="00870247" w:rsidP="00870247">
      <w:pPr>
        <w:pStyle w:val="Heading3-numbered"/>
        <w:numPr>
          <w:ilvl w:val="0"/>
          <w:numId w:val="0"/>
        </w:numPr>
        <w:spacing w:before="120"/>
        <w:ind w:left="510"/>
        <w:rPr>
          <w:rFonts w:eastAsia="Calibri" w:cs="Helvetica-Light"/>
          <w:b w:val="0"/>
          <w:bCs w:val="0"/>
          <w:i w:val="0"/>
          <w:color w:val="000000"/>
          <w:sz w:val="24"/>
          <w:szCs w:val="24"/>
        </w:rPr>
      </w:pPr>
    </w:p>
    <w:p w:rsidR="00782000" w:rsidRPr="002F17B5" w:rsidRDefault="00AA0715" w:rsidP="00AA5305">
      <w:pPr>
        <w:pStyle w:val="Heading3-numbered"/>
        <w:numPr>
          <w:ilvl w:val="0"/>
          <w:numId w:val="0"/>
        </w:numPr>
        <w:spacing w:before="120"/>
        <w:ind w:left="283"/>
        <w:rPr>
          <w:b w:val="0"/>
        </w:rPr>
      </w:pPr>
      <w:r w:rsidRPr="002F17B5">
        <w:rPr>
          <w:rFonts w:eastAsia="Calibri" w:cs="Helvetica-Light"/>
          <w:b w:val="0"/>
          <w:bCs w:val="0"/>
          <w:i w:val="0"/>
          <w:color w:val="000000"/>
          <w:sz w:val="24"/>
          <w:szCs w:val="24"/>
        </w:rPr>
        <w:t>Transferred debt is debt which we manage for other authorities as a result of various local government reorganisations, which is being repaid over time.</w:t>
      </w: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
    <w:p w:rsidR="004E3451" w:rsidRPr="00F04042" w:rsidRDefault="004E3451" w:rsidP="004B0BD8">
      <w:pPr>
        <w:pStyle w:val="ListParagraph"/>
        <w:autoSpaceDE/>
        <w:autoSpaceDN/>
        <w:adjustRightInd/>
        <w:spacing w:after="20"/>
        <w:ind w:left="1080"/>
        <w:rPr>
          <w:b/>
          <w:sz w:val="28"/>
        </w:rPr>
      </w:pP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
    <w:p w:rsidR="004E3451" w:rsidRDefault="004E3451" w:rsidP="004E3451">
      <w:pPr>
        <w:autoSpaceDE/>
        <w:autoSpaceDN/>
        <w:adjustRightInd/>
        <w:spacing w:after="20"/>
        <w:rPr>
          <w:b/>
          <w:sz w:val="28"/>
        </w:rPr>
      </w:pPr>
      <w:proofErr w:type="spellStart"/>
      <w:r w:rsidRPr="002F17B5">
        <w:rPr>
          <w:b/>
          <w:sz w:val="28"/>
        </w:rPr>
        <w:lastRenderedPageBreak/>
        <w:t>Cashflow</w:t>
      </w:r>
      <w:proofErr w:type="spellEnd"/>
      <w:r w:rsidRPr="002F17B5">
        <w:rPr>
          <w:b/>
          <w:sz w:val="28"/>
        </w:rPr>
        <w:t xml:space="preserve"> Statement Notes</w:t>
      </w:r>
    </w:p>
    <w:p w:rsidR="00FB6515" w:rsidRDefault="00FB6515" w:rsidP="00AA5305">
      <w:pPr>
        <w:autoSpaceDE/>
        <w:autoSpaceDN/>
        <w:adjustRightInd/>
        <w:spacing w:after="20"/>
        <w:rPr>
          <w:b/>
          <w:sz w:val="28"/>
        </w:rPr>
      </w:pPr>
    </w:p>
    <w:p w:rsidR="004E3451" w:rsidRPr="004E3451" w:rsidRDefault="004E3451" w:rsidP="004E3451">
      <w:pPr>
        <w:pStyle w:val="Heading3-numbered"/>
        <w:rPr>
          <w:i w:val="0"/>
        </w:rPr>
      </w:pPr>
      <w:proofErr w:type="spellStart"/>
      <w:r w:rsidRPr="004E3451">
        <w:rPr>
          <w:i w:val="0"/>
        </w:rPr>
        <w:t>Cashflows</w:t>
      </w:r>
      <w:proofErr w:type="spellEnd"/>
      <w:r w:rsidRPr="004E3451">
        <w:rPr>
          <w:i w:val="0"/>
        </w:rPr>
        <w:t xml:space="preserve"> from Operating Activities</w:t>
      </w:r>
    </w:p>
    <w:p w:rsidR="004E3451" w:rsidRPr="002F17B5" w:rsidRDefault="004E3451" w:rsidP="004E3451">
      <w:pPr>
        <w:pStyle w:val="Heading3-numbered"/>
        <w:numPr>
          <w:ilvl w:val="0"/>
          <w:numId w:val="0"/>
        </w:numPr>
        <w:ind w:left="644"/>
        <w:rPr>
          <w:rFonts w:eastAsia="Calibri" w:cs="Helvetica-Light"/>
          <w:b w:val="0"/>
          <w:bCs w:val="0"/>
          <w:i w:val="0"/>
          <w:color w:val="000000"/>
          <w:sz w:val="10"/>
          <w:szCs w:val="24"/>
        </w:rPr>
      </w:pPr>
    </w:p>
    <w:tbl>
      <w:tblPr>
        <w:tblW w:w="0" w:type="auto"/>
        <w:tblLook w:val="04A0" w:firstRow="1" w:lastRow="0" w:firstColumn="1" w:lastColumn="0" w:noHBand="0" w:noVBand="1"/>
      </w:tblPr>
      <w:tblGrid>
        <w:gridCol w:w="750"/>
        <w:gridCol w:w="973"/>
        <w:gridCol w:w="992"/>
        <w:gridCol w:w="228"/>
        <w:gridCol w:w="4167"/>
        <w:gridCol w:w="1559"/>
        <w:gridCol w:w="1556"/>
      </w:tblGrid>
      <w:tr w:rsidR="004E3451" w:rsidRPr="002F17B5" w:rsidTr="004E3451">
        <w:trPr>
          <w:gridBefore w:val="1"/>
          <w:gridAfter w:val="3"/>
          <w:wBefore w:w="750" w:type="dxa"/>
          <w:wAfter w:w="7282" w:type="dxa"/>
        </w:trPr>
        <w:tc>
          <w:tcPr>
            <w:tcW w:w="2193" w:type="dxa"/>
            <w:gridSpan w:val="3"/>
          </w:tcPr>
          <w:p w:rsidR="004E3451" w:rsidRPr="002F17B5" w:rsidRDefault="004E3451" w:rsidP="006E641D"/>
        </w:tc>
      </w:tr>
      <w:tr w:rsidR="00E555A0" w:rsidRPr="00AE1692" w:rsidTr="004E3451">
        <w:tblPrEx>
          <w:jc w:val="center"/>
        </w:tblPrEx>
        <w:trPr>
          <w:trHeight w:val="330"/>
          <w:jc w:val="center"/>
        </w:trPr>
        <w:tc>
          <w:tcPr>
            <w:tcW w:w="2715" w:type="dxa"/>
            <w:gridSpan w:val="3"/>
            <w:shd w:val="clear" w:color="auto" w:fill="FFFFFF" w:themeFill="background1"/>
            <w:hideMark/>
          </w:tcPr>
          <w:p w:rsidR="00E555A0" w:rsidRPr="00AE1692" w:rsidRDefault="00E555A0" w:rsidP="00E555A0">
            <w:pPr>
              <w:ind w:left="426" w:right="299"/>
              <w:jc w:val="left"/>
              <w:rPr>
                <w:b/>
                <w:bCs/>
              </w:rPr>
            </w:pPr>
            <w:r w:rsidRPr="00AE1692">
              <w:rPr>
                <w:b/>
                <w:bCs/>
              </w:rPr>
              <w:t>2013/14</w:t>
            </w:r>
          </w:p>
        </w:tc>
        <w:tc>
          <w:tcPr>
            <w:tcW w:w="4395" w:type="dxa"/>
            <w:gridSpan w:val="2"/>
            <w:shd w:val="clear" w:color="auto" w:fill="FFFFFF" w:themeFill="background1"/>
            <w:hideMark/>
          </w:tcPr>
          <w:p w:rsidR="00E555A0" w:rsidRPr="00AE1692" w:rsidRDefault="00E555A0" w:rsidP="00E555A0">
            <w:pPr>
              <w:jc w:val="center"/>
            </w:pPr>
            <w:r w:rsidRPr="00AE1692">
              <w:t> </w:t>
            </w:r>
          </w:p>
        </w:tc>
        <w:tc>
          <w:tcPr>
            <w:tcW w:w="3115" w:type="dxa"/>
            <w:gridSpan w:val="2"/>
            <w:shd w:val="clear" w:color="auto" w:fill="FFFFFF" w:themeFill="background1"/>
            <w:hideMark/>
          </w:tcPr>
          <w:p w:rsidR="00E555A0" w:rsidRPr="00AE1692" w:rsidRDefault="00FB6515" w:rsidP="00AA5305">
            <w:pPr>
              <w:rPr>
                <w:b/>
                <w:bCs/>
              </w:rPr>
            </w:pPr>
            <w:r w:rsidRPr="00AE1692">
              <w:rPr>
                <w:b/>
                <w:bCs/>
              </w:rPr>
              <w:t xml:space="preserve">            2012/13</w:t>
            </w:r>
          </w:p>
        </w:tc>
      </w:tr>
      <w:tr w:rsidR="00E555A0" w:rsidRPr="00AE1692" w:rsidTr="004E3451">
        <w:tblPrEx>
          <w:jc w:val="center"/>
        </w:tblPrEx>
        <w:trPr>
          <w:trHeight w:val="330"/>
          <w:jc w:val="center"/>
        </w:trPr>
        <w:tc>
          <w:tcPr>
            <w:tcW w:w="1723" w:type="dxa"/>
            <w:gridSpan w:val="2"/>
            <w:shd w:val="clear" w:color="auto" w:fill="FFFFFF" w:themeFill="background1"/>
            <w:hideMark/>
          </w:tcPr>
          <w:p w:rsidR="00E555A0" w:rsidRPr="00AE1692" w:rsidRDefault="00E555A0" w:rsidP="00E555A0">
            <w:pPr>
              <w:ind w:left="426" w:right="299"/>
              <w:jc w:val="left"/>
              <w:rPr>
                <w:b/>
                <w:bCs/>
              </w:rPr>
            </w:pPr>
            <w:r w:rsidRPr="00AE1692">
              <w:rPr>
                <w:b/>
                <w:bCs/>
              </w:rPr>
              <w:t xml:space="preserve">    £m</w:t>
            </w:r>
          </w:p>
        </w:tc>
        <w:tc>
          <w:tcPr>
            <w:tcW w:w="992" w:type="dxa"/>
            <w:shd w:val="clear" w:color="auto" w:fill="FFFFFF" w:themeFill="background1"/>
            <w:hideMark/>
          </w:tcPr>
          <w:p w:rsidR="00E555A0" w:rsidRPr="00AE1692" w:rsidRDefault="00E555A0" w:rsidP="00E555A0">
            <w:pPr>
              <w:jc w:val="right"/>
              <w:rPr>
                <w:b/>
                <w:bCs/>
              </w:rPr>
            </w:pPr>
            <w:r w:rsidRPr="00AE1692">
              <w:rPr>
                <w:b/>
                <w:bCs/>
              </w:rPr>
              <w:t>£m</w:t>
            </w:r>
          </w:p>
        </w:tc>
        <w:tc>
          <w:tcPr>
            <w:tcW w:w="4395" w:type="dxa"/>
            <w:gridSpan w:val="2"/>
            <w:shd w:val="clear" w:color="auto" w:fill="FFFFFF" w:themeFill="background1"/>
            <w:hideMark/>
          </w:tcPr>
          <w:p w:rsidR="00E555A0" w:rsidRPr="00AE1692" w:rsidRDefault="00E555A0" w:rsidP="00E555A0">
            <w:pPr>
              <w:jc w:val="right"/>
            </w:pPr>
            <w:r w:rsidRPr="00AE1692">
              <w:t> </w:t>
            </w:r>
          </w:p>
        </w:tc>
        <w:tc>
          <w:tcPr>
            <w:tcW w:w="1559" w:type="dxa"/>
            <w:shd w:val="clear" w:color="auto" w:fill="FFFFFF" w:themeFill="background1"/>
            <w:hideMark/>
          </w:tcPr>
          <w:p w:rsidR="00E555A0" w:rsidRPr="00AE1692" w:rsidRDefault="00E555A0" w:rsidP="00E555A0">
            <w:pPr>
              <w:jc w:val="right"/>
              <w:rPr>
                <w:b/>
                <w:bCs/>
              </w:rPr>
            </w:pPr>
            <w:r w:rsidRPr="00AE1692">
              <w:rPr>
                <w:b/>
                <w:bCs/>
              </w:rPr>
              <w:t>£m</w:t>
            </w:r>
          </w:p>
        </w:tc>
        <w:tc>
          <w:tcPr>
            <w:tcW w:w="1556" w:type="dxa"/>
            <w:shd w:val="clear" w:color="auto" w:fill="FFFFFF" w:themeFill="background1"/>
            <w:hideMark/>
          </w:tcPr>
          <w:p w:rsidR="00E555A0" w:rsidRPr="00AE1692" w:rsidRDefault="00E555A0" w:rsidP="00E555A0">
            <w:pPr>
              <w:jc w:val="right"/>
              <w:rPr>
                <w:b/>
                <w:bCs/>
              </w:rPr>
            </w:pPr>
            <w:r w:rsidRPr="00AE1692">
              <w:rPr>
                <w:b/>
                <w:bCs/>
              </w:rPr>
              <w:t>£m</w:t>
            </w:r>
          </w:p>
        </w:tc>
      </w:tr>
      <w:tr w:rsidR="00E555A0" w:rsidRPr="00AE1692" w:rsidTr="004E3451">
        <w:tblPrEx>
          <w:jc w:val="center"/>
        </w:tblPrEx>
        <w:trPr>
          <w:trHeight w:val="330"/>
          <w:jc w:val="center"/>
        </w:trPr>
        <w:tc>
          <w:tcPr>
            <w:tcW w:w="1723" w:type="dxa"/>
            <w:gridSpan w:val="2"/>
            <w:shd w:val="clear" w:color="auto" w:fill="FFFFFF" w:themeFill="background1"/>
            <w:vAlign w:val="center"/>
            <w:hideMark/>
          </w:tcPr>
          <w:p w:rsidR="00E555A0" w:rsidRPr="00AE1692" w:rsidRDefault="00E555A0" w:rsidP="00E555A0">
            <w:pPr>
              <w:ind w:left="426" w:right="299"/>
              <w:jc w:val="left"/>
            </w:pPr>
          </w:p>
        </w:tc>
        <w:tc>
          <w:tcPr>
            <w:tcW w:w="992" w:type="dxa"/>
            <w:shd w:val="clear" w:color="auto" w:fill="FFFFFF" w:themeFill="background1"/>
            <w:vAlign w:val="center"/>
            <w:hideMark/>
          </w:tcPr>
          <w:p w:rsidR="00E555A0" w:rsidRPr="00AE1692" w:rsidRDefault="00E555A0" w:rsidP="00E555A0">
            <w:pPr>
              <w:jc w:val="right"/>
              <w:rPr>
                <w:b/>
              </w:rPr>
            </w:pPr>
            <w:r w:rsidRPr="00AE1692">
              <w:rPr>
                <w:b/>
              </w:rPr>
              <w:t>19.9</w:t>
            </w:r>
          </w:p>
        </w:tc>
        <w:tc>
          <w:tcPr>
            <w:tcW w:w="4395" w:type="dxa"/>
            <w:gridSpan w:val="2"/>
            <w:shd w:val="clear" w:color="auto" w:fill="FFFFFF" w:themeFill="background1"/>
            <w:vAlign w:val="center"/>
            <w:hideMark/>
          </w:tcPr>
          <w:p w:rsidR="00E555A0" w:rsidRPr="00AE1692" w:rsidRDefault="00E555A0" w:rsidP="00E555A0">
            <w:pPr>
              <w:rPr>
                <w:b/>
                <w:bCs/>
              </w:rPr>
            </w:pPr>
            <w:r w:rsidRPr="00AE1692">
              <w:rPr>
                <w:b/>
                <w:bCs/>
              </w:rPr>
              <w:t>Net (surplus) or deficit on the provision of services</w:t>
            </w:r>
          </w:p>
        </w:tc>
        <w:tc>
          <w:tcPr>
            <w:tcW w:w="1559" w:type="dxa"/>
            <w:shd w:val="clear" w:color="auto" w:fill="FFFFFF" w:themeFill="background1"/>
            <w:vAlign w:val="center"/>
            <w:hideMark/>
          </w:tcPr>
          <w:p w:rsidR="00E555A0" w:rsidRPr="00AE1692" w:rsidRDefault="00E555A0" w:rsidP="00E555A0">
            <w:pPr>
              <w:ind w:left="426" w:right="34"/>
              <w:jc w:val="left"/>
            </w:pPr>
            <w:r w:rsidRPr="00AE1692">
              <w:t> </w:t>
            </w:r>
          </w:p>
        </w:tc>
        <w:tc>
          <w:tcPr>
            <w:tcW w:w="1556" w:type="dxa"/>
            <w:shd w:val="clear" w:color="auto" w:fill="FFFFFF" w:themeFill="background1"/>
            <w:vAlign w:val="center"/>
            <w:hideMark/>
          </w:tcPr>
          <w:p w:rsidR="00E555A0" w:rsidRPr="00AE1692" w:rsidRDefault="00E555A0" w:rsidP="00E555A0">
            <w:pPr>
              <w:jc w:val="right"/>
              <w:rPr>
                <w:b/>
              </w:rPr>
            </w:pPr>
            <w:r w:rsidRPr="00AE1692">
              <w:rPr>
                <w:b/>
              </w:rPr>
              <w:t>(33.0)</w:t>
            </w: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rPr>
                <w:u w:val="single"/>
              </w:rPr>
            </w:pPr>
            <w:r w:rsidRPr="00AE1692">
              <w:rPr>
                <w:u w:val="single"/>
              </w:rPr>
              <w:t>Adjustment to surplus or deficit on the provision of services for non cash movements</w:t>
            </w:r>
          </w:p>
        </w:tc>
        <w:tc>
          <w:tcPr>
            <w:tcW w:w="1559" w:type="dxa"/>
            <w:shd w:val="clear" w:color="auto" w:fill="FFFFFF" w:themeFill="background1"/>
            <w:vAlign w:val="center"/>
            <w:hideMark/>
          </w:tcPr>
          <w:p w:rsidR="00E555A0" w:rsidRPr="00AE1692" w:rsidRDefault="00E555A0" w:rsidP="00E555A0">
            <w:pPr>
              <w:ind w:left="426" w:right="34"/>
              <w:jc w:val="right"/>
            </w:pPr>
          </w:p>
        </w:tc>
        <w:tc>
          <w:tcPr>
            <w:tcW w:w="1556" w:type="dxa"/>
            <w:shd w:val="clear" w:color="auto" w:fill="FFFFFF" w:themeFill="background1"/>
            <w:vAlign w:val="center"/>
            <w:hideMark/>
          </w:tcPr>
          <w:p w:rsidR="00E555A0" w:rsidRPr="00AE1692" w:rsidRDefault="00E555A0" w:rsidP="00E555A0">
            <w:pPr>
              <w:jc w:val="right"/>
            </w:pP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E555A0">
            <w:pPr>
              <w:ind w:left="426" w:right="299"/>
              <w:jc w:val="right"/>
            </w:pPr>
            <w:r w:rsidRPr="00AE1692">
              <w:t>(47.2)</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pPr>
              <w:jc w:val="left"/>
            </w:pPr>
            <w:r w:rsidRPr="00AE1692">
              <w:t xml:space="preserve">Depreciation </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(53.1)</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r w:rsidRPr="00AE1692">
              <w:t>(39.9)</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pPr>
            <w:r w:rsidRPr="00AE1692">
              <w:t>Impairment and downward valuations</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(13.3)</w:t>
            </w:r>
          </w:p>
        </w:tc>
        <w:tc>
          <w:tcPr>
            <w:tcW w:w="1556" w:type="dxa"/>
            <w:shd w:val="clear" w:color="auto" w:fill="FFFFFF" w:themeFill="background1"/>
            <w:vAlign w:val="center"/>
            <w:hideMark/>
          </w:tcPr>
          <w:p w:rsidR="00E555A0" w:rsidRPr="00AE1692" w:rsidRDefault="00E555A0" w:rsidP="00E555A0">
            <w:pPr>
              <w:jc w:val="right"/>
            </w:pPr>
          </w:p>
        </w:tc>
      </w:tr>
      <w:tr w:rsidR="00E555A0" w:rsidRPr="00AE1692" w:rsidTr="004E3451">
        <w:tblPrEx>
          <w:jc w:val="center"/>
        </w:tblPrEx>
        <w:trPr>
          <w:trHeight w:val="315"/>
          <w:jc w:val="center"/>
        </w:trPr>
        <w:tc>
          <w:tcPr>
            <w:tcW w:w="1723" w:type="dxa"/>
            <w:gridSpan w:val="2"/>
            <w:shd w:val="clear" w:color="auto" w:fill="FFFFFF" w:themeFill="background1"/>
            <w:vAlign w:val="center"/>
          </w:tcPr>
          <w:p w:rsidR="00E555A0" w:rsidRPr="00AE1692" w:rsidRDefault="00E555A0" w:rsidP="00E555A0">
            <w:pPr>
              <w:ind w:left="426" w:right="299"/>
              <w:jc w:val="right"/>
            </w:pPr>
            <w:r w:rsidRPr="00AE1692">
              <w:t>(2.8)</w:t>
            </w:r>
          </w:p>
        </w:tc>
        <w:tc>
          <w:tcPr>
            <w:tcW w:w="992" w:type="dxa"/>
            <w:shd w:val="clear" w:color="auto" w:fill="FFFFFF" w:themeFill="background1"/>
            <w:vAlign w:val="center"/>
          </w:tcPr>
          <w:p w:rsidR="00E555A0" w:rsidRPr="00AE1692" w:rsidRDefault="00E555A0" w:rsidP="00E555A0">
            <w:pPr>
              <w:jc w:val="right"/>
            </w:pPr>
          </w:p>
        </w:tc>
        <w:tc>
          <w:tcPr>
            <w:tcW w:w="4395" w:type="dxa"/>
            <w:gridSpan w:val="2"/>
            <w:shd w:val="clear" w:color="auto" w:fill="FFFFFF" w:themeFill="background1"/>
          </w:tcPr>
          <w:p w:rsidR="00E555A0" w:rsidRPr="00AE1692" w:rsidRDefault="00E555A0" w:rsidP="00E555A0">
            <w:pPr>
              <w:jc w:val="left"/>
            </w:pPr>
            <w:r w:rsidRPr="00AE1692">
              <w:t>Amortisation of intangible assets</w:t>
            </w:r>
          </w:p>
        </w:tc>
        <w:tc>
          <w:tcPr>
            <w:tcW w:w="1559" w:type="dxa"/>
            <w:shd w:val="clear" w:color="auto" w:fill="FFFFFF" w:themeFill="background1"/>
            <w:vAlign w:val="center"/>
          </w:tcPr>
          <w:p w:rsidR="00E555A0" w:rsidRPr="00AE1692" w:rsidRDefault="00E555A0" w:rsidP="00E555A0">
            <w:pPr>
              <w:ind w:left="426" w:right="34"/>
              <w:jc w:val="right"/>
            </w:pPr>
            <w:r w:rsidRPr="00AE1692">
              <w:t>(1.8)</w:t>
            </w:r>
          </w:p>
        </w:tc>
        <w:tc>
          <w:tcPr>
            <w:tcW w:w="1556" w:type="dxa"/>
            <w:shd w:val="clear" w:color="auto" w:fill="FFFFFF" w:themeFill="background1"/>
            <w:vAlign w:val="center"/>
          </w:tcPr>
          <w:p w:rsidR="00E555A0" w:rsidRPr="00AE1692" w:rsidRDefault="00E555A0" w:rsidP="00E555A0">
            <w:pPr>
              <w:jc w:val="right"/>
            </w:pPr>
          </w:p>
        </w:tc>
      </w:tr>
      <w:tr w:rsidR="00E555A0" w:rsidRPr="00AE1692" w:rsidTr="004E3451">
        <w:tblPrEx>
          <w:jc w:val="center"/>
        </w:tblPrEx>
        <w:trPr>
          <w:trHeight w:val="315"/>
          <w:jc w:val="center"/>
        </w:trPr>
        <w:tc>
          <w:tcPr>
            <w:tcW w:w="1723" w:type="dxa"/>
            <w:gridSpan w:val="2"/>
            <w:shd w:val="clear" w:color="auto" w:fill="FFFFFF" w:themeFill="background1"/>
            <w:vAlign w:val="center"/>
          </w:tcPr>
          <w:p w:rsidR="00E555A0" w:rsidRPr="00AE1692" w:rsidRDefault="00626DE4" w:rsidP="00E555A0">
            <w:pPr>
              <w:ind w:left="426" w:right="299"/>
              <w:jc w:val="right"/>
            </w:pPr>
            <w:r w:rsidRPr="00AE1692">
              <w:t>5.5</w:t>
            </w:r>
          </w:p>
        </w:tc>
        <w:tc>
          <w:tcPr>
            <w:tcW w:w="992" w:type="dxa"/>
            <w:shd w:val="clear" w:color="auto" w:fill="FFFFFF" w:themeFill="background1"/>
            <w:vAlign w:val="center"/>
          </w:tcPr>
          <w:p w:rsidR="00E555A0" w:rsidRPr="00AE1692" w:rsidRDefault="00E555A0" w:rsidP="00E555A0">
            <w:pPr>
              <w:jc w:val="right"/>
            </w:pPr>
          </w:p>
        </w:tc>
        <w:tc>
          <w:tcPr>
            <w:tcW w:w="4395" w:type="dxa"/>
            <w:gridSpan w:val="2"/>
            <w:shd w:val="clear" w:color="auto" w:fill="FFFFFF" w:themeFill="background1"/>
          </w:tcPr>
          <w:p w:rsidR="00E555A0" w:rsidRPr="00AE1692" w:rsidRDefault="00A84E4B">
            <w:pPr>
              <w:jc w:val="left"/>
            </w:pPr>
            <w:r w:rsidRPr="00AE1692">
              <w:t>Increase</w:t>
            </w:r>
            <w:r w:rsidR="00E555A0" w:rsidRPr="00AE1692">
              <w:t>/</w:t>
            </w:r>
            <w:r w:rsidRPr="00AE1692">
              <w:t>(</w:t>
            </w:r>
            <w:r w:rsidR="00E555A0" w:rsidRPr="00AE1692">
              <w:t>Decrease</w:t>
            </w:r>
            <w:r w:rsidRPr="00AE1692">
              <w:t>)</w:t>
            </w:r>
            <w:r w:rsidR="00E555A0" w:rsidRPr="00AE1692">
              <w:t xml:space="preserve"> in impairment for bad debts</w:t>
            </w:r>
          </w:p>
        </w:tc>
        <w:tc>
          <w:tcPr>
            <w:tcW w:w="1559" w:type="dxa"/>
            <w:shd w:val="clear" w:color="auto" w:fill="FFFFFF" w:themeFill="background1"/>
            <w:vAlign w:val="center"/>
          </w:tcPr>
          <w:p w:rsidR="00E555A0" w:rsidRPr="00AE1692" w:rsidRDefault="00E555A0" w:rsidP="00856C92">
            <w:pPr>
              <w:ind w:left="426" w:right="34"/>
              <w:jc w:val="right"/>
            </w:pPr>
            <w:r w:rsidRPr="00AE1692">
              <w:t>(</w:t>
            </w:r>
            <w:r w:rsidR="00856C92">
              <w:t>3</w:t>
            </w:r>
            <w:r w:rsidR="004E7C8E" w:rsidRPr="00AE1692">
              <w:t>.1</w:t>
            </w:r>
            <w:r w:rsidRPr="00AE1692">
              <w:t>)</w:t>
            </w:r>
          </w:p>
        </w:tc>
        <w:tc>
          <w:tcPr>
            <w:tcW w:w="1556" w:type="dxa"/>
            <w:shd w:val="clear" w:color="auto" w:fill="FFFFFF" w:themeFill="background1"/>
            <w:vAlign w:val="center"/>
          </w:tcPr>
          <w:p w:rsidR="00E555A0" w:rsidRPr="00AE1692" w:rsidRDefault="00E555A0" w:rsidP="00E555A0">
            <w:pPr>
              <w:jc w:val="right"/>
            </w:pP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r w:rsidRPr="00AE1692">
              <w:t>(1.3)</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9C11CA" w:rsidP="00E555A0">
            <w:pPr>
              <w:jc w:val="left"/>
            </w:pPr>
            <w:r w:rsidRPr="00AE1692">
              <w:t>(</w:t>
            </w:r>
            <w:r w:rsidR="00A84E4B" w:rsidRPr="00AE1692">
              <w:t>Increase</w:t>
            </w:r>
            <w:r w:rsidRPr="00AE1692">
              <w:t>)</w:t>
            </w:r>
            <w:r w:rsidR="00E555A0" w:rsidRPr="00AE1692">
              <w:t>/Decrease in Creditors</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2.6</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A84E4B" w:rsidP="00E555A0">
            <w:pPr>
              <w:ind w:left="426" w:right="299"/>
              <w:jc w:val="right"/>
            </w:pPr>
            <w:r w:rsidRPr="00AE1692">
              <w:t>(8.4)</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pPr>
              <w:jc w:val="left"/>
            </w:pPr>
            <w:r w:rsidRPr="00AE1692">
              <w:t xml:space="preserve">Increase/(Decrease) in Debtors </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18.2</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r w:rsidRPr="00AE1692">
              <w:t>0.5</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pPr>
            <w:r w:rsidRPr="00AE1692">
              <w:t>Increase/(Decrease) in Inventories</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(0.6)</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r w:rsidRPr="00AE1692">
              <w:t>(51.8)</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pPr>
            <w:r w:rsidRPr="00AE1692">
              <w:t>Movement in Pension Liability</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(14.3)</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863"/>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r w:rsidRPr="00AE1692">
              <w:t>(36.0)</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pPr>
            <w:r w:rsidRPr="00AE1692">
              <w:t>Carrying amount of non-current assets sold [property plant and equipment, investment property and intangible assets]</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(49.2)</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4E7C8E" w:rsidP="00E555A0">
            <w:pPr>
              <w:ind w:left="426" w:right="299"/>
              <w:jc w:val="right"/>
            </w:pPr>
            <w:r w:rsidRPr="00AE1692">
              <w:t>3.1</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4E7C8E" w:rsidRPr="00AE1692" w:rsidRDefault="004E7C8E" w:rsidP="004E7C8E">
            <w:pPr>
              <w:autoSpaceDE/>
              <w:autoSpaceDN/>
              <w:adjustRightInd/>
              <w:spacing w:after="0"/>
              <w:jc w:val="left"/>
              <w:rPr>
                <w:rFonts w:eastAsia="Times New Roman" w:cs="Arial"/>
                <w:lang w:eastAsia="en-GB"/>
              </w:rPr>
            </w:pPr>
            <w:r w:rsidRPr="00AE1692">
              <w:rPr>
                <w:rFonts w:cs="Arial"/>
              </w:rPr>
              <w:t>Other non-cash items charged to the net surplus or deficit on the provision of services</w:t>
            </w:r>
          </w:p>
          <w:p w:rsidR="00E555A0" w:rsidRPr="00AE1692" w:rsidRDefault="00E555A0" w:rsidP="00E555A0">
            <w:pPr>
              <w:jc w:val="left"/>
            </w:pPr>
          </w:p>
        </w:tc>
        <w:tc>
          <w:tcPr>
            <w:tcW w:w="1559" w:type="dxa"/>
            <w:shd w:val="clear" w:color="auto" w:fill="FFFFFF" w:themeFill="background1"/>
            <w:vAlign w:val="center"/>
            <w:hideMark/>
          </w:tcPr>
          <w:p w:rsidR="00E555A0" w:rsidRPr="00AE1692" w:rsidRDefault="005E50A5" w:rsidP="00E555A0">
            <w:pPr>
              <w:ind w:left="426" w:right="34"/>
              <w:jc w:val="right"/>
            </w:pPr>
            <w:r>
              <w:t>3</w:t>
            </w:r>
            <w:r w:rsidR="004E7C8E" w:rsidRPr="00AE1692">
              <w:t>.3</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330"/>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p>
        </w:tc>
        <w:tc>
          <w:tcPr>
            <w:tcW w:w="992" w:type="dxa"/>
            <w:shd w:val="clear" w:color="auto" w:fill="FFFFFF" w:themeFill="background1"/>
            <w:vAlign w:val="center"/>
            <w:hideMark/>
          </w:tcPr>
          <w:p w:rsidR="00E555A0" w:rsidRPr="00AE1692" w:rsidRDefault="00E555A0" w:rsidP="00E555A0">
            <w:pPr>
              <w:jc w:val="right"/>
              <w:rPr>
                <w:b/>
              </w:rPr>
            </w:pPr>
            <w:r w:rsidRPr="00AE1692">
              <w:rPr>
                <w:b/>
              </w:rPr>
              <w:t>(178.3)</w:t>
            </w:r>
          </w:p>
        </w:tc>
        <w:tc>
          <w:tcPr>
            <w:tcW w:w="4395" w:type="dxa"/>
            <w:gridSpan w:val="2"/>
            <w:shd w:val="clear" w:color="auto" w:fill="FFFFFF" w:themeFill="background1"/>
            <w:hideMark/>
          </w:tcPr>
          <w:p w:rsidR="00E555A0" w:rsidRPr="00AE1692" w:rsidRDefault="00E555A0" w:rsidP="00E555A0">
            <w:pPr>
              <w:jc w:val="left"/>
              <w:rPr>
                <w:b/>
                <w:bCs/>
              </w:rPr>
            </w:pPr>
          </w:p>
          <w:p w:rsidR="00E555A0" w:rsidRPr="00AE1692" w:rsidRDefault="00E555A0" w:rsidP="00E555A0">
            <w:pPr>
              <w:jc w:val="left"/>
              <w:rPr>
                <w:b/>
                <w:bCs/>
              </w:rPr>
            </w:pPr>
          </w:p>
        </w:tc>
        <w:tc>
          <w:tcPr>
            <w:tcW w:w="1559" w:type="dxa"/>
            <w:shd w:val="clear" w:color="auto" w:fill="FFFFFF" w:themeFill="background1"/>
            <w:vAlign w:val="center"/>
            <w:hideMark/>
          </w:tcPr>
          <w:p w:rsidR="00E555A0" w:rsidRPr="00AE1692" w:rsidRDefault="00E555A0" w:rsidP="00E555A0">
            <w:pPr>
              <w:ind w:left="426" w:right="34"/>
              <w:jc w:val="right"/>
            </w:pPr>
            <w:r w:rsidRPr="00AE1692">
              <w:t> </w:t>
            </w:r>
          </w:p>
        </w:tc>
        <w:tc>
          <w:tcPr>
            <w:tcW w:w="1556" w:type="dxa"/>
            <w:shd w:val="clear" w:color="auto" w:fill="FFFFFF" w:themeFill="background1"/>
            <w:vAlign w:val="center"/>
            <w:hideMark/>
          </w:tcPr>
          <w:p w:rsidR="00E555A0" w:rsidRPr="00AE1692" w:rsidRDefault="00E555A0" w:rsidP="00E555A0">
            <w:pPr>
              <w:jc w:val="right"/>
              <w:rPr>
                <w:b/>
              </w:rPr>
            </w:pPr>
            <w:r w:rsidRPr="00AE1692">
              <w:rPr>
                <w:b/>
              </w:rPr>
              <w:t>(111.3)</w:t>
            </w:r>
          </w:p>
        </w:tc>
      </w:tr>
      <w:tr w:rsidR="00E555A0" w:rsidRPr="00AE1692" w:rsidTr="004E3451">
        <w:tblPrEx>
          <w:jc w:val="center"/>
        </w:tblPrEx>
        <w:trPr>
          <w:trHeight w:val="915"/>
          <w:jc w:val="center"/>
        </w:trPr>
        <w:tc>
          <w:tcPr>
            <w:tcW w:w="1723" w:type="dxa"/>
            <w:gridSpan w:val="2"/>
            <w:shd w:val="clear" w:color="auto" w:fill="FFFFFF" w:themeFill="background1"/>
            <w:vAlign w:val="center"/>
            <w:hideMark/>
          </w:tcPr>
          <w:p w:rsidR="00E555A0" w:rsidRPr="00AE1692" w:rsidRDefault="00E555A0" w:rsidP="00E555A0">
            <w:pPr>
              <w:ind w:left="426" w:right="299"/>
              <w:jc w:val="center"/>
            </w:pP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rPr>
                <w:u w:val="single"/>
              </w:rPr>
            </w:pPr>
            <w:r w:rsidRPr="00AE1692">
              <w:rPr>
                <w:u w:val="single"/>
              </w:rPr>
              <w:t>Adjust for items included in the net surplus or deficit on the provision of services that are investing or financing activities</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 </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6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r w:rsidRPr="00AE1692">
              <w:t>98.1</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pPr>
            <w:r w:rsidRPr="00AE1692">
              <w:t>Capital Grants credited to (surplus) or deficit on the provision of services</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82.4</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9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r w:rsidRPr="00AE1692">
              <w:lastRenderedPageBreak/>
              <w:t>0.8</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pPr>
            <w:r w:rsidRPr="00AE1692">
              <w:t>Net proceeds from the sale of short and long term investments</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9.8</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6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r w:rsidRPr="00AE1692">
              <w:t>4.7</w:t>
            </w:r>
          </w:p>
        </w:tc>
        <w:tc>
          <w:tcPr>
            <w:tcW w:w="992" w:type="dxa"/>
            <w:shd w:val="clear" w:color="auto" w:fill="FFFFFF" w:themeFill="background1"/>
            <w:vAlign w:val="center"/>
            <w:hideMark/>
          </w:tcPr>
          <w:p w:rsidR="00E555A0" w:rsidRPr="00AE1692" w:rsidRDefault="00E555A0" w:rsidP="00E555A0">
            <w:pPr>
              <w:jc w:val="right"/>
            </w:pPr>
          </w:p>
        </w:tc>
        <w:tc>
          <w:tcPr>
            <w:tcW w:w="4395" w:type="dxa"/>
            <w:gridSpan w:val="2"/>
            <w:shd w:val="clear" w:color="auto" w:fill="FFFFFF" w:themeFill="background1"/>
            <w:hideMark/>
          </w:tcPr>
          <w:p w:rsidR="00E555A0" w:rsidRPr="00AE1692" w:rsidRDefault="00E555A0" w:rsidP="00E555A0">
            <w:pPr>
              <w:jc w:val="left"/>
            </w:pPr>
            <w:r w:rsidRPr="00AE1692">
              <w:t>Proceeds from the sale of property plant and equipment, investment property and intangible assets</w:t>
            </w:r>
          </w:p>
        </w:tc>
        <w:tc>
          <w:tcPr>
            <w:tcW w:w="1559" w:type="dxa"/>
            <w:shd w:val="clear" w:color="auto" w:fill="FFFFFF" w:themeFill="background1"/>
            <w:vAlign w:val="center"/>
            <w:hideMark/>
          </w:tcPr>
          <w:p w:rsidR="00E555A0" w:rsidRPr="00AE1692" w:rsidRDefault="00E555A0" w:rsidP="00E555A0">
            <w:pPr>
              <w:ind w:left="426" w:right="34"/>
              <w:jc w:val="right"/>
            </w:pPr>
            <w:r w:rsidRPr="00AE1692">
              <w:t>3.7</w:t>
            </w:r>
          </w:p>
        </w:tc>
        <w:tc>
          <w:tcPr>
            <w:tcW w:w="1556" w:type="dxa"/>
            <w:shd w:val="clear" w:color="auto" w:fill="FFFFFF" w:themeFill="background1"/>
            <w:vAlign w:val="center"/>
            <w:hideMark/>
          </w:tcPr>
          <w:p w:rsidR="00E555A0" w:rsidRPr="00AE1692" w:rsidRDefault="00E555A0" w:rsidP="00E555A0">
            <w:pPr>
              <w:jc w:val="right"/>
            </w:pPr>
            <w:r w:rsidRPr="00AE1692">
              <w:t> </w:t>
            </w:r>
          </w:p>
        </w:tc>
      </w:tr>
      <w:tr w:rsidR="00E555A0" w:rsidRPr="00AE1692" w:rsidTr="004E3451">
        <w:tblPrEx>
          <w:jc w:val="center"/>
        </w:tblPrEx>
        <w:trPr>
          <w:trHeight w:val="315"/>
          <w:jc w:val="center"/>
        </w:trPr>
        <w:tc>
          <w:tcPr>
            <w:tcW w:w="1723" w:type="dxa"/>
            <w:gridSpan w:val="2"/>
            <w:shd w:val="clear" w:color="auto" w:fill="FFFFFF" w:themeFill="background1"/>
            <w:vAlign w:val="center"/>
            <w:hideMark/>
          </w:tcPr>
          <w:p w:rsidR="00E555A0" w:rsidRPr="00AE1692" w:rsidRDefault="00E555A0" w:rsidP="00E555A0">
            <w:pPr>
              <w:ind w:left="426" w:right="299"/>
              <w:jc w:val="right"/>
            </w:pPr>
          </w:p>
        </w:tc>
        <w:tc>
          <w:tcPr>
            <w:tcW w:w="992" w:type="dxa"/>
            <w:shd w:val="clear" w:color="auto" w:fill="FFFFFF" w:themeFill="background1"/>
            <w:vAlign w:val="center"/>
            <w:hideMark/>
          </w:tcPr>
          <w:p w:rsidR="00E555A0" w:rsidRPr="00AE1692" w:rsidRDefault="00E555A0" w:rsidP="00E555A0">
            <w:pPr>
              <w:jc w:val="right"/>
              <w:rPr>
                <w:b/>
              </w:rPr>
            </w:pPr>
            <w:r w:rsidRPr="00AE1692">
              <w:rPr>
                <w:b/>
              </w:rPr>
              <w:t>103.6</w:t>
            </w:r>
          </w:p>
        </w:tc>
        <w:tc>
          <w:tcPr>
            <w:tcW w:w="4395" w:type="dxa"/>
            <w:gridSpan w:val="2"/>
            <w:shd w:val="clear" w:color="auto" w:fill="FFFFFF" w:themeFill="background1"/>
            <w:vAlign w:val="bottom"/>
            <w:hideMark/>
          </w:tcPr>
          <w:p w:rsidR="00E555A0" w:rsidRPr="00AE1692" w:rsidRDefault="00E555A0" w:rsidP="00E555A0">
            <w:pPr>
              <w:jc w:val="center"/>
              <w:rPr>
                <w:b/>
                <w:bCs/>
              </w:rPr>
            </w:pPr>
            <w:r w:rsidRPr="00AE1692">
              <w:rPr>
                <w:b/>
                <w:bCs/>
              </w:rPr>
              <w:t> </w:t>
            </w:r>
          </w:p>
        </w:tc>
        <w:tc>
          <w:tcPr>
            <w:tcW w:w="1559" w:type="dxa"/>
            <w:shd w:val="clear" w:color="auto" w:fill="FFFFFF" w:themeFill="background1"/>
            <w:vAlign w:val="center"/>
            <w:hideMark/>
          </w:tcPr>
          <w:p w:rsidR="00E555A0" w:rsidRPr="00AE1692" w:rsidRDefault="00E555A0" w:rsidP="00E555A0">
            <w:pPr>
              <w:ind w:left="426" w:right="34"/>
              <w:jc w:val="right"/>
            </w:pPr>
          </w:p>
        </w:tc>
        <w:tc>
          <w:tcPr>
            <w:tcW w:w="1556" w:type="dxa"/>
            <w:shd w:val="clear" w:color="auto" w:fill="FFFFFF" w:themeFill="background1"/>
            <w:vAlign w:val="center"/>
            <w:hideMark/>
          </w:tcPr>
          <w:p w:rsidR="00E555A0" w:rsidRPr="00AE1692" w:rsidRDefault="00E555A0" w:rsidP="00E555A0">
            <w:pPr>
              <w:jc w:val="right"/>
              <w:rPr>
                <w:b/>
              </w:rPr>
            </w:pPr>
            <w:r w:rsidRPr="00AE1692">
              <w:rPr>
                <w:b/>
              </w:rPr>
              <w:t>95.9</w:t>
            </w:r>
          </w:p>
        </w:tc>
      </w:tr>
      <w:tr w:rsidR="00E555A0" w:rsidRPr="00AE1692" w:rsidTr="004E3451">
        <w:tblPrEx>
          <w:jc w:val="center"/>
        </w:tblPrEx>
        <w:trPr>
          <w:trHeight w:val="315"/>
          <w:jc w:val="center"/>
        </w:trPr>
        <w:tc>
          <w:tcPr>
            <w:tcW w:w="1723" w:type="dxa"/>
            <w:gridSpan w:val="2"/>
            <w:shd w:val="clear" w:color="auto" w:fill="FFFFFF" w:themeFill="background1"/>
            <w:vAlign w:val="center"/>
          </w:tcPr>
          <w:p w:rsidR="00E555A0" w:rsidRPr="00AE1692" w:rsidRDefault="00E555A0" w:rsidP="00E555A0">
            <w:pPr>
              <w:ind w:left="426" w:right="299"/>
              <w:jc w:val="right"/>
            </w:pPr>
          </w:p>
        </w:tc>
        <w:tc>
          <w:tcPr>
            <w:tcW w:w="992" w:type="dxa"/>
            <w:shd w:val="clear" w:color="auto" w:fill="FFFFFF" w:themeFill="background1"/>
            <w:vAlign w:val="center"/>
          </w:tcPr>
          <w:p w:rsidR="00E555A0" w:rsidRPr="00AE1692" w:rsidRDefault="00E555A0" w:rsidP="00E555A0">
            <w:pPr>
              <w:jc w:val="right"/>
              <w:rPr>
                <w:b/>
              </w:rPr>
            </w:pPr>
            <w:r w:rsidRPr="00AE1692">
              <w:rPr>
                <w:b/>
              </w:rPr>
              <w:t>(54.8)</w:t>
            </w:r>
          </w:p>
        </w:tc>
        <w:tc>
          <w:tcPr>
            <w:tcW w:w="4395" w:type="dxa"/>
            <w:gridSpan w:val="2"/>
            <w:shd w:val="clear" w:color="auto" w:fill="FFFFFF" w:themeFill="background1"/>
            <w:vAlign w:val="bottom"/>
          </w:tcPr>
          <w:p w:rsidR="00E555A0" w:rsidRPr="00AE1692" w:rsidRDefault="00E555A0" w:rsidP="00E555A0">
            <w:pPr>
              <w:rPr>
                <w:b/>
                <w:bCs/>
              </w:rPr>
            </w:pPr>
            <w:r w:rsidRPr="00AE1692">
              <w:rPr>
                <w:b/>
                <w:bCs/>
              </w:rPr>
              <w:t>Net Cash Flows from Operating Activities</w:t>
            </w:r>
          </w:p>
        </w:tc>
        <w:tc>
          <w:tcPr>
            <w:tcW w:w="1559" w:type="dxa"/>
            <w:shd w:val="clear" w:color="auto" w:fill="FFFFFF" w:themeFill="background1"/>
            <w:vAlign w:val="center"/>
          </w:tcPr>
          <w:p w:rsidR="00E555A0" w:rsidRPr="00AE1692" w:rsidRDefault="00E555A0" w:rsidP="00E555A0">
            <w:pPr>
              <w:ind w:left="426" w:right="34"/>
              <w:jc w:val="right"/>
            </w:pPr>
            <w:r w:rsidRPr="00AE1692">
              <w:t> </w:t>
            </w:r>
          </w:p>
        </w:tc>
        <w:tc>
          <w:tcPr>
            <w:tcW w:w="1556" w:type="dxa"/>
            <w:shd w:val="clear" w:color="auto" w:fill="FFFFFF" w:themeFill="background1"/>
            <w:vAlign w:val="center"/>
          </w:tcPr>
          <w:p w:rsidR="00E555A0" w:rsidRPr="00AE1692" w:rsidRDefault="00E555A0" w:rsidP="00E555A0">
            <w:pPr>
              <w:jc w:val="right"/>
              <w:rPr>
                <w:b/>
              </w:rPr>
            </w:pPr>
            <w:r w:rsidRPr="00AE1692">
              <w:rPr>
                <w:b/>
              </w:rPr>
              <w:t>(48.4)</w:t>
            </w:r>
          </w:p>
        </w:tc>
      </w:tr>
    </w:tbl>
    <w:p w:rsidR="00ED1B01" w:rsidRPr="00AE1692" w:rsidRDefault="00ED1B01">
      <w:pPr>
        <w:autoSpaceDE/>
        <w:autoSpaceDN/>
        <w:adjustRightInd/>
        <w:spacing w:after="20"/>
        <w:rPr>
          <w:b/>
        </w:rPr>
      </w:pPr>
    </w:p>
    <w:p w:rsidR="004A258F" w:rsidRPr="002F17B5" w:rsidRDefault="004A258F">
      <w:pPr>
        <w:autoSpaceDE/>
        <w:autoSpaceDN/>
        <w:adjustRightInd/>
        <w:spacing w:after="20"/>
        <w:rPr>
          <w:b/>
        </w:rPr>
      </w:pPr>
    </w:p>
    <w:p w:rsidR="00870247" w:rsidRPr="002F17B5" w:rsidRDefault="00870247">
      <w:pPr>
        <w:autoSpaceDE/>
        <w:autoSpaceDN/>
        <w:adjustRightInd/>
        <w:spacing w:after="20"/>
        <w:jc w:val="right"/>
        <w:rPr>
          <w:b/>
        </w:rPr>
      </w:pPr>
    </w:p>
    <w:p w:rsidR="00AE7706" w:rsidRPr="002F17B5" w:rsidRDefault="00BE049B" w:rsidP="005855CE">
      <w:pPr>
        <w:pStyle w:val="Heading3-numbered"/>
        <w:rPr>
          <w:i w:val="0"/>
          <w:sz w:val="26"/>
        </w:rPr>
      </w:pPr>
      <w:r w:rsidRPr="002F17B5">
        <w:t xml:space="preserve">  </w:t>
      </w:r>
      <w:r w:rsidR="00286D86" w:rsidRPr="002F17B5">
        <w:rPr>
          <w:i w:val="0"/>
          <w:sz w:val="26"/>
        </w:rPr>
        <w:t>Cash Flow Statement - Operating Activities (Interest)</w:t>
      </w:r>
    </w:p>
    <w:tbl>
      <w:tblPr>
        <w:tblW w:w="0" w:type="auto"/>
        <w:jc w:val="center"/>
        <w:tblLayout w:type="fixed"/>
        <w:tblLook w:val="04A0" w:firstRow="1" w:lastRow="0" w:firstColumn="1" w:lastColumn="0" w:noHBand="0" w:noVBand="1"/>
      </w:tblPr>
      <w:tblGrid>
        <w:gridCol w:w="1242"/>
        <w:gridCol w:w="1134"/>
        <w:gridCol w:w="5387"/>
        <w:gridCol w:w="1337"/>
        <w:gridCol w:w="1311"/>
      </w:tblGrid>
      <w:tr w:rsidR="00AE7706" w:rsidRPr="002F17B5" w:rsidTr="00FC33CA">
        <w:trPr>
          <w:jc w:val="center"/>
        </w:trPr>
        <w:tc>
          <w:tcPr>
            <w:tcW w:w="2376" w:type="dxa"/>
            <w:gridSpan w:val="2"/>
            <w:shd w:val="clear" w:color="auto" w:fill="FFFFFF" w:themeFill="background1"/>
          </w:tcPr>
          <w:p w:rsidR="00AE7706" w:rsidRPr="002F17B5" w:rsidRDefault="00CD4CF3" w:rsidP="00AE7706">
            <w:pPr>
              <w:jc w:val="center"/>
            </w:pPr>
            <w:r w:rsidRPr="002F17B5">
              <w:rPr>
                <w:b/>
              </w:rPr>
              <w:t>2013/14</w:t>
            </w:r>
          </w:p>
        </w:tc>
        <w:tc>
          <w:tcPr>
            <w:tcW w:w="5387" w:type="dxa"/>
            <w:shd w:val="clear" w:color="auto" w:fill="FFFFFF" w:themeFill="background1"/>
          </w:tcPr>
          <w:p w:rsidR="00AE7706" w:rsidRPr="002F17B5" w:rsidRDefault="00AE7706" w:rsidP="00AE7706">
            <w:pPr>
              <w:jc w:val="center"/>
            </w:pPr>
          </w:p>
        </w:tc>
        <w:tc>
          <w:tcPr>
            <w:tcW w:w="2648" w:type="dxa"/>
            <w:gridSpan w:val="2"/>
            <w:shd w:val="clear" w:color="auto" w:fill="FFFFFF" w:themeFill="background1"/>
          </w:tcPr>
          <w:p w:rsidR="00AE7706" w:rsidRPr="002F17B5" w:rsidRDefault="00CD4CF3" w:rsidP="005C42FF">
            <w:pPr>
              <w:jc w:val="center"/>
            </w:pPr>
            <w:r w:rsidRPr="002F17B5">
              <w:rPr>
                <w:b/>
              </w:rPr>
              <w:t>2012/13</w:t>
            </w:r>
            <w:r w:rsidR="00EE59DC" w:rsidRPr="002F17B5">
              <w:rPr>
                <w:b/>
              </w:rPr>
              <w:t xml:space="preserve"> </w:t>
            </w:r>
          </w:p>
        </w:tc>
      </w:tr>
      <w:tr w:rsidR="00AE7706" w:rsidRPr="002F17B5" w:rsidTr="004E4117">
        <w:trPr>
          <w:trHeight w:val="264"/>
          <w:jc w:val="center"/>
        </w:trPr>
        <w:tc>
          <w:tcPr>
            <w:tcW w:w="1242" w:type="dxa"/>
            <w:shd w:val="clear" w:color="auto" w:fill="FFFFFF" w:themeFill="background1"/>
          </w:tcPr>
          <w:p w:rsidR="00AE7706" w:rsidRPr="002F17B5" w:rsidRDefault="00AE7706" w:rsidP="00AE7706">
            <w:pPr>
              <w:jc w:val="right"/>
              <w:rPr>
                <w:b/>
              </w:rPr>
            </w:pPr>
            <w:r w:rsidRPr="002F17B5">
              <w:rPr>
                <w:b/>
              </w:rPr>
              <w:t>£m</w:t>
            </w:r>
          </w:p>
        </w:tc>
        <w:tc>
          <w:tcPr>
            <w:tcW w:w="1134" w:type="dxa"/>
            <w:shd w:val="clear" w:color="auto" w:fill="FFFFFF" w:themeFill="background1"/>
          </w:tcPr>
          <w:p w:rsidR="00AE7706" w:rsidRPr="002F17B5" w:rsidRDefault="00AE7706" w:rsidP="00AE7706">
            <w:pPr>
              <w:jc w:val="right"/>
              <w:rPr>
                <w:b/>
              </w:rPr>
            </w:pPr>
            <w:r w:rsidRPr="002F17B5">
              <w:rPr>
                <w:b/>
              </w:rPr>
              <w:t>£m</w:t>
            </w:r>
          </w:p>
        </w:tc>
        <w:tc>
          <w:tcPr>
            <w:tcW w:w="5387" w:type="dxa"/>
            <w:shd w:val="clear" w:color="auto" w:fill="FFFFFF" w:themeFill="background1"/>
          </w:tcPr>
          <w:p w:rsidR="00AE7706" w:rsidRPr="002F17B5" w:rsidRDefault="00AE7706" w:rsidP="00AE7706">
            <w:pPr>
              <w:jc w:val="right"/>
            </w:pPr>
          </w:p>
        </w:tc>
        <w:tc>
          <w:tcPr>
            <w:tcW w:w="1337" w:type="dxa"/>
            <w:shd w:val="clear" w:color="auto" w:fill="FFFFFF" w:themeFill="background1"/>
          </w:tcPr>
          <w:p w:rsidR="00AE7706" w:rsidRPr="002F17B5" w:rsidRDefault="00AE7706" w:rsidP="00AE7706">
            <w:pPr>
              <w:jc w:val="right"/>
              <w:rPr>
                <w:b/>
              </w:rPr>
            </w:pPr>
            <w:r w:rsidRPr="002F17B5">
              <w:rPr>
                <w:b/>
              </w:rPr>
              <w:t>£m</w:t>
            </w:r>
          </w:p>
        </w:tc>
        <w:tc>
          <w:tcPr>
            <w:tcW w:w="1311" w:type="dxa"/>
            <w:shd w:val="clear" w:color="auto" w:fill="FFFFFF" w:themeFill="background1"/>
          </w:tcPr>
          <w:p w:rsidR="00AE7706" w:rsidRPr="002F17B5" w:rsidRDefault="00AE7706" w:rsidP="00AE7706">
            <w:pPr>
              <w:jc w:val="right"/>
              <w:rPr>
                <w:b/>
              </w:rPr>
            </w:pPr>
            <w:r w:rsidRPr="002F17B5">
              <w:rPr>
                <w:b/>
              </w:rPr>
              <w:t>£m</w:t>
            </w:r>
          </w:p>
        </w:tc>
      </w:tr>
      <w:tr w:rsidR="005C42FF" w:rsidRPr="002F17B5" w:rsidTr="00FC33CA">
        <w:trPr>
          <w:jc w:val="center"/>
        </w:trPr>
        <w:tc>
          <w:tcPr>
            <w:tcW w:w="1242" w:type="dxa"/>
            <w:shd w:val="clear" w:color="auto" w:fill="FFFFFF" w:themeFill="background1"/>
            <w:vAlign w:val="center"/>
          </w:tcPr>
          <w:p w:rsidR="005C42FF" w:rsidRPr="002F17B5" w:rsidRDefault="00B46187" w:rsidP="00AE7706">
            <w:pPr>
              <w:jc w:val="right"/>
            </w:pPr>
            <w:r w:rsidRPr="002F17B5">
              <w:t>(19.</w:t>
            </w:r>
            <w:r w:rsidR="006F2C34" w:rsidRPr="002F17B5">
              <w:t>5</w:t>
            </w:r>
            <w:r w:rsidRPr="002F17B5">
              <w:t>)</w:t>
            </w:r>
          </w:p>
        </w:tc>
        <w:tc>
          <w:tcPr>
            <w:tcW w:w="1134" w:type="dxa"/>
            <w:shd w:val="clear" w:color="auto" w:fill="FFFFFF" w:themeFill="background1"/>
            <w:vAlign w:val="center"/>
          </w:tcPr>
          <w:p w:rsidR="005C42FF" w:rsidRPr="002F17B5" w:rsidRDefault="005C42FF" w:rsidP="00AE7706">
            <w:pPr>
              <w:jc w:val="right"/>
            </w:pPr>
          </w:p>
        </w:tc>
        <w:tc>
          <w:tcPr>
            <w:tcW w:w="5387" w:type="dxa"/>
            <w:shd w:val="clear" w:color="auto" w:fill="FFFFFF" w:themeFill="background1"/>
          </w:tcPr>
          <w:p w:rsidR="005C42FF" w:rsidRPr="002F17B5" w:rsidRDefault="005C42FF" w:rsidP="00950E2F">
            <w:pPr>
              <w:ind w:left="309" w:right="247"/>
            </w:pPr>
            <w:r w:rsidRPr="002F17B5">
              <w:t>Ordinary interest received</w:t>
            </w:r>
          </w:p>
        </w:tc>
        <w:tc>
          <w:tcPr>
            <w:tcW w:w="1337" w:type="dxa"/>
            <w:shd w:val="clear" w:color="auto" w:fill="FFFFFF" w:themeFill="background1"/>
            <w:vAlign w:val="center"/>
          </w:tcPr>
          <w:p w:rsidR="005C42FF" w:rsidRPr="002F17B5" w:rsidRDefault="005C42FF" w:rsidP="005C42FF">
            <w:pPr>
              <w:jc w:val="right"/>
            </w:pPr>
            <w:r w:rsidRPr="002F17B5">
              <w:t>(28.2)</w:t>
            </w:r>
          </w:p>
        </w:tc>
        <w:tc>
          <w:tcPr>
            <w:tcW w:w="1311" w:type="dxa"/>
            <w:shd w:val="clear" w:color="auto" w:fill="FFFFFF" w:themeFill="background1"/>
            <w:vAlign w:val="center"/>
          </w:tcPr>
          <w:p w:rsidR="005C42FF" w:rsidRPr="002F17B5" w:rsidRDefault="005C42FF" w:rsidP="005C42FF">
            <w:pPr>
              <w:jc w:val="right"/>
            </w:pPr>
            <w:r w:rsidRPr="002F17B5">
              <w:t> </w:t>
            </w:r>
          </w:p>
        </w:tc>
      </w:tr>
      <w:tr w:rsidR="005C42FF" w:rsidRPr="002F17B5" w:rsidTr="00FC33CA">
        <w:trPr>
          <w:jc w:val="center"/>
        </w:trPr>
        <w:tc>
          <w:tcPr>
            <w:tcW w:w="1242" w:type="dxa"/>
            <w:shd w:val="clear" w:color="auto" w:fill="FFFFFF" w:themeFill="background1"/>
            <w:vAlign w:val="center"/>
          </w:tcPr>
          <w:p w:rsidR="005C42FF" w:rsidRPr="002F17B5" w:rsidRDefault="00B46187" w:rsidP="00AE7706">
            <w:pPr>
              <w:jc w:val="right"/>
            </w:pPr>
            <w:r w:rsidRPr="002F17B5">
              <w:t>2.4</w:t>
            </w:r>
          </w:p>
        </w:tc>
        <w:tc>
          <w:tcPr>
            <w:tcW w:w="1134" w:type="dxa"/>
            <w:shd w:val="clear" w:color="auto" w:fill="FFFFFF" w:themeFill="background1"/>
            <w:vAlign w:val="center"/>
          </w:tcPr>
          <w:p w:rsidR="005C42FF" w:rsidRPr="002F17B5" w:rsidRDefault="005C42FF" w:rsidP="00AE7706">
            <w:pPr>
              <w:jc w:val="right"/>
            </w:pPr>
          </w:p>
        </w:tc>
        <w:tc>
          <w:tcPr>
            <w:tcW w:w="5387" w:type="dxa"/>
            <w:shd w:val="clear" w:color="auto" w:fill="FFFFFF" w:themeFill="background1"/>
          </w:tcPr>
          <w:p w:rsidR="005C42FF" w:rsidRPr="002F17B5" w:rsidRDefault="005C42FF" w:rsidP="00950E2F">
            <w:pPr>
              <w:ind w:left="309" w:right="247"/>
            </w:pPr>
            <w:r w:rsidRPr="002F17B5">
              <w:t>Other adjustments for differences between Effective Interest Rates and actual interest receivable</w:t>
            </w:r>
          </w:p>
        </w:tc>
        <w:tc>
          <w:tcPr>
            <w:tcW w:w="1337" w:type="dxa"/>
            <w:shd w:val="clear" w:color="auto" w:fill="FFFFFF" w:themeFill="background1"/>
            <w:vAlign w:val="center"/>
          </w:tcPr>
          <w:p w:rsidR="005C42FF" w:rsidRPr="002F17B5" w:rsidRDefault="005C42FF" w:rsidP="005C42FF">
            <w:pPr>
              <w:jc w:val="right"/>
            </w:pPr>
            <w:r w:rsidRPr="002F17B5">
              <w:t>(0.4)</w:t>
            </w:r>
          </w:p>
        </w:tc>
        <w:tc>
          <w:tcPr>
            <w:tcW w:w="1311" w:type="dxa"/>
            <w:shd w:val="clear" w:color="auto" w:fill="FFFFFF" w:themeFill="background1"/>
            <w:vAlign w:val="center"/>
          </w:tcPr>
          <w:p w:rsidR="005C42FF" w:rsidRPr="002F17B5" w:rsidRDefault="005C42FF" w:rsidP="005C42FF">
            <w:pPr>
              <w:jc w:val="right"/>
            </w:pPr>
            <w:r w:rsidRPr="002F17B5">
              <w:t> </w:t>
            </w:r>
          </w:p>
        </w:tc>
      </w:tr>
      <w:tr w:rsidR="005C42FF" w:rsidRPr="002F17B5" w:rsidTr="00FC33CA">
        <w:trPr>
          <w:jc w:val="center"/>
        </w:trPr>
        <w:tc>
          <w:tcPr>
            <w:tcW w:w="1242" w:type="dxa"/>
            <w:shd w:val="clear" w:color="auto" w:fill="FFFFFF" w:themeFill="background1"/>
            <w:vAlign w:val="center"/>
          </w:tcPr>
          <w:p w:rsidR="005C42FF" w:rsidRPr="002F17B5" w:rsidRDefault="00B46187" w:rsidP="00AE7706">
            <w:pPr>
              <w:jc w:val="right"/>
            </w:pPr>
            <w:r w:rsidRPr="002F17B5">
              <w:t>(</w:t>
            </w:r>
            <w:r w:rsidR="004A258F">
              <w:t>1.4</w:t>
            </w:r>
            <w:r w:rsidRPr="002F17B5">
              <w:t>)</w:t>
            </w:r>
          </w:p>
        </w:tc>
        <w:tc>
          <w:tcPr>
            <w:tcW w:w="1134" w:type="dxa"/>
            <w:shd w:val="clear" w:color="auto" w:fill="FFFFFF" w:themeFill="background1"/>
            <w:vAlign w:val="center"/>
          </w:tcPr>
          <w:p w:rsidR="005C42FF" w:rsidRPr="002F17B5" w:rsidRDefault="005C42FF" w:rsidP="00AE7706">
            <w:pPr>
              <w:jc w:val="right"/>
            </w:pPr>
          </w:p>
        </w:tc>
        <w:tc>
          <w:tcPr>
            <w:tcW w:w="5387" w:type="dxa"/>
            <w:shd w:val="clear" w:color="auto" w:fill="FFFFFF" w:themeFill="background1"/>
          </w:tcPr>
          <w:p w:rsidR="005C42FF" w:rsidRPr="002F17B5" w:rsidRDefault="004A258F" w:rsidP="00950E2F">
            <w:pPr>
              <w:ind w:left="309" w:right="247"/>
            </w:pPr>
            <w:r>
              <w:t>Movement in Debtors</w:t>
            </w:r>
          </w:p>
        </w:tc>
        <w:tc>
          <w:tcPr>
            <w:tcW w:w="1337" w:type="dxa"/>
            <w:shd w:val="clear" w:color="auto" w:fill="FFFFFF" w:themeFill="background1"/>
            <w:vAlign w:val="center"/>
          </w:tcPr>
          <w:p w:rsidR="005C42FF" w:rsidRPr="002F17B5" w:rsidRDefault="005C42FF" w:rsidP="005C42FF">
            <w:pPr>
              <w:jc w:val="right"/>
            </w:pPr>
            <w:r w:rsidRPr="002F17B5">
              <w:t>(</w:t>
            </w:r>
            <w:r w:rsidR="004A258F">
              <w:t>1.4</w:t>
            </w:r>
            <w:r w:rsidRPr="002F17B5">
              <w:t>)</w:t>
            </w:r>
          </w:p>
        </w:tc>
        <w:tc>
          <w:tcPr>
            <w:tcW w:w="1311" w:type="dxa"/>
            <w:shd w:val="clear" w:color="auto" w:fill="FFFFFF" w:themeFill="background1"/>
            <w:vAlign w:val="center"/>
          </w:tcPr>
          <w:p w:rsidR="005C42FF" w:rsidRPr="002F17B5" w:rsidRDefault="005C42FF" w:rsidP="005C42FF">
            <w:pPr>
              <w:jc w:val="right"/>
            </w:pPr>
            <w:r w:rsidRPr="002F17B5">
              <w:t> </w:t>
            </w:r>
          </w:p>
        </w:tc>
      </w:tr>
      <w:tr w:rsidR="005C42FF" w:rsidRPr="002F17B5" w:rsidTr="00FC33CA">
        <w:trPr>
          <w:jc w:val="center"/>
        </w:trPr>
        <w:tc>
          <w:tcPr>
            <w:tcW w:w="1242" w:type="dxa"/>
            <w:shd w:val="clear" w:color="auto" w:fill="FFFFFF" w:themeFill="background1"/>
            <w:vAlign w:val="center"/>
          </w:tcPr>
          <w:p w:rsidR="005C42FF" w:rsidRPr="002F17B5" w:rsidRDefault="005C42FF" w:rsidP="00AE7706">
            <w:pPr>
              <w:jc w:val="right"/>
            </w:pPr>
          </w:p>
        </w:tc>
        <w:tc>
          <w:tcPr>
            <w:tcW w:w="1134" w:type="dxa"/>
            <w:shd w:val="clear" w:color="auto" w:fill="FFFFFF" w:themeFill="background1"/>
            <w:vAlign w:val="center"/>
          </w:tcPr>
          <w:p w:rsidR="005C42FF" w:rsidRPr="002F17B5" w:rsidRDefault="00B46187" w:rsidP="00AE7706">
            <w:pPr>
              <w:jc w:val="right"/>
              <w:rPr>
                <w:b/>
              </w:rPr>
            </w:pPr>
            <w:r w:rsidRPr="002F17B5">
              <w:rPr>
                <w:b/>
              </w:rPr>
              <w:t>(18.</w:t>
            </w:r>
            <w:r w:rsidR="008A20E7" w:rsidRPr="002F17B5">
              <w:rPr>
                <w:b/>
              </w:rPr>
              <w:t>5</w:t>
            </w:r>
            <w:r w:rsidRPr="002F17B5">
              <w:rPr>
                <w:b/>
              </w:rPr>
              <w:t>)</w:t>
            </w:r>
          </w:p>
        </w:tc>
        <w:tc>
          <w:tcPr>
            <w:tcW w:w="5387" w:type="dxa"/>
            <w:shd w:val="clear" w:color="auto" w:fill="FFFFFF" w:themeFill="background1"/>
          </w:tcPr>
          <w:p w:rsidR="005C42FF" w:rsidRPr="002F17B5" w:rsidRDefault="005C42FF" w:rsidP="00950E2F">
            <w:pPr>
              <w:ind w:left="309" w:right="247"/>
              <w:rPr>
                <w:b/>
              </w:rPr>
            </w:pPr>
            <w:r w:rsidRPr="002F17B5">
              <w:rPr>
                <w:b/>
              </w:rPr>
              <w:t>Interest Received</w:t>
            </w:r>
          </w:p>
        </w:tc>
        <w:tc>
          <w:tcPr>
            <w:tcW w:w="1337" w:type="dxa"/>
            <w:shd w:val="clear" w:color="auto" w:fill="FFFFFF" w:themeFill="background1"/>
            <w:vAlign w:val="center"/>
          </w:tcPr>
          <w:p w:rsidR="005C42FF" w:rsidRPr="002F17B5" w:rsidRDefault="005C42FF" w:rsidP="005C42FF">
            <w:pPr>
              <w:jc w:val="right"/>
            </w:pPr>
            <w:r w:rsidRPr="002F17B5">
              <w:t> </w:t>
            </w:r>
          </w:p>
        </w:tc>
        <w:tc>
          <w:tcPr>
            <w:tcW w:w="1311" w:type="dxa"/>
            <w:shd w:val="clear" w:color="auto" w:fill="FFFFFF" w:themeFill="background1"/>
            <w:vAlign w:val="center"/>
          </w:tcPr>
          <w:p w:rsidR="005C42FF" w:rsidRPr="002F17B5" w:rsidRDefault="005C42FF" w:rsidP="005C42FF">
            <w:pPr>
              <w:jc w:val="right"/>
              <w:rPr>
                <w:b/>
              </w:rPr>
            </w:pPr>
            <w:r w:rsidRPr="002F17B5">
              <w:rPr>
                <w:b/>
              </w:rPr>
              <w:t>(30.0)</w:t>
            </w:r>
          </w:p>
        </w:tc>
      </w:tr>
      <w:tr w:rsidR="005C42FF" w:rsidRPr="002F17B5" w:rsidTr="00FC33CA">
        <w:trPr>
          <w:jc w:val="center"/>
        </w:trPr>
        <w:tc>
          <w:tcPr>
            <w:tcW w:w="1242" w:type="dxa"/>
            <w:shd w:val="clear" w:color="auto" w:fill="FFFFFF" w:themeFill="background1"/>
            <w:vAlign w:val="center"/>
          </w:tcPr>
          <w:p w:rsidR="005C42FF" w:rsidRPr="002F17B5" w:rsidRDefault="005C42FF" w:rsidP="00AE7706">
            <w:pPr>
              <w:jc w:val="right"/>
              <w:rPr>
                <w:sz w:val="12"/>
              </w:rPr>
            </w:pPr>
          </w:p>
        </w:tc>
        <w:tc>
          <w:tcPr>
            <w:tcW w:w="1134" w:type="dxa"/>
            <w:shd w:val="clear" w:color="auto" w:fill="FFFFFF" w:themeFill="background1"/>
            <w:vAlign w:val="center"/>
          </w:tcPr>
          <w:p w:rsidR="005C42FF" w:rsidRPr="002F17B5" w:rsidRDefault="005C42FF" w:rsidP="00AE7706">
            <w:pPr>
              <w:jc w:val="right"/>
              <w:rPr>
                <w:sz w:val="8"/>
              </w:rPr>
            </w:pPr>
          </w:p>
        </w:tc>
        <w:tc>
          <w:tcPr>
            <w:tcW w:w="5387" w:type="dxa"/>
            <w:shd w:val="clear" w:color="auto" w:fill="FFFFFF" w:themeFill="background1"/>
          </w:tcPr>
          <w:p w:rsidR="005C42FF" w:rsidRPr="002F17B5" w:rsidRDefault="005C42FF" w:rsidP="00950E2F">
            <w:pPr>
              <w:ind w:left="309" w:right="247"/>
              <w:rPr>
                <w:sz w:val="2"/>
              </w:rPr>
            </w:pPr>
          </w:p>
        </w:tc>
        <w:tc>
          <w:tcPr>
            <w:tcW w:w="1337" w:type="dxa"/>
            <w:shd w:val="clear" w:color="auto" w:fill="FFFFFF" w:themeFill="background1"/>
            <w:vAlign w:val="center"/>
          </w:tcPr>
          <w:p w:rsidR="005C42FF" w:rsidRPr="002F17B5" w:rsidRDefault="005C42FF" w:rsidP="005C42FF">
            <w:pPr>
              <w:jc w:val="right"/>
              <w:rPr>
                <w:sz w:val="12"/>
              </w:rPr>
            </w:pPr>
            <w:r w:rsidRPr="002F17B5">
              <w:t> </w:t>
            </w:r>
          </w:p>
        </w:tc>
        <w:tc>
          <w:tcPr>
            <w:tcW w:w="1311" w:type="dxa"/>
            <w:shd w:val="clear" w:color="auto" w:fill="FFFFFF" w:themeFill="background1"/>
            <w:vAlign w:val="center"/>
          </w:tcPr>
          <w:p w:rsidR="005C42FF" w:rsidRPr="002F17B5" w:rsidRDefault="005C42FF" w:rsidP="005C42FF">
            <w:pPr>
              <w:jc w:val="right"/>
              <w:rPr>
                <w:sz w:val="16"/>
              </w:rPr>
            </w:pPr>
            <w:r w:rsidRPr="002F17B5">
              <w:t> </w:t>
            </w:r>
          </w:p>
        </w:tc>
      </w:tr>
      <w:tr w:rsidR="005C42FF" w:rsidRPr="002F17B5" w:rsidTr="00FC33CA">
        <w:trPr>
          <w:jc w:val="center"/>
        </w:trPr>
        <w:tc>
          <w:tcPr>
            <w:tcW w:w="1242" w:type="dxa"/>
            <w:shd w:val="clear" w:color="auto" w:fill="FFFFFF" w:themeFill="background1"/>
            <w:vAlign w:val="center"/>
          </w:tcPr>
          <w:p w:rsidR="005C42FF" w:rsidRPr="002F17B5" w:rsidRDefault="00B46187" w:rsidP="008A20E7">
            <w:pPr>
              <w:jc w:val="right"/>
            </w:pPr>
            <w:r w:rsidRPr="002F17B5">
              <w:t>6</w:t>
            </w:r>
            <w:r w:rsidR="008A20E7" w:rsidRPr="002F17B5">
              <w:t>3.7</w:t>
            </w:r>
          </w:p>
        </w:tc>
        <w:tc>
          <w:tcPr>
            <w:tcW w:w="1134" w:type="dxa"/>
            <w:shd w:val="clear" w:color="auto" w:fill="FFFFFF" w:themeFill="background1"/>
            <w:vAlign w:val="center"/>
          </w:tcPr>
          <w:p w:rsidR="005C42FF" w:rsidRPr="002F17B5" w:rsidRDefault="005C42FF" w:rsidP="00AE7706">
            <w:pPr>
              <w:jc w:val="right"/>
            </w:pPr>
          </w:p>
        </w:tc>
        <w:tc>
          <w:tcPr>
            <w:tcW w:w="5387" w:type="dxa"/>
            <w:shd w:val="clear" w:color="auto" w:fill="FFFFFF" w:themeFill="background1"/>
          </w:tcPr>
          <w:p w:rsidR="005C42FF" w:rsidRPr="002F17B5" w:rsidRDefault="005C42FF" w:rsidP="00950E2F">
            <w:pPr>
              <w:ind w:left="309" w:right="247"/>
            </w:pPr>
            <w:r w:rsidRPr="002F17B5">
              <w:t>Interest charge for year</w:t>
            </w:r>
          </w:p>
        </w:tc>
        <w:tc>
          <w:tcPr>
            <w:tcW w:w="1337" w:type="dxa"/>
            <w:shd w:val="clear" w:color="auto" w:fill="FFFFFF" w:themeFill="background1"/>
            <w:vAlign w:val="center"/>
          </w:tcPr>
          <w:p w:rsidR="005C42FF" w:rsidRPr="002F17B5" w:rsidRDefault="005C42FF" w:rsidP="005C42FF">
            <w:pPr>
              <w:jc w:val="right"/>
            </w:pPr>
            <w:r w:rsidRPr="002F17B5">
              <w:t>63.8</w:t>
            </w:r>
          </w:p>
        </w:tc>
        <w:tc>
          <w:tcPr>
            <w:tcW w:w="1311" w:type="dxa"/>
            <w:shd w:val="clear" w:color="auto" w:fill="FFFFFF" w:themeFill="background1"/>
            <w:vAlign w:val="center"/>
          </w:tcPr>
          <w:p w:rsidR="005C42FF" w:rsidRPr="002F17B5" w:rsidRDefault="005C42FF" w:rsidP="005C42FF">
            <w:pPr>
              <w:jc w:val="right"/>
            </w:pPr>
            <w:r w:rsidRPr="002F17B5">
              <w:t> </w:t>
            </w:r>
          </w:p>
        </w:tc>
      </w:tr>
      <w:tr w:rsidR="005C42FF" w:rsidRPr="002F17B5" w:rsidTr="00FC33CA">
        <w:trPr>
          <w:jc w:val="center"/>
        </w:trPr>
        <w:tc>
          <w:tcPr>
            <w:tcW w:w="1242" w:type="dxa"/>
            <w:shd w:val="clear" w:color="auto" w:fill="FFFFFF" w:themeFill="background1"/>
            <w:vAlign w:val="center"/>
          </w:tcPr>
          <w:p w:rsidR="005C42FF" w:rsidRPr="002F17B5" w:rsidRDefault="00B46187" w:rsidP="00AE7706">
            <w:pPr>
              <w:jc w:val="right"/>
            </w:pPr>
            <w:r w:rsidRPr="002F17B5">
              <w:t>0.0</w:t>
            </w:r>
          </w:p>
        </w:tc>
        <w:tc>
          <w:tcPr>
            <w:tcW w:w="1134" w:type="dxa"/>
            <w:shd w:val="clear" w:color="auto" w:fill="FFFFFF" w:themeFill="background1"/>
            <w:vAlign w:val="center"/>
          </w:tcPr>
          <w:p w:rsidR="005C42FF" w:rsidRPr="002F17B5" w:rsidRDefault="005C42FF" w:rsidP="00AE7706">
            <w:pPr>
              <w:jc w:val="right"/>
            </w:pPr>
          </w:p>
        </w:tc>
        <w:tc>
          <w:tcPr>
            <w:tcW w:w="5387" w:type="dxa"/>
            <w:shd w:val="clear" w:color="auto" w:fill="FFFFFF" w:themeFill="background1"/>
          </w:tcPr>
          <w:p w:rsidR="005C42FF" w:rsidRPr="002F17B5" w:rsidRDefault="00EC724B">
            <w:pPr>
              <w:ind w:left="309" w:right="247"/>
            </w:pPr>
            <w:r w:rsidRPr="002F17B5">
              <w:t>Reclassification</w:t>
            </w:r>
            <w:r w:rsidR="005C42FF" w:rsidRPr="002F17B5">
              <w:t xml:space="preserve"> </w:t>
            </w:r>
          </w:p>
        </w:tc>
        <w:tc>
          <w:tcPr>
            <w:tcW w:w="1337" w:type="dxa"/>
            <w:shd w:val="clear" w:color="auto" w:fill="FFFFFF" w:themeFill="background1"/>
            <w:vAlign w:val="center"/>
          </w:tcPr>
          <w:p w:rsidR="005C42FF" w:rsidRPr="002F17B5" w:rsidRDefault="005C42FF" w:rsidP="005C42FF">
            <w:pPr>
              <w:jc w:val="right"/>
            </w:pPr>
            <w:r w:rsidRPr="002F17B5">
              <w:t>(8.2)</w:t>
            </w:r>
          </w:p>
        </w:tc>
        <w:tc>
          <w:tcPr>
            <w:tcW w:w="1311" w:type="dxa"/>
            <w:shd w:val="clear" w:color="auto" w:fill="FFFFFF" w:themeFill="background1"/>
            <w:vAlign w:val="center"/>
          </w:tcPr>
          <w:p w:rsidR="005C42FF" w:rsidRPr="002F17B5" w:rsidRDefault="005C42FF" w:rsidP="005C42FF">
            <w:pPr>
              <w:jc w:val="right"/>
            </w:pPr>
          </w:p>
        </w:tc>
      </w:tr>
      <w:tr w:rsidR="005C42FF" w:rsidRPr="002F17B5" w:rsidTr="00FC33CA">
        <w:trPr>
          <w:jc w:val="center"/>
        </w:trPr>
        <w:tc>
          <w:tcPr>
            <w:tcW w:w="1242" w:type="dxa"/>
            <w:shd w:val="clear" w:color="auto" w:fill="FFFFFF" w:themeFill="background1"/>
            <w:vAlign w:val="center"/>
          </w:tcPr>
          <w:p w:rsidR="005C42FF" w:rsidRPr="002F17B5" w:rsidRDefault="00B46187" w:rsidP="00AE7706">
            <w:pPr>
              <w:jc w:val="right"/>
            </w:pPr>
            <w:r w:rsidRPr="002F17B5">
              <w:t>0.2</w:t>
            </w:r>
          </w:p>
        </w:tc>
        <w:tc>
          <w:tcPr>
            <w:tcW w:w="1134" w:type="dxa"/>
            <w:shd w:val="clear" w:color="auto" w:fill="FFFFFF" w:themeFill="background1"/>
            <w:vAlign w:val="center"/>
          </w:tcPr>
          <w:p w:rsidR="005C42FF" w:rsidRPr="002F17B5" w:rsidRDefault="005C42FF" w:rsidP="00AE7706">
            <w:pPr>
              <w:jc w:val="right"/>
            </w:pPr>
          </w:p>
        </w:tc>
        <w:tc>
          <w:tcPr>
            <w:tcW w:w="5387" w:type="dxa"/>
            <w:shd w:val="clear" w:color="auto" w:fill="FFFFFF" w:themeFill="background1"/>
          </w:tcPr>
          <w:p w:rsidR="005C42FF" w:rsidRPr="002F17B5" w:rsidRDefault="005C42FF" w:rsidP="00950E2F">
            <w:pPr>
              <w:ind w:left="309" w:right="247"/>
            </w:pPr>
            <w:r w:rsidRPr="002F17B5">
              <w:t>Adjustments for differences between Effective Interest Rates and actual Interest payable</w:t>
            </w:r>
          </w:p>
        </w:tc>
        <w:tc>
          <w:tcPr>
            <w:tcW w:w="1337" w:type="dxa"/>
            <w:shd w:val="clear" w:color="auto" w:fill="FFFFFF" w:themeFill="background1"/>
            <w:vAlign w:val="center"/>
          </w:tcPr>
          <w:p w:rsidR="005C42FF" w:rsidRPr="002F17B5" w:rsidRDefault="005C42FF" w:rsidP="005C42FF">
            <w:pPr>
              <w:jc w:val="right"/>
            </w:pPr>
            <w:r w:rsidRPr="002F17B5">
              <w:t>(0.7)</w:t>
            </w:r>
          </w:p>
        </w:tc>
        <w:tc>
          <w:tcPr>
            <w:tcW w:w="1311" w:type="dxa"/>
            <w:shd w:val="clear" w:color="auto" w:fill="FFFFFF" w:themeFill="background1"/>
            <w:vAlign w:val="center"/>
          </w:tcPr>
          <w:p w:rsidR="005C42FF" w:rsidRPr="002F17B5" w:rsidRDefault="005C42FF" w:rsidP="005C42FF">
            <w:pPr>
              <w:jc w:val="right"/>
            </w:pPr>
            <w:r w:rsidRPr="002F17B5">
              <w:t> </w:t>
            </w:r>
          </w:p>
        </w:tc>
      </w:tr>
      <w:tr w:rsidR="005C42FF" w:rsidRPr="002F17B5" w:rsidTr="00FC33CA">
        <w:trPr>
          <w:jc w:val="center"/>
        </w:trPr>
        <w:tc>
          <w:tcPr>
            <w:tcW w:w="1242" w:type="dxa"/>
            <w:shd w:val="clear" w:color="auto" w:fill="FFFFFF" w:themeFill="background1"/>
            <w:vAlign w:val="center"/>
          </w:tcPr>
          <w:p w:rsidR="005C42FF" w:rsidRPr="002F17B5" w:rsidRDefault="004A258F" w:rsidP="00AE7706">
            <w:pPr>
              <w:jc w:val="right"/>
            </w:pPr>
            <w:r>
              <w:t>-</w:t>
            </w:r>
          </w:p>
        </w:tc>
        <w:tc>
          <w:tcPr>
            <w:tcW w:w="1134" w:type="dxa"/>
            <w:shd w:val="clear" w:color="auto" w:fill="FFFFFF" w:themeFill="background1"/>
            <w:vAlign w:val="center"/>
          </w:tcPr>
          <w:p w:rsidR="005C42FF" w:rsidRPr="002F17B5" w:rsidRDefault="005C42FF" w:rsidP="00AE7706">
            <w:pPr>
              <w:jc w:val="right"/>
            </w:pPr>
          </w:p>
        </w:tc>
        <w:tc>
          <w:tcPr>
            <w:tcW w:w="5387" w:type="dxa"/>
            <w:shd w:val="clear" w:color="auto" w:fill="FFFFFF" w:themeFill="background1"/>
          </w:tcPr>
          <w:p w:rsidR="005C42FF" w:rsidRPr="002F17B5" w:rsidRDefault="004A258F" w:rsidP="00950E2F">
            <w:pPr>
              <w:ind w:left="309" w:right="247"/>
            </w:pPr>
            <w:r>
              <w:t>Movement in Creditors</w:t>
            </w:r>
          </w:p>
        </w:tc>
        <w:tc>
          <w:tcPr>
            <w:tcW w:w="1337" w:type="dxa"/>
            <w:shd w:val="clear" w:color="auto" w:fill="FFFFFF" w:themeFill="background1"/>
            <w:vAlign w:val="center"/>
          </w:tcPr>
          <w:p w:rsidR="005C42FF" w:rsidRPr="002F17B5" w:rsidRDefault="004A258F" w:rsidP="005C42FF">
            <w:pPr>
              <w:jc w:val="right"/>
            </w:pPr>
            <w:r>
              <w:t>1.3</w:t>
            </w:r>
          </w:p>
        </w:tc>
        <w:tc>
          <w:tcPr>
            <w:tcW w:w="1311" w:type="dxa"/>
            <w:shd w:val="clear" w:color="auto" w:fill="FFFFFF" w:themeFill="background1"/>
            <w:vAlign w:val="center"/>
          </w:tcPr>
          <w:p w:rsidR="005C42FF" w:rsidRPr="002F17B5" w:rsidRDefault="005C42FF" w:rsidP="005C42FF">
            <w:pPr>
              <w:jc w:val="right"/>
            </w:pPr>
            <w:r w:rsidRPr="002F17B5">
              <w:t> </w:t>
            </w:r>
          </w:p>
        </w:tc>
      </w:tr>
      <w:tr w:rsidR="005C42FF" w:rsidRPr="002F17B5" w:rsidTr="00FC33CA">
        <w:trPr>
          <w:jc w:val="center"/>
        </w:trPr>
        <w:tc>
          <w:tcPr>
            <w:tcW w:w="1242" w:type="dxa"/>
            <w:shd w:val="clear" w:color="auto" w:fill="FFFFFF" w:themeFill="background1"/>
            <w:vAlign w:val="center"/>
          </w:tcPr>
          <w:p w:rsidR="005C42FF" w:rsidRPr="002F17B5" w:rsidRDefault="005C42FF" w:rsidP="00AE7706">
            <w:pPr>
              <w:jc w:val="right"/>
            </w:pPr>
          </w:p>
        </w:tc>
        <w:tc>
          <w:tcPr>
            <w:tcW w:w="1134" w:type="dxa"/>
            <w:shd w:val="clear" w:color="auto" w:fill="FFFFFF" w:themeFill="background1"/>
            <w:vAlign w:val="center"/>
          </w:tcPr>
          <w:p w:rsidR="005C42FF" w:rsidRPr="002F17B5" w:rsidRDefault="00B46187" w:rsidP="008A20E7">
            <w:pPr>
              <w:jc w:val="right"/>
              <w:rPr>
                <w:b/>
              </w:rPr>
            </w:pPr>
            <w:r w:rsidRPr="002F17B5">
              <w:rPr>
                <w:b/>
              </w:rPr>
              <w:t>6</w:t>
            </w:r>
            <w:r w:rsidR="008A20E7" w:rsidRPr="002F17B5">
              <w:rPr>
                <w:b/>
              </w:rPr>
              <w:t>3.9</w:t>
            </w:r>
          </w:p>
        </w:tc>
        <w:tc>
          <w:tcPr>
            <w:tcW w:w="5387" w:type="dxa"/>
            <w:shd w:val="clear" w:color="auto" w:fill="FFFFFF" w:themeFill="background1"/>
          </w:tcPr>
          <w:p w:rsidR="005C42FF" w:rsidRPr="002F17B5" w:rsidRDefault="005C42FF" w:rsidP="00950E2F">
            <w:pPr>
              <w:ind w:left="309" w:right="247"/>
              <w:rPr>
                <w:b/>
              </w:rPr>
            </w:pPr>
            <w:r w:rsidRPr="002F17B5">
              <w:rPr>
                <w:b/>
              </w:rPr>
              <w:t>Interest Paid</w:t>
            </w:r>
          </w:p>
        </w:tc>
        <w:tc>
          <w:tcPr>
            <w:tcW w:w="1337" w:type="dxa"/>
            <w:shd w:val="clear" w:color="auto" w:fill="FFFFFF" w:themeFill="background1"/>
            <w:vAlign w:val="center"/>
          </w:tcPr>
          <w:p w:rsidR="005C42FF" w:rsidRPr="002F17B5" w:rsidRDefault="005C42FF" w:rsidP="005C42FF">
            <w:pPr>
              <w:jc w:val="right"/>
            </w:pPr>
            <w:r w:rsidRPr="002F17B5">
              <w:t> </w:t>
            </w:r>
          </w:p>
        </w:tc>
        <w:tc>
          <w:tcPr>
            <w:tcW w:w="1311" w:type="dxa"/>
            <w:shd w:val="clear" w:color="auto" w:fill="FFFFFF" w:themeFill="background1"/>
            <w:vAlign w:val="center"/>
          </w:tcPr>
          <w:p w:rsidR="005C42FF" w:rsidRPr="002F17B5" w:rsidRDefault="005C42FF" w:rsidP="005C42FF">
            <w:pPr>
              <w:jc w:val="right"/>
              <w:rPr>
                <w:b/>
              </w:rPr>
            </w:pPr>
            <w:r w:rsidRPr="002F17B5">
              <w:rPr>
                <w:b/>
              </w:rPr>
              <w:t>55.6</w:t>
            </w:r>
          </w:p>
        </w:tc>
      </w:tr>
    </w:tbl>
    <w:p w:rsidR="004A258F" w:rsidRDefault="00BE049B" w:rsidP="00870247">
      <w:pPr>
        <w:pStyle w:val="Heading3-numbered"/>
        <w:numPr>
          <w:ilvl w:val="0"/>
          <w:numId w:val="0"/>
        </w:numPr>
        <w:ind w:left="360"/>
      </w:pPr>
      <w:r w:rsidRPr="002F17B5">
        <w:t xml:space="preserve">  </w:t>
      </w:r>
    </w:p>
    <w:p w:rsidR="004A258F" w:rsidRDefault="004A258F" w:rsidP="006A6598">
      <w:pPr>
        <w:rPr>
          <w:rFonts w:eastAsia="Times New Roman" w:cs="Arial"/>
          <w:color w:val="auto"/>
          <w:sz w:val="28"/>
          <w:szCs w:val="28"/>
        </w:rPr>
      </w:pPr>
      <w:r>
        <w:br w:type="page"/>
      </w:r>
    </w:p>
    <w:p w:rsidR="00870247" w:rsidRPr="002F17B5" w:rsidRDefault="00870247" w:rsidP="00870247">
      <w:pPr>
        <w:pStyle w:val="Heading3-numbered"/>
        <w:numPr>
          <w:ilvl w:val="0"/>
          <w:numId w:val="0"/>
        </w:numPr>
        <w:ind w:left="360"/>
        <w:rPr>
          <w:i w:val="0"/>
          <w:sz w:val="2"/>
        </w:rPr>
      </w:pPr>
    </w:p>
    <w:p w:rsidR="00AE7706" w:rsidRPr="002F17B5" w:rsidRDefault="00286D86" w:rsidP="005855CE">
      <w:pPr>
        <w:pStyle w:val="Heading3-numbered"/>
        <w:rPr>
          <w:i w:val="0"/>
        </w:rPr>
      </w:pPr>
      <w:r w:rsidRPr="002F17B5">
        <w:rPr>
          <w:i w:val="0"/>
          <w:sz w:val="26"/>
        </w:rPr>
        <w:t>Cash Flows from Investing Activities</w:t>
      </w:r>
    </w:p>
    <w:p w:rsidR="00AE7706" w:rsidRPr="002F17B5" w:rsidRDefault="00AE7706" w:rsidP="00AE7706">
      <w:pPr>
        <w:rPr>
          <w:b/>
          <w:sz w:val="10"/>
        </w:rPr>
      </w:pPr>
    </w:p>
    <w:tbl>
      <w:tblPr>
        <w:tblW w:w="10236" w:type="dxa"/>
        <w:jc w:val="center"/>
        <w:tblLayout w:type="fixed"/>
        <w:tblLook w:val="04A0" w:firstRow="1" w:lastRow="0" w:firstColumn="1" w:lastColumn="0" w:noHBand="0" w:noVBand="1"/>
      </w:tblPr>
      <w:tblGrid>
        <w:gridCol w:w="697"/>
        <w:gridCol w:w="1031"/>
        <w:gridCol w:w="5915"/>
        <w:gridCol w:w="322"/>
        <w:gridCol w:w="142"/>
        <w:gridCol w:w="94"/>
        <w:gridCol w:w="9"/>
        <w:gridCol w:w="133"/>
        <w:gridCol w:w="103"/>
        <w:gridCol w:w="1687"/>
        <w:gridCol w:w="94"/>
        <w:gridCol w:w="9"/>
      </w:tblGrid>
      <w:tr w:rsidR="00AE7706" w:rsidRPr="002F17B5" w:rsidTr="00B46187">
        <w:trPr>
          <w:trHeight w:val="446"/>
          <w:jc w:val="center"/>
        </w:trPr>
        <w:tc>
          <w:tcPr>
            <w:tcW w:w="1728" w:type="dxa"/>
            <w:gridSpan w:val="2"/>
            <w:shd w:val="clear" w:color="auto" w:fill="FFFFFF" w:themeFill="background1"/>
          </w:tcPr>
          <w:p w:rsidR="00B70B4B" w:rsidRPr="002F17B5" w:rsidRDefault="00CD4CF3">
            <w:pPr>
              <w:ind w:firstLine="459"/>
              <w:jc w:val="center"/>
              <w:rPr>
                <w:b/>
              </w:rPr>
            </w:pPr>
            <w:r w:rsidRPr="002F17B5">
              <w:rPr>
                <w:b/>
              </w:rPr>
              <w:t>2013/14</w:t>
            </w:r>
          </w:p>
        </w:tc>
        <w:tc>
          <w:tcPr>
            <w:tcW w:w="5915" w:type="dxa"/>
            <w:shd w:val="clear" w:color="auto" w:fill="FFFFFF" w:themeFill="background1"/>
          </w:tcPr>
          <w:p w:rsidR="00AE7706" w:rsidRPr="002F17B5" w:rsidRDefault="00AE7706" w:rsidP="00AE7706">
            <w:pPr>
              <w:jc w:val="center"/>
            </w:pPr>
          </w:p>
        </w:tc>
        <w:tc>
          <w:tcPr>
            <w:tcW w:w="2593" w:type="dxa"/>
            <w:gridSpan w:val="9"/>
            <w:shd w:val="clear" w:color="auto" w:fill="FFFFFF" w:themeFill="background1"/>
          </w:tcPr>
          <w:p w:rsidR="00B70B4B" w:rsidRPr="002F17B5" w:rsidRDefault="00CD4CF3">
            <w:pPr>
              <w:tabs>
                <w:tab w:val="left" w:pos="1734"/>
              </w:tabs>
              <w:ind w:right="176"/>
              <w:jc w:val="right"/>
              <w:rPr>
                <w:b/>
              </w:rPr>
            </w:pPr>
            <w:r w:rsidRPr="002F17B5">
              <w:rPr>
                <w:b/>
              </w:rPr>
              <w:t>2012/13</w:t>
            </w:r>
          </w:p>
        </w:tc>
      </w:tr>
      <w:tr w:rsidR="00757277" w:rsidRPr="002F17B5" w:rsidTr="00B46187">
        <w:trPr>
          <w:trHeight w:val="464"/>
          <w:jc w:val="center"/>
        </w:trPr>
        <w:tc>
          <w:tcPr>
            <w:tcW w:w="697" w:type="dxa"/>
            <w:shd w:val="clear" w:color="auto" w:fill="FFFFFF" w:themeFill="background1"/>
          </w:tcPr>
          <w:p w:rsidR="00AE7706" w:rsidRPr="002F17B5" w:rsidRDefault="00AE7706" w:rsidP="00AE7706">
            <w:pPr>
              <w:jc w:val="right"/>
              <w:rPr>
                <w:b/>
              </w:rPr>
            </w:pPr>
          </w:p>
        </w:tc>
        <w:tc>
          <w:tcPr>
            <w:tcW w:w="1031" w:type="dxa"/>
            <w:shd w:val="clear" w:color="auto" w:fill="FFFFFF" w:themeFill="background1"/>
          </w:tcPr>
          <w:p w:rsidR="00AE7706" w:rsidRPr="002F17B5" w:rsidRDefault="00AE7706" w:rsidP="00AE7706">
            <w:pPr>
              <w:jc w:val="right"/>
            </w:pPr>
            <w:r w:rsidRPr="002F17B5">
              <w:rPr>
                <w:b/>
              </w:rPr>
              <w:t>£m</w:t>
            </w:r>
          </w:p>
        </w:tc>
        <w:tc>
          <w:tcPr>
            <w:tcW w:w="5915" w:type="dxa"/>
            <w:shd w:val="clear" w:color="auto" w:fill="FFFFFF" w:themeFill="background1"/>
          </w:tcPr>
          <w:p w:rsidR="00AE7706" w:rsidRPr="002F17B5" w:rsidRDefault="00AE7706" w:rsidP="00AE7706">
            <w:pPr>
              <w:jc w:val="right"/>
              <w:rPr>
                <w:b/>
              </w:rPr>
            </w:pPr>
          </w:p>
        </w:tc>
        <w:tc>
          <w:tcPr>
            <w:tcW w:w="567" w:type="dxa"/>
            <w:gridSpan w:val="4"/>
            <w:shd w:val="clear" w:color="auto" w:fill="FFFFFF" w:themeFill="background1"/>
          </w:tcPr>
          <w:p w:rsidR="00AE7706" w:rsidRPr="002F17B5" w:rsidRDefault="00AE7706" w:rsidP="00AE7706">
            <w:pPr>
              <w:jc w:val="right"/>
            </w:pPr>
          </w:p>
        </w:tc>
        <w:tc>
          <w:tcPr>
            <w:tcW w:w="2026" w:type="dxa"/>
            <w:gridSpan w:val="5"/>
            <w:shd w:val="clear" w:color="auto" w:fill="FFFFFF" w:themeFill="background1"/>
          </w:tcPr>
          <w:p w:rsidR="00B70B4B" w:rsidRPr="002F17B5" w:rsidRDefault="00AE7706">
            <w:pPr>
              <w:ind w:left="-392" w:right="240" w:firstLine="392"/>
              <w:jc w:val="right"/>
              <w:rPr>
                <w:b/>
              </w:rPr>
            </w:pPr>
            <w:r w:rsidRPr="002F17B5">
              <w:rPr>
                <w:b/>
              </w:rPr>
              <w:t>£m</w:t>
            </w:r>
          </w:p>
        </w:tc>
      </w:tr>
      <w:tr w:rsidR="005C42FF" w:rsidRPr="002F17B5" w:rsidTr="00B46187">
        <w:trPr>
          <w:gridAfter w:val="1"/>
          <w:wAfter w:w="9" w:type="dxa"/>
          <w:trHeight w:hRule="exact" w:val="1045"/>
          <w:jc w:val="center"/>
        </w:trPr>
        <w:tc>
          <w:tcPr>
            <w:tcW w:w="697" w:type="dxa"/>
            <w:shd w:val="clear" w:color="auto" w:fill="FFFFFF" w:themeFill="background1"/>
            <w:vAlign w:val="center"/>
          </w:tcPr>
          <w:p w:rsidR="005C42FF" w:rsidRPr="002F17B5" w:rsidRDefault="005C42FF">
            <w:pPr>
              <w:ind w:left="-392" w:right="240" w:firstLine="392"/>
              <w:jc w:val="right"/>
              <w:rPr>
                <w:b/>
                <w:bCs/>
              </w:rPr>
            </w:pPr>
          </w:p>
        </w:tc>
        <w:tc>
          <w:tcPr>
            <w:tcW w:w="1031" w:type="dxa"/>
            <w:shd w:val="clear" w:color="auto" w:fill="FFFFFF" w:themeFill="background1"/>
            <w:vAlign w:val="center"/>
          </w:tcPr>
          <w:p w:rsidR="005C42FF" w:rsidRPr="002F17B5" w:rsidRDefault="00B46187">
            <w:pPr>
              <w:jc w:val="right"/>
              <w:rPr>
                <w:bCs/>
              </w:rPr>
            </w:pPr>
            <w:r w:rsidRPr="002F17B5">
              <w:rPr>
                <w:bCs/>
              </w:rPr>
              <w:t>134.3</w:t>
            </w:r>
          </w:p>
        </w:tc>
        <w:tc>
          <w:tcPr>
            <w:tcW w:w="6237" w:type="dxa"/>
            <w:gridSpan w:val="2"/>
            <w:shd w:val="clear" w:color="auto" w:fill="FFFFFF" w:themeFill="background1"/>
            <w:vAlign w:val="center"/>
          </w:tcPr>
          <w:p w:rsidR="005C42FF" w:rsidRPr="002F17B5" w:rsidRDefault="005C42FF" w:rsidP="00FC33CA">
            <w:pPr>
              <w:ind w:left="498" w:right="176"/>
              <w:jc w:val="left"/>
              <w:rPr>
                <w:szCs w:val="18"/>
              </w:rPr>
            </w:pPr>
            <w:r w:rsidRPr="002F17B5">
              <w:rPr>
                <w:szCs w:val="18"/>
              </w:rPr>
              <w:t>Purchase of Property, Plant and Equipment, investment property and intangible assets</w:t>
            </w:r>
          </w:p>
        </w:tc>
        <w:tc>
          <w:tcPr>
            <w:tcW w:w="236" w:type="dxa"/>
            <w:gridSpan w:val="2"/>
            <w:shd w:val="clear" w:color="auto" w:fill="FFFFFF" w:themeFill="background1"/>
            <w:vAlign w:val="center"/>
          </w:tcPr>
          <w:p w:rsidR="005C42FF" w:rsidRPr="002F17B5" w:rsidRDefault="005C42FF" w:rsidP="00FC33CA">
            <w:pPr>
              <w:ind w:left="498" w:right="176"/>
              <w:jc w:val="left"/>
            </w:pPr>
          </w:p>
        </w:tc>
        <w:tc>
          <w:tcPr>
            <w:tcW w:w="2026" w:type="dxa"/>
            <w:gridSpan w:val="5"/>
            <w:shd w:val="clear" w:color="auto" w:fill="FFFFFF" w:themeFill="background1"/>
            <w:vAlign w:val="center"/>
          </w:tcPr>
          <w:p w:rsidR="005C42FF" w:rsidRPr="002F17B5" w:rsidRDefault="005C42FF" w:rsidP="005C42FF">
            <w:pPr>
              <w:ind w:right="178"/>
              <w:jc w:val="right"/>
              <w:rPr>
                <w:bCs/>
              </w:rPr>
            </w:pPr>
            <w:r w:rsidRPr="002F17B5">
              <w:rPr>
                <w:bCs/>
              </w:rPr>
              <w:t>122.9</w:t>
            </w:r>
          </w:p>
        </w:tc>
      </w:tr>
      <w:tr w:rsidR="005C42FF" w:rsidRPr="002F17B5" w:rsidTr="00B46187">
        <w:trPr>
          <w:gridAfter w:val="1"/>
          <w:wAfter w:w="9" w:type="dxa"/>
          <w:trHeight w:hRule="exact" w:val="725"/>
          <w:jc w:val="center"/>
        </w:trPr>
        <w:tc>
          <w:tcPr>
            <w:tcW w:w="697" w:type="dxa"/>
            <w:shd w:val="clear" w:color="auto" w:fill="FFFFFF" w:themeFill="background1"/>
            <w:vAlign w:val="center"/>
          </w:tcPr>
          <w:p w:rsidR="005C42FF" w:rsidRPr="002F17B5" w:rsidRDefault="005C42FF">
            <w:pPr>
              <w:ind w:left="600" w:right="240" w:firstLine="392"/>
              <w:jc w:val="left"/>
            </w:pPr>
          </w:p>
        </w:tc>
        <w:tc>
          <w:tcPr>
            <w:tcW w:w="1031" w:type="dxa"/>
            <w:shd w:val="clear" w:color="auto" w:fill="FFFFFF" w:themeFill="background1"/>
            <w:vAlign w:val="center"/>
          </w:tcPr>
          <w:p w:rsidR="005C42FF" w:rsidRPr="002F17B5" w:rsidRDefault="00B46187">
            <w:pPr>
              <w:jc w:val="right"/>
            </w:pPr>
            <w:r w:rsidRPr="002F17B5">
              <w:t>877.</w:t>
            </w:r>
            <w:r w:rsidR="00E9294D">
              <w:t>2</w:t>
            </w:r>
          </w:p>
        </w:tc>
        <w:tc>
          <w:tcPr>
            <w:tcW w:w="6237" w:type="dxa"/>
            <w:gridSpan w:val="2"/>
            <w:shd w:val="clear" w:color="auto" w:fill="FFFFFF" w:themeFill="background1"/>
            <w:vAlign w:val="center"/>
          </w:tcPr>
          <w:p w:rsidR="005C42FF" w:rsidRPr="002F17B5" w:rsidRDefault="005C42FF" w:rsidP="0090280D">
            <w:pPr>
              <w:ind w:left="498" w:right="176"/>
              <w:jc w:val="left"/>
              <w:rPr>
                <w:szCs w:val="18"/>
              </w:rPr>
            </w:pPr>
            <w:r w:rsidRPr="002F17B5">
              <w:rPr>
                <w:szCs w:val="18"/>
              </w:rPr>
              <w:t>Purchase of investments</w:t>
            </w:r>
          </w:p>
        </w:tc>
        <w:tc>
          <w:tcPr>
            <w:tcW w:w="236" w:type="dxa"/>
            <w:gridSpan w:val="2"/>
            <w:shd w:val="clear" w:color="auto" w:fill="FFFFFF" w:themeFill="background1"/>
            <w:vAlign w:val="center"/>
          </w:tcPr>
          <w:p w:rsidR="005C42FF" w:rsidRPr="002F17B5" w:rsidRDefault="005C42FF" w:rsidP="00FC33CA">
            <w:pPr>
              <w:ind w:left="498" w:right="176"/>
              <w:jc w:val="left"/>
              <w:rPr>
                <w:b/>
              </w:rPr>
            </w:pPr>
          </w:p>
        </w:tc>
        <w:tc>
          <w:tcPr>
            <w:tcW w:w="2026" w:type="dxa"/>
            <w:gridSpan w:val="5"/>
            <w:shd w:val="clear" w:color="auto" w:fill="FFFFFF" w:themeFill="background1"/>
            <w:vAlign w:val="center"/>
          </w:tcPr>
          <w:p w:rsidR="005C42FF" w:rsidRPr="002F17B5" w:rsidRDefault="005C42FF" w:rsidP="005C42FF">
            <w:pPr>
              <w:ind w:right="178"/>
              <w:jc w:val="right"/>
            </w:pPr>
            <w:r w:rsidRPr="002F17B5">
              <w:rPr>
                <w:bCs/>
              </w:rPr>
              <w:t>1,773.0</w:t>
            </w:r>
          </w:p>
        </w:tc>
      </w:tr>
      <w:tr w:rsidR="00B46187" w:rsidRPr="002F17B5" w:rsidTr="00B46187">
        <w:trPr>
          <w:gridAfter w:val="1"/>
          <w:wAfter w:w="9" w:type="dxa"/>
          <w:trHeight w:hRule="exact" w:val="725"/>
          <w:jc w:val="center"/>
        </w:trPr>
        <w:tc>
          <w:tcPr>
            <w:tcW w:w="697" w:type="dxa"/>
            <w:shd w:val="clear" w:color="auto" w:fill="FFFFFF" w:themeFill="background1"/>
            <w:vAlign w:val="center"/>
          </w:tcPr>
          <w:p w:rsidR="00B46187" w:rsidRPr="002F17B5" w:rsidRDefault="00B46187">
            <w:pPr>
              <w:ind w:left="600" w:right="240" w:firstLine="392"/>
              <w:jc w:val="left"/>
            </w:pPr>
          </w:p>
        </w:tc>
        <w:tc>
          <w:tcPr>
            <w:tcW w:w="1031" w:type="dxa"/>
            <w:shd w:val="clear" w:color="auto" w:fill="FFFFFF" w:themeFill="background1"/>
            <w:vAlign w:val="center"/>
          </w:tcPr>
          <w:p w:rsidR="00B46187" w:rsidRPr="002F17B5" w:rsidRDefault="00B46187">
            <w:pPr>
              <w:jc w:val="right"/>
            </w:pPr>
            <w:r w:rsidRPr="002F17B5">
              <w:t>0.7</w:t>
            </w:r>
          </w:p>
        </w:tc>
        <w:tc>
          <w:tcPr>
            <w:tcW w:w="6237" w:type="dxa"/>
            <w:gridSpan w:val="2"/>
            <w:shd w:val="clear" w:color="auto" w:fill="FFFFFF" w:themeFill="background1"/>
            <w:vAlign w:val="center"/>
          </w:tcPr>
          <w:p w:rsidR="00B46187" w:rsidRPr="002F17B5" w:rsidRDefault="00B46187" w:rsidP="00FC33CA">
            <w:pPr>
              <w:ind w:left="498" w:right="176"/>
              <w:jc w:val="left"/>
              <w:rPr>
                <w:szCs w:val="18"/>
              </w:rPr>
            </w:pPr>
            <w:r w:rsidRPr="002F17B5">
              <w:rPr>
                <w:szCs w:val="18"/>
              </w:rPr>
              <w:t>Other payments for investing activities</w:t>
            </w:r>
          </w:p>
        </w:tc>
        <w:tc>
          <w:tcPr>
            <w:tcW w:w="236" w:type="dxa"/>
            <w:gridSpan w:val="2"/>
            <w:shd w:val="clear" w:color="auto" w:fill="FFFFFF" w:themeFill="background1"/>
            <w:vAlign w:val="center"/>
          </w:tcPr>
          <w:p w:rsidR="00B46187" w:rsidRPr="002F17B5" w:rsidRDefault="00B46187" w:rsidP="00FC33CA">
            <w:pPr>
              <w:ind w:left="498" w:right="176"/>
              <w:jc w:val="left"/>
              <w:rPr>
                <w:b/>
              </w:rPr>
            </w:pPr>
          </w:p>
        </w:tc>
        <w:tc>
          <w:tcPr>
            <w:tcW w:w="2026" w:type="dxa"/>
            <w:gridSpan w:val="5"/>
            <w:shd w:val="clear" w:color="auto" w:fill="FFFFFF" w:themeFill="background1"/>
            <w:vAlign w:val="center"/>
          </w:tcPr>
          <w:p w:rsidR="00B46187" w:rsidRPr="002F17B5" w:rsidRDefault="00B46187" w:rsidP="005C42FF">
            <w:pPr>
              <w:ind w:right="178"/>
              <w:jc w:val="right"/>
              <w:rPr>
                <w:bCs/>
              </w:rPr>
            </w:pPr>
            <w:r w:rsidRPr="002F17B5">
              <w:rPr>
                <w:bCs/>
              </w:rPr>
              <w:t>-</w:t>
            </w:r>
          </w:p>
        </w:tc>
      </w:tr>
      <w:tr w:rsidR="005C42FF" w:rsidRPr="002F17B5" w:rsidTr="00B46187">
        <w:trPr>
          <w:gridAfter w:val="1"/>
          <w:wAfter w:w="9" w:type="dxa"/>
          <w:trHeight w:hRule="exact" w:val="922"/>
          <w:jc w:val="center"/>
        </w:trPr>
        <w:tc>
          <w:tcPr>
            <w:tcW w:w="697" w:type="dxa"/>
            <w:shd w:val="clear" w:color="auto" w:fill="FFFFFF" w:themeFill="background1"/>
            <w:vAlign w:val="center"/>
          </w:tcPr>
          <w:p w:rsidR="005C42FF" w:rsidRPr="002F17B5" w:rsidRDefault="005C42FF">
            <w:pPr>
              <w:ind w:left="600" w:right="240" w:firstLine="392"/>
              <w:jc w:val="left"/>
              <w:rPr>
                <w:b/>
                <w:bCs/>
              </w:rPr>
            </w:pPr>
          </w:p>
        </w:tc>
        <w:tc>
          <w:tcPr>
            <w:tcW w:w="1031" w:type="dxa"/>
            <w:shd w:val="clear" w:color="auto" w:fill="FFFFFF" w:themeFill="background1"/>
            <w:vAlign w:val="center"/>
          </w:tcPr>
          <w:p w:rsidR="005C42FF" w:rsidRPr="002F17B5" w:rsidRDefault="00B46187" w:rsidP="00AE7706">
            <w:pPr>
              <w:jc w:val="right"/>
              <w:rPr>
                <w:bCs/>
              </w:rPr>
            </w:pPr>
            <w:r w:rsidRPr="002F17B5">
              <w:rPr>
                <w:bCs/>
              </w:rPr>
              <w:t>(4.7)</w:t>
            </w:r>
          </w:p>
        </w:tc>
        <w:tc>
          <w:tcPr>
            <w:tcW w:w="6237" w:type="dxa"/>
            <w:gridSpan w:val="2"/>
            <w:shd w:val="clear" w:color="auto" w:fill="FFFFFF" w:themeFill="background1"/>
            <w:vAlign w:val="center"/>
          </w:tcPr>
          <w:p w:rsidR="005C42FF" w:rsidRPr="002F17B5" w:rsidRDefault="005C42FF" w:rsidP="00FC33CA">
            <w:pPr>
              <w:ind w:left="498" w:right="176"/>
              <w:jc w:val="left"/>
              <w:rPr>
                <w:szCs w:val="18"/>
              </w:rPr>
            </w:pPr>
            <w:r w:rsidRPr="002F17B5">
              <w:rPr>
                <w:szCs w:val="18"/>
              </w:rPr>
              <w:t>Proceeds from the sale of property plant and equipment, investment property and intangible assets</w:t>
            </w:r>
          </w:p>
        </w:tc>
        <w:tc>
          <w:tcPr>
            <w:tcW w:w="236" w:type="dxa"/>
            <w:gridSpan w:val="2"/>
            <w:shd w:val="clear" w:color="auto" w:fill="FFFFFF" w:themeFill="background1"/>
            <w:vAlign w:val="center"/>
          </w:tcPr>
          <w:p w:rsidR="005C42FF" w:rsidRPr="002F17B5" w:rsidRDefault="005C42FF" w:rsidP="00FC33CA">
            <w:pPr>
              <w:ind w:left="498" w:right="176"/>
              <w:jc w:val="left"/>
              <w:rPr>
                <w:b/>
              </w:rPr>
            </w:pPr>
          </w:p>
        </w:tc>
        <w:tc>
          <w:tcPr>
            <w:tcW w:w="2026" w:type="dxa"/>
            <w:gridSpan w:val="5"/>
            <w:shd w:val="clear" w:color="auto" w:fill="FFFFFF" w:themeFill="background1"/>
            <w:vAlign w:val="center"/>
          </w:tcPr>
          <w:p w:rsidR="005C42FF" w:rsidRPr="002F17B5" w:rsidRDefault="005C42FF" w:rsidP="005C42FF">
            <w:pPr>
              <w:ind w:right="178"/>
              <w:jc w:val="right"/>
              <w:rPr>
                <w:bCs/>
              </w:rPr>
            </w:pPr>
            <w:r w:rsidRPr="002F17B5">
              <w:rPr>
                <w:bCs/>
              </w:rPr>
              <w:t>(3.7)</w:t>
            </w:r>
          </w:p>
        </w:tc>
      </w:tr>
      <w:tr w:rsidR="005C42FF" w:rsidRPr="002F17B5" w:rsidTr="00B46187">
        <w:trPr>
          <w:gridAfter w:val="2"/>
          <w:wAfter w:w="103" w:type="dxa"/>
          <w:trHeight w:hRule="exact" w:val="754"/>
          <w:jc w:val="center"/>
        </w:trPr>
        <w:tc>
          <w:tcPr>
            <w:tcW w:w="697" w:type="dxa"/>
            <w:shd w:val="clear" w:color="auto" w:fill="FFFFFF" w:themeFill="background1"/>
            <w:vAlign w:val="center"/>
          </w:tcPr>
          <w:p w:rsidR="005C42FF" w:rsidRPr="002F17B5" w:rsidRDefault="005C42FF">
            <w:pPr>
              <w:ind w:left="600" w:right="240" w:firstLine="392"/>
              <w:jc w:val="left"/>
            </w:pPr>
          </w:p>
        </w:tc>
        <w:tc>
          <w:tcPr>
            <w:tcW w:w="1031" w:type="dxa"/>
            <w:shd w:val="clear" w:color="auto" w:fill="FFFFFF" w:themeFill="background1"/>
            <w:vAlign w:val="center"/>
          </w:tcPr>
          <w:p w:rsidR="005C42FF" w:rsidRPr="002F17B5" w:rsidRDefault="00B46187">
            <w:pPr>
              <w:jc w:val="right"/>
              <w:rPr>
                <w:bCs/>
              </w:rPr>
            </w:pPr>
            <w:r w:rsidRPr="002F17B5">
              <w:rPr>
                <w:bCs/>
              </w:rPr>
              <w:t>(827.4)</w:t>
            </w:r>
          </w:p>
        </w:tc>
        <w:tc>
          <w:tcPr>
            <w:tcW w:w="6379" w:type="dxa"/>
            <w:gridSpan w:val="3"/>
            <w:shd w:val="clear" w:color="auto" w:fill="FFFFFF" w:themeFill="background1"/>
            <w:vAlign w:val="center"/>
          </w:tcPr>
          <w:p w:rsidR="005C42FF" w:rsidRPr="002F17B5" w:rsidRDefault="005C42FF" w:rsidP="00321511">
            <w:pPr>
              <w:ind w:left="498" w:right="176"/>
              <w:jc w:val="left"/>
              <w:rPr>
                <w:szCs w:val="18"/>
              </w:rPr>
            </w:pPr>
            <w:r w:rsidRPr="002F17B5">
              <w:rPr>
                <w:szCs w:val="18"/>
              </w:rPr>
              <w:t xml:space="preserve">Proceeds from the sale </w:t>
            </w:r>
            <w:r w:rsidR="00321511">
              <w:rPr>
                <w:szCs w:val="18"/>
              </w:rPr>
              <w:t xml:space="preserve">of </w:t>
            </w:r>
            <w:r w:rsidRPr="002F17B5">
              <w:rPr>
                <w:szCs w:val="18"/>
              </w:rPr>
              <w:t>investments</w:t>
            </w:r>
          </w:p>
        </w:tc>
        <w:tc>
          <w:tcPr>
            <w:tcW w:w="236" w:type="dxa"/>
            <w:gridSpan w:val="3"/>
            <w:shd w:val="clear" w:color="auto" w:fill="FFFFFF" w:themeFill="background1"/>
            <w:vAlign w:val="center"/>
          </w:tcPr>
          <w:p w:rsidR="005C42FF" w:rsidRPr="002F17B5" w:rsidRDefault="005C42FF" w:rsidP="005C42FF">
            <w:pPr>
              <w:ind w:left="-392" w:right="178" w:firstLine="392"/>
              <w:jc w:val="right"/>
            </w:pPr>
          </w:p>
        </w:tc>
        <w:tc>
          <w:tcPr>
            <w:tcW w:w="1790" w:type="dxa"/>
            <w:gridSpan w:val="2"/>
            <w:shd w:val="clear" w:color="auto" w:fill="FFFFFF" w:themeFill="background1"/>
            <w:vAlign w:val="center"/>
          </w:tcPr>
          <w:p w:rsidR="005C42FF" w:rsidRPr="002F17B5" w:rsidRDefault="005C42FF" w:rsidP="005C42FF">
            <w:pPr>
              <w:ind w:right="178"/>
              <w:jc w:val="right"/>
              <w:rPr>
                <w:bCs/>
              </w:rPr>
            </w:pPr>
            <w:r w:rsidRPr="002F17B5">
              <w:rPr>
                <w:bCs/>
              </w:rPr>
              <w:t>(1,860.2)</w:t>
            </w:r>
          </w:p>
        </w:tc>
      </w:tr>
      <w:tr w:rsidR="005C42FF" w:rsidRPr="002F17B5" w:rsidTr="00B46187">
        <w:trPr>
          <w:gridAfter w:val="2"/>
          <w:wAfter w:w="103" w:type="dxa"/>
          <w:trHeight w:hRule="exact" w:val="704"/>
          <w:jc w:val="center"/>
        </w:trPr>
        <w:tc>
          <w:tcPr>
            <w:tcW w:w="697" w:type="dxa"/>
            <w:shd w:val="clear" w:color="auto" w:fill="FFFFFF" w:themeFill="background1"/>
            <w:vAlign w:val="center"/>
          </w:tcPr>
          <w:p w:rsidR="005C42FF" w:rsidRPr="002F17B5" w:rsidRDefault="005C42FF">
            <w:pPr>
              <w:ind w:left="600" w:right="240" w:firstLine="392"/>
              <w:jc w:val="left"/>
            </w:pPr>
          </w:p>
        </w:tc>
        <w:tc>
          <w:tcPr>
            <w:tcW w:w="1031" w:type="dxa"/>
            <w:shd w:val="clear" w:color="auto" w:fill="FFFFFF" w:themeFill="background1"/>
            <w:vAlign w:val="center"/>
          </w:tcPr>
          <w:p w:rsidR="005C42FF" w:rsidRPr="002F17B5" w:rsidRDefault="00B46187" w:rsidP="00AE7706">
            <w:pPr>
              <w:jc w:val="right"/>
              <w:rPr>
                <w:bCs/>
              </w:rPr>
            </w:pPr>
            <w:r w:rsidRPr="002F17B5">
              <w:rPr>
                <w:bCs/>
              </w:rPr>
              <w:t>(86.2)</w:t>
            </w:r>
          </w:p>
        </w:tc>
        <w:tc>
          <w:tcPr>
            <w:tcW w:w="6379" w:type="dxa"/>
            <w:gridSpan w:val="3"/>
            <w:shd w:val="clear" w:color="auto" w:fill="FFFFFF" w:themeFill="background1"/>
            <w:vAlign w:val="center"/>
          </w:tcPr>
          <w:p w:rsidR="005C42FF" w:rsidRPr="002F17B5" w:rsidRDefault="005C42FF" w:rsidP="00FC33CA">
            <w:pPr>
              <w:ind w:left="498" w:right="176"/>
              <w:jc w:val="left"/>
              <w:rPr>
                <w:szCs w:val="18"/>
              </w:rPr>
            </w:pPr>
            <w:r w:rsidRPr="002F17B5">
              <w:rPr>
                <w:szCs w:val="18"/>
              </w:rPr>
              <w:t>Other capital grants and receipts from investment activities</w:t>
            </w:r>
          </w:p>
          <w:p w:rsidR="005C42FF" w:rsidRPr="002F17B5" w:rsidRDefault="005C42FF" w:rsidP="00FC33CA">
            <w:pPr>
              <w:ind w:left="498" w:right="176"/>
              <w:jc w:val="left"/>
              <w:rPr>
                <w:szCs w:val="18"/>
              </w:rPr>
            </w:pPr>
            <w:r w:rsidRPr="002F17B5">
              <w:rPr>
                <w:szCs w:val="18"/>
              </w:rPr>
              <w:t>Other Capital Grants and Receipts from Investing Activities</w:t>
            </w:r>
          </w:p>
        </w:tc>
        <w:tc>
          <w:tcPr>
            <w:tcW w:w="236" w:type="dxa"/>
            <w:gridSpan w:val="3"/>
            <w:shd w:val="clear" w:color="auto" w:fill="FFFFFF" w:themeFill="background1"/>
            <w:vAlign w:val="center"/>
          </w:tcPr>
          <w:p w:rsidR="005C42FF" w:rsidRPr="002F17B5" w:rsidRDefault="005C42FF" w:rsidP="005C42FF">
            <w:pPr>
              <w:ind w:left="-392" w:right="178" w:firstLine="392"/>
              <w:jc w:val="right"/>
            </w:pPr>
          </w:p>
        </w:tc>
        <w:tc>
          <w:tcPr>
            <w:tcW w:w="1790" w:type="dxa"/>
            <w:gridSpan w:val="2"/>
            <w:shd w:val="clear" w:color="auto" w:fill="FFFFFF" w:themeFill="background1"/>
            <w:vAlign w:val="center"/>
          </w:tcPr>
          <w:p w:rsidR="005C42FF" w:rsidRPr="002F17B5" w:rsidRDefault="005C42FF" w:rsidP="005C42FF">
            <w:pPr>
              <w:ind w:right="178"/>
              <w:jc w:val="right"/>
              <w:rPr>
                <w:bCs/>
              </w:rPr>
            </w:pPr>
            <w:r w:rsidRPr="002F17B5">
              <w:rPr>
                <w:bCs/>
              </w:rPr>
              <w:t>(84.7)</w:t>
            </w:r>
          </w:p>
        </w:tc>
      </w:tr>
      <w:tr w:rsidR="005C42FF" w:rsidRPr="002F17B5" w:rsidTr="00B46187">
        <w:trPr>
          <w:trHeight w:hRule="exact" w:val="1107"/>
          <w:jc w:val="center"/>
        </w:trPr>
        <w:tc>
          <w:tcPr>
            <w:tcW w:w="697" w:type="dxa"/>
            <w:shd w:val="clear" w:color="auto" w:fill="FFFFFF" w:themeFill="background1"/>
            <w:vAlign w:val="center"/>
          </w:tcPr>
          <w:p w:rsidR="005C42FF" w:rsidRPr="002F17B5" w:rsidRDefault="005C42FF" w:rsidP="00AE7706">
            <w:pPr>
              <w:jc w:val="right"/>
            </w:pPr>
          </w:p>
        </w:tc>
        <w:tc>
          <w:tcPr>
            <w:tcW w:w="1031" w:type="dxa"/>
            <w:shd w:val="clear" w:color="auto" w:fill="FFFFFF" w:themeFill="background1"/>
            <w:vAlign w:val="center"/>
          </w:tcPr>
          <w:p w:rsidR="005C42FF" w:rsidRPr="002F17B5" w:rsidRDefault="00B46187">
            <w:pPr>
              <w:jc w:val="right"/>
              <w:rPr>
                <w:b/>
              </w:rPr>
            </w:pPr>
            <w:r w:rsidRPr="002F17B5">
              <w:rPr>
                <w:b/>
              </w:rPr>
              <w:t>93.9</w:t>
            </w:r>
          </w:p>
        </w:tc>
        <w:tc>
          <w:tcPr>
            <w:tcW w:w="6482" w:type="dxa"/>
            <w:gridSpan w:val="5"/>
            <w:shd w:val="clear" w:color="auto" w:fill="FFFFFF" w:themeFill="background1"/>
            <w:vAlign w:val="center"/>
          </w:tcPr>
          <w:p w:rsidR="005C42FF" w:rsidRPr="002F17B5" w:rsidRDefault="005C42FF">
            <w:pPr>
              <w:ind w:left="600"/>
              <w:jc w:val="left"/>
              <w:rPr>
                <w:b/>
                <w:szCs w:val="18"/>
              </w:rPr>
            </w:pPr>
            <w:r w:rsidRPr="002F17B5">
              <w:rPr>
                <w:b/>
                <w:szCs w:val="18"/>
              </w:rPr>
              <w:t>Net Cash Flows from Investing Activities</w:t>
            </w:r>
          </w:p>
        </w:tc>
        <w:tc>
          <w:tcPr>
            <w:tcW w:w="236" w:type="dxa"/>
            <w:gridSpan w:val="2"/>
            <w:shd w:val="clear" w:color="auto" w:fill="FFFFFF" w:themeFill="background1"/>
            <w:vAlign w:val="center"/>
          </w:tcPr>
          <w:p w:rsidR="005C42FF" w:rsidRPr="002F17B5" w:rsidRDefault="005C42FF" w:rsidP="005C42FF">
            <w:pPr>
              <w:ind w:left="-392" w:right="178" w:firstLine="392"/>
              <w:jc w:val="right"/>
              <w:rPr>
                <w:b/>
              </w:rPr>
            </w:pPr>
          </w:p>
        </w:tc>
        <w:tc>
          <w:tcPr>
            <w:tcW w:w="1790" w:type="dxa"/>
            <w:gridSpan w:val="3"/>
            <w:shd w:val="clear" w:color="auto" w:fill="FFFFFF" w:themeFill="background1"/>
            <w:vAlign w:val="center"/>
          </w:tcPr>
          <w:p w:rsidR="005C42FF" w:rsidRPr="002F17B5" w:rsidRDefault="005C42FF" w:rsidP="005C42FF">
            <w:pPr>
              <w:ind w:right="178"/>
              <w:jc w:val="right"/>
            </w:pPr>
            <w:r w:rsidRPr="002F17B5">
              <w:rPr>
                <w:b/>
              </w:rPr>
              <w:t>(52.7)</w:t>
            </w:r>
          </w:p>
        </w:tc>
      </w:tr>
    </w:tbl>
    <w:p w:rsidR="00B70B4B" w:rsidRPr="002F17B5" w:rsidRDefault="00B70B4B">
      <w:pPr>
        <w:rPr>
          <w:b/>
        </w:rPr>
      </w:pPr>
    </w:p>
    <w:p w:rsidR="00B70B4B" w:rsidRPr="002F17B5" w:rsidRDefault="00B70B4B">
      <w:pPr>
        <w:rPr>
          <w:b/>
        </w:rPr>
      </w:pPr>
    </w:p>
    <w:p w:rsidR="00B70B4B" w:rsidRPr="002F17B5" w:rsidRDefault="00BE049B">
      <w:pPr>
        <w:pStyle w:val="Heading3-numbered"/>
        <w:rPr>
          <w:b w:val="0"/>
          <w:sz w:val="26"/>
        </w:rPr>
      </w:pPr>
      <w:r w:rsidRPr="002F17B5">
        <w:rPr>
          <w:i w:val="0"/>
        </w:rPr>
        <w:t xml:space="preserve">  </w:t>
      </w:r>
      <w:r w:rsidR="00286D86" w:rsidRPr="002F17B5">
        <w:rPr>
          <w:i w:val="0"/>
          <w:sz w:val="26"/>
        </w:rPr>
        <w:t>Cash Flows from Financing Activities</w:t>
      </w:r>
    </w:p>
    <w:tbl>
      <w:tblPr>
        <w:tblW w:w="10095" w:type="dxa"/>
        <w:jc w:val="center"/>
        <w:tblLayout w:type="fixed"/>
        <w:tblLook w:val="04A0" w:firstRow="1" w:lastRow="0" w:firstColumn="1" w:lastColumn="0" w:noHBand="0" w:noVBand="1"/>
      </w:tblPr>
      <w:tblGrid>
        <w:gridCol w:w="1775"/>
        <w:gridCol w:w="666"/>
        <w:gridCol w:w="326"/>
        <w:gridCol w:w="5103"/>
        <w:gridCol w:w="48"/>
        <w:gridCol w:w="236"/>
        <w:gridCol w:w="1941"/>
      </w:tblGrid>
      <w:tr w:rsidR="00AE7706" w:rsidRPr="002F17B5" w:rsidTr="00FC33CA">
        <w:trPr>
          <w:jc w:val="center"/>
        </w:trPr>
        <w:tc>
          <w:tcPr>
            <w:tcW w:w="2767" w:type="dxa"/>
            <w:gridSpan w:val="3"/>
            <w:shd w:val="clear" w:color="auto" w:fill="FFFFFF" w:themeFill="background1"/>
          </w:tcPr>
          <w:p w:rsidR="00B70B4B" w:rsidRPr="002F17B5" w:rsidRDefault="00CD4CF3" w:rsidP="00ED1B01">
            <w:pPr>
              <w:jc w:val="center"/>
            </w:pPr>
            <w:r w:rsidRPr="002F17B5">
              <w:rPr>
                <w:b/>
              </w:rPr>
              <w:t>2013/14</w:t>
            </w:r>
          </w:p>
        </w:tc>
        <w:tc>
          <w:tcPr>
            <w:tcW w:w="5103" w:type="dxa"/>
            <w:shd w:val="clear" w:color="auto" w:fill="FFFFFF" w:themeFill="background1"/>
          </w:tcPr>
          <w:p w:rsidR="00AE7706" w:rsidRPr="002F17B5" w:rsidRDefault="00AE7706" w:rsidP="00AE7706">
            <w:pPr>
              <w:jc w:val="center"/>
              <w:rPr>
                <w:b/>
              </w:rPr>
            </w:pPr>
          </w:p>
        </w:tc>
        <w:tc>
          <w:tcPr>
            <w:tcW w:w="2225" w:type="dxa"/>
            <w:gridSpan w:val="3"/>
            <w:shd w:val="clear" w:color="auto" w:fill="FFFFFF" w:themeFill="background1"/>
          </w:tcPr>
          <w:p w:rsidR="00B70B4B" w:rsidRPr="002F17B5" w:rsidRDefault="00CD4CF3">
            <w:pPr>
              <w:jc w:val="right"/>
              <w:rPr>
                <w:b/>
              </w:rPr>
            </w:pPr>
            <w:r w:rsidRPr="002F17B5">
              <w:rPr>
                <w:b/>
              </w:rPr>
              <w:t>2012/13</w:t>
            </w:r>
          </w:p>
        </w:tc>
      </w:tr>
      <w:tr w:rsidR="008C208B" w:rsidRPr="002F17B5" w:rsidTr="00FC33CA">
        <w:trPr>
          <w:jc w:val="center"/>
        </w:trPr>
        <w:tc>
          <w:tcPr>
            <w:tcW w:w="1775" w:type="dxa"/>
            <w:shd w:val="clear" w:color="auto" w:fill="FFFFFF" w:themeFill="background1"/>
          </w:tcPr>
          <w:p w:rsidR="008C208B" w:rsidRPr="002F17B5" w:rsidRDefault="008C208B" w:rsidP="00AE7706">
            <w:pPr>
              <w:jc w:val="right"/>
              <w:rPr>
                <w:b/>
              </w:rPr>
            </w:pPr>
            <w:r w:rsidRPr="002F17B5">
              <w:rPr>
                <w:b/>
              </w:rPr>
              <w:t>£m</w:t>
            </w:r>
          </w:p>
        </w:tc>
        <w:tc>
          <w:tcPr>
            <w:tcW w:w="992" w:type="dxa"/>
            <w:gridSpan w:val="2"/>
            <w:shd w:val="clear" w:color="auto" w:fill="FFFFFF" w:themeFill="background1"/>
          </w:tcPr>
          <w:p w:rsidR="008C208B" w:rsidRPr="002F17B5" w:rsidRDefault="008C208B" w:rsidP="00AE7706">
            <w:pPr>
              <w:jc w:val="right"/>
            </w:pPr>
          </w:p>
        </w:tc>
        <w:tc>
          <w:tcPr>
            <w:tcW w:w="5103" w:type="dxa"/>
            <w:shd w:val="clear" w:color="auto" w:fill="FFFFFF" w:themeFill="background1"/>
          </w:tcPr>
          <w:p w:rsidR="008C208B" w:rsidRPr="002F17B5" w:rsidRDefault="008C208B" w:rsidP="00AE7706">
            <w:pPr>
              <w:jc w:val="right"/>
              <w:rPr>
                <w:b/>
              </w:rPr>
            </w:pPr>
          </w:p>
        </w:tc>
        <w:tc>
          <w:tcPr>
            <w:tcW w:w="284" w:type="dxa"/>
            <w:gridSpan w:val="2"/>
            <w:shd w:val="clear" w:color="auto" w:fill="FFFFFF" w:themeFill="background1"/>
          </w:tcPr>
          <w:p w:rsidR="008C208B" w:rsidRPr="002F17B5" w:rsidRDefault="008C208B" w:rsidP="00AE7706">
            <w:pPr>
              <w:jc w:val="right"/>
              <w:rPr>
                <w:b/>
              </w:rPr>
            </w:pPr>
          </w:p>
        </w:tc>
        <w:tc>
          <w:tcPr>
            <w:tcW w:w="1941" w:type="dxa"/>
            <w:shd w:val="clear" w:color="auto" w:fill="FFFFFF" w:themeFill="background1"/>
          </w:tcPr>
          <w:p w:rsidR="00B70B4B" w:rsidRPr="002F17B5" w:rsidRDefault="008C208B">
            <w:pPr>
              <w:ind w:right="176"/>
              <w:jc w:val="right"/>
              <w:rPr>
                <w:b/>
              </w:rPr>
            </w:pPr>
            <w:r w:rsidRPr="002F17B5">
              <w:rPr>
                <w:b/>
              </w:rPr>
              <w:t>£m</w:t>
            </w:r>
          </w:p>
        </w:tc>
      </w:tr>
      <w:tr w:rsidR="005C42FF" w:rsidRPr="002F17B5" w:rsidTr="00FC33CA">
        <w:trPr>
          <w:jc w:val="center"/>
        </w:trPr>
        <w:tc>
          <w:tcPr>
            <w:tcW w:w="1775" w:type="dxa"/>
            <w:shd w:val="clear" w:color="auto" w:fill="FFFFFF" w:themeFill="background1"/>
            <w:vAlign w:val="center"/>
          </w:tcPr>
          <w:p w:rsidR="005C42FF" w:rsidRPr="002F17B5" w:rsidRDefault="00B46187" w:rsidP="00AE7706">
            <w:pPr>
              <w:jc w:val="right"/>
            </w:pPr>
            <w:r w:rsidRPr="002F17B5">
              <w:t>(1</w:t>
            </w:r>
            <w:r w:rsidR="00144198">
              <w:t>,</w:t>
            </w:r>
            <w:r w:rsidRPr="002F17B5">
              <w:t>260.5)</w:t>
            </w:r>
          </w:p>
        </w:tc>
        <w:tc>
          <w:tcPr>
            <w:tcW w:w="666" w:type="dxa"/>
            <w:shd w:val="clear" w:color="auto" w:fill="FFFFFF" w:themeFill="background1"/>
            <w:vAlign w:val="center"/>
          </w:tcPr>
          <w:p w:rsidR="005C42FF" w:rsidRPr="002F17B5" w:rsidRDefault="005C42FF" w:rsidP="00AE7706">
            <w:pPr>
              <w:jc w:val="right"/>
            </w:pPr>
          </w:p>
        </w:tc>
        <w:tc>
          <w:tcPr>
            <w:tcW w:w="5477" w:type="dxa"/>
            <w:gridSpan w:val="3"/>
            <w:shd w:val="clear" w:color="auto" w:fill="FFFFFF" w:themeFill="background1"/>
          </w:tcPr>
          <w:p w:rsidR="005C42FF" w:rsidRPr="002F17B5" w:rsidRDefault="005C42FF">
            <w:pPr>
              <w:ind w:right="313"/>
              <w:jc w:val="left"/>
            </w:pPr>
            <w:r w:rsidRPr="002F17B5">
              <w:t>Cash</w:t>
            </w:r>
            <w:r w:rsidR="00321511">
              <w:t xml:space="preserve"> receipts from</w:t>
            </w:r>
            <w:r w:rsidRPr="002F17B5">
              <w:t xml:space="preserve"> borrowing</w:t>
            </w:r>
          </w:p>
        </w:tc>
        <w:tc>
          <w:tcPr>
            <w:tcW w:w="236" w:type="dxa"/>
            <w:shd w:val="clear" w:color="auto" w:fill="FFFFFF" w:themeFill="background1"/>
            <w:vAlign w:val="center"/>
          </w:tcPr>
          <w:p w:rsidR="005C42FF" w:rsidRPr="002F17B5" w:rsidRDefault="005C42FF" w:rsidP="00AE7706">
            <w:pPr>
              <w:jc w:val="right"/>
            </w:pPr>
          </w:p>
        </w:tc>
        <w:tc>
          <w:tcPr>
            <w:tcW w:w="1941" w:type="dxa"/>
            <w:shd w:val="clear" w:color="auto" w:fill="FFFFFF" w:themeFill="background1"/>
            <w:vAlign w:val="center"/>
          </w:tcPr>
          <w:p w:rsidR="005C42FF" w:rsidRPr="002F17B5" w:rsidRDefault="005C42FF" w:rsidP="005C42FF">
            <w:pPr>
              <w:ind w:right="107"/>
              <w:jc w:val="right"/>
            </w:pPr>
            <w:r w:rsidRPr="002F17B5">
              <w:t>(1,046.1)</w:t>
            </w:r>
          </w:p>
        </w:tc>
      </w:tr>
      <w:tr w:rsidR="005C42FF" w:rsidRPr="002F17B5" w:rsidTr="00FC33CA">
        <w:trPr>
          <w:jc w:val="center"/>
        </w:trPr>
        <w:tc>
          <w:tcPr>
            <w:tcW w:w="1775" w:type="dxa"/>
            <w:shd w:val="clear" w:color="auto" w:fill="FFFFFF" w:themeFill="background1"/>
            <w:vAlign w:val="center"/>
          </w:tcPr>
          <w:p w:rsidR="005C42FF" w:rsidRPr="002F17B5" w:rsidRDefault="00B46187" w:rsidP="00AE7706">
            <w:pPr>
              <w:jc w:val="right"/>
            </w:pPr>
            <w:r w:rsidRPr="002F17B5">
              <w:t>2.6</w:t>
            </w:r>
          </w:p>
        </w:tc>
        <w:tc>
          <w:tcPr>
            <w:tcW w:w="666" w:type="dxa"/>
            <w:shd w:val="clear" w:color="auto" w:fill="FFFFFF" w:themeFill="background1"/>
            <w:vAlign w:val="center"/>
          </w:tcPr>
          <w:p w:rsidR="005C42FF" w:rsidRPr="002F17B5" w:rsidRDefault="005C42FF" w:rsidP="00AE7706">
            <w:pPr>
              <w:jc w:val="right"/>
            </w:pPr>
          </w:p>
        </w:tc>
        <w:tc>
          <w:tcPr>
            <w:tcW w:w="5477" w:type="dxa"/>
            <w:gridSpan w:val="3"/>
            <w:shd w:val="clear" w:color="auto" w:fill="FFFFFF" w:themeFill="background1"/>
          </w:tcPr>
          <w:p w:rsidR="005C42FF" w:rsidRPr="002F17B5" w:rsidRDefault="005C42FF">
            <w:pPr>
              <w:ind w:right="313"/>
              <w:jc w:val="left"/>
            </w:pPr>
            <w:r w:rsidRPr="002F17B5">
              <w:t>Appropriation to/from Collection Fund Adjustment Account</w:t>
            </w:r>
          </w:p>
        </w:tc>
        <w:tc>
          <w:tcPr>
            <w:tcW w:w="236" w:type="dxa"/>
            <w:shd w:val="clear" w:color="auto" w:fill="FFFFFF" w:themeFill="background1"/>
            <w:vAlign w:val="center"/>
          </w:tcPr>
          <w:p w:rsidR="005C42FF" w:rsidRPr="002F17B5" w:rsidRDefault="005C42FF" w:rsidP="00AE7706">
            <w:pPr>
              <w:jc w:val="right"/>
            </w:pPr>
          </w:p>
        </w:tc>
        <w:tc>
          <w:tcPr>
            <w:tcW w:w="1941" w:type="dxa"/>
            <w:shd w:val="clear" w:color="auto" w:fill="FFFFFF" w:themeFill="background1"/>
            <w:vAlign w:val="center"/>
          </w:tcPr>
          <w:p w:rsidR="005C42FF" w:rsidRPr="002F17B5" w:rsidRDefault="005C42FF" w:rsidP="005C42FF">
            <w:pPr>
              <w:ind w:right="107"/>
              <w:jc w:val="right"/>
            </w:pPr>
            <w:r w:rsidRPr="002F17B5">
              <w:t>(1.3)</w:t>
            </w:r>
          </w:p>
        </w:tc>
      </w:tr>
      <w:tr w:rsidR="005C42FF" w:rsidRPr="002F17B5" w:rsidTr="00FC33CA">
        <w:trPr>
          <w:jc w:val="center"/>
        </w:trPr>
        <w:tc>
          <w:tcPr>
            <w:tcW w:w="1775" w:type="dxa"/>
            <w:shd w:val="clear" w:color="auto" w:fill="FFFFFF" w:themeFill="background1"/>
            <w:vAlign w:val="center"/>
          </w:tcPr>
          <w:p w:rsidR="005C42FF" w:rsidRPr="002F17B5" w:rsidRDefault="00B46187" w:rsidP="00AE7706">
            <w:pPr>
              <w:jc w:val="right"/>
            </w:pPr>
            <w:r w:rsidRPr="002F17B5">
              <w:t>1185.4</w:t>
            </w:r>
          </w:p>
        </w:tc>
        <w:tc>
          <w:tcPr>
            <w:tcW w:w="666" w:type="dxa"/>
            <w:shd w:val="clear" w:color="auto" w:fill="FFFFFF" w:themeFill="background1"/>
            <w:vAlign w:val="center"/>
          </w:tcPr>
          <w:p w:rsidR="005C42FF" w:rsidRPr="002F17B5" w:rsidRDefault="005C42FF" w:rsidP="00AE7706">
            <w:pPr>
              <w:jc w:val="right"/>
            </w:pPr>
          </w:p>
        </w:tc>
        <w:tc>
          <w:tcPr>
            <w:tcW w:w="5477" w:type="dxa"/>
            <w:gridSpan w:val="3"/>
            <w:shd w:val="clear" w:color="auto" w:fill="FFFFFF" w:themeFill="background1"/>
          </w:tcPr>
          <w:p w:rsidR="005C42FF" w:rsidRPr="002F17B5" w:rsidRDefault="005C42FF" w:rsidP="0090280D">
            <w:pPr>
              <w:ind w:right="313"/>
              <w:jc w:val="left"/>
            </w:pPr>
            <w:r w:rsidRPr="002F17B5">
              <w:t>Repayment of borrowing</w:t>
            </w:r>
          </w:p>
        </w:tc>
        <w:tc>
          <w:tcPr>
            <w:tcW w:w="236" w:type="dxa"/>
            <w:shd w:val="clear" w:color="auto" w:fill="FFFFFF" w:themeFill="background1"/>
            <w:vAlign w:val="center"/>
          </w:tcPr>
          <w:p w:rsidR="005C42FF" w:rsidRPr="002F17B5" w:rsidRDefault="005C42FF" w:rsidP="00AE7706">
            <w:pPr>
              <w:jc w:val="right"/>
            </w:pPr>
          </w:p>
        </w:tc>
        <w:tc>
          <w:tcPr>
            <w:tcW w:w="1941" w:type="dxa"/>
            <w:shd w:val="clear" w:color="auto" w:fill="FFFFFF" w:themeFill="background1"/>
            <w:vAlign w:val="center"/>
          </w:tcPr>
          <w:p w:rsidR="005C42FF" w:rsidRPr="002F17B5" w:rsidRDefault="005C42FF" w:rsidP="005C42FF">
            <w:pPr>
              <w:ind w:right="107"/>
              <w:jc w:val="right"/>
            </w:pPr>
            <w:r w:rsidRPr="002F17B5">
              <w:t>1,122.8</w:t>
            </w:r>
          </w:p>
        </w:tc>
      </w:tr>
      <w:tr w:rsidR="005C42FF" w:rsidRPr="002F17B5" w:rsidTr="00FC33CA">
        <w:trPr>
          <w:jc w:val="center"/>
        </w:trPr>
        <w:tc>
          <w:tcPr>
            <w:tcW w:w="1775" w:type="dxa"/>
            <w:shd w:val="clear" w:color="auto" w:fill="FFFFFF" w:themeFill="background1"/>
            <w:vAlign w:val="center"/>
          </w:tcPr>
          <w:p w:rsidR="005C42FF" w:rsidRPr="002F17B5" w:rsidRDefault="00B46187" w:rsidP="00AE7706">
            <w:pPr>
              <w:jc w:val="right"/>
            </w:pPr>
            <w:r w:rsidRPr="002F17B5">
              <w:t>7.6</w:t>
            </w:r>
          </w:p>
        </w:tc>
        <w:tc>
          <w:tcPr>
            <w:tcW w:w="666" w:type="dxa"/>
            <w:shd w:val="clear" w:color="auto" w:fill="FFFFFF" w:themeFill="background1"/>
            <w:vAlign w:val="center"/>
          </w:tcPr>
          <w:p w:rsidR="005C42FF" w:rsidRPr="002F17B5" w:rsidRDefault="005C42FF" w:rsidP="00AE7706">
            <w:pPr>
              <w:jc w:val="right"/>
            </w:pPr>
          </w:p>
        </w:tc>
        <w:tc>
          <w:tcPr>
            <w:tcW w:w="5477" w:type="dxa"/>
            <w:gridSpan w:val="3"/>
            <w:shd w:val="clear" w:color="auto" w:fill="FFFFFF" w:themeFill="background1"/>
          </w:tcPr>
          <w:p w:rsidR="005C42FF" w:rsidRPr="002F17B5" w:rsidRDefault="005C42FF">
            <w:pPr>
              <w:ind w:right="313"/>
              <w:jc w:val="left"/>
            </w:pPr>
            <w:r w:rsidRPr="002F17B5">
              <w:t>Cash payments for the reduction of the outstanding liabilities relating to finance leases and on-balance sheet PFI contracts</w:t>
            </w:r>
          </w:p>
        </w:tc>
        <w:tc>
          <w:tcPr>
            <w:tcW w:w="236" w:type="dxa"/>
            <w:shd w:val="clear" w:color="auto" w:fill="FFFFFF" w:themeFill="background1"/>
            <w:vAlign w:val="center"/>
          </w:tcPr>
          <w:p w:rsidR="005C42FF" w:rsidRPr="002F17B5" w:rsidRDefault="005C42FF" w:rsidP="00AE7706">
            <w:pPr>
              <w:jc w:val="right"/>
            </w:pPr>
          </w:p>
        </w:tc>
        <w:tc>
          <w:tcPr>
            <w:tcW w:w="1941" w:type="dxa"/>
            <w:shd w:val="clear" w:color="auto" w:fill="FFFFFF" w:themeFill="background1"/>
            <w:vAlign w:val="center"/>
          </w:tcPr>
          <w:p w:rsidR="005C42FF" w:rsidRPr="002F17B5" w:rsidRDefault="005C42FF" w:rsidP="005C42FF">
            <w:pPr>
              <w:ind w:right="107"/>
              <w:jc w:val="right"/>
            </w:pPr>
            <w:r w:rsidRPr="002F17B5">
              <w:t>8.0</w:t>
            </w:r>
          </w:p>
        </w:tc>
      </w:tr>
      <w:tr w:rsidR="005C42FF" w:rsidRPr="002F17B5" w:rsidTr="00FC33CA">
        <w:trPr>
          <w:jc w:val="center"/>
        </w:trPr>
        <w:tc>
          <w:tcPr>
            <w:tcW w:w="1775" w:type="dxa"/>
            <w:shd w:val="clear" w:color="auto" w:fill="FFFFFF" w:themeFill="background1"/>
            <w:vAlign w:val="center"/>
          </w:tcPr>
          <w:p w:rsidR="005C42FF" w:rsidRPr="002F17B5" w:rsidRDefault="00B46187" w:rsidP="00AE7706">
            <w:pPr>
              <w:jc w:val="right"/>
              <w:rPr>
                <w:b/>
                <w:bCs/>
              </w:rPr>
            </w:pPr>
            <w:r w:rsidRPr="002F17B5">
              <w:rPr>
                <w:b/>
                <w:bCs/>
              </w:rPr>
              <w:t>(64.9)</w:t>
            </w:r>
          </w:p>
        </w:tc>
        <w:tc>
          <w:tcPr>
            <w:tcW w:w="666" w:type="dxa"/>
            <w:shd w:val="clear" w:color="auto" w:fill="FFFFFF" w:themeFill="background1"/>
            <w:vAlign w:val="center"/>
          </w:tcPr>
          <w:p w:rsidR="005C42FF" w:rsidRPr="002F17B5" w:rsidRDefault="005C42FF" w:rsidP="00AE7706">
            <w:pPr>
              <w:jc w:val="right"/>
              <w:rPr>
                <w:b/>
                <w:bCs/>
              </w:rPr>
            </w:pPr>
          </w:p>
        </w:tc>
        <w:tc>
          <w:tcPr>
            <w:tcW w:w="5477" w:type="dxa"/>
            <w:gridSpan w:val="3"/>
            <w:shd w:val="clear" w:color="auto" w:fill="FFFFFF" w:themeFill="background1"/>
          </w:tcPr>
          <w:p w:rsidR="005C42FF" w:rsidRPr="002F17B5" w:rsidRDefault="005C42FF">
            <w:pPr>
              <w:ind w:right="313"/>
              <w:jc w:val="left"/>
            </w:pPr>
            <w:r w:rsidRPr="002F17B5">
              <w:rPr>
                <w:b/>
              </w:rPr>
              <w:t>Net Cash Flows from Financing Activities</w:t>
            </w:r>
          </w:p>
        </w:tc>
        <w:tc>
          <w:tcPr>
            <w:tcW w:w="236" w:type="dxa"/>
            <w:shd w:val="clear" w:color="auto" w:fill="FFFFFF" w:themeFill="background1"/>
            <w:vAlign w:val="center"/>
          </w:tcPr>
          <w:p w:rsidR="005C42FF" w:rsidRPr="002F17B5" w:rsidRDefault="005C42FF" w:rsidP="00AE7706">
            <w:pPr>
              <w:jc w:val="right"/>
              <w:rPr>
                <w:b/>
              </w:rPr>
            </w:pPr>
          </w:p>
        </w:tc>
        <w:tc>
          <w:tcPr>
            <w:tcW w:w="1941" w:type="dxa"/>
            <w:shd w:val="clear" w:color="auto" w:fill="FFFFFF" w:themeFill="background1"/>
            <w:vAlign w:val="center"/>
          </w:tcPr>
          <w:p w:rsidR="005C42FF" w:rsidRPr="002F17B5" w:rsidRDefault="005C42FF" w:rsidP="005C42FF">
            <w:pPr>
              <w:ind w:right="107"/>
              <w:jc w:val="right"/>
              <w:rPr>
                <w:b/>
                <w:bCs/>
              </w:rPr>
            </w:pPr>
            <w:r w:rsidRPr="002F17B5">
              <w:rPr>
                <w:b/>
                <w:bCs/>
              </w:rPr>
              <w:t>83.4</w:t>
            </w:r>
          </w:p>
        </w:tc>
      </w:tr>
    </w:tbl>
    <w:p w:rsidR="00321511" w:rsidRDefault="00321511">
      <w:pPr>
        <w:autoSpaceDE/>
        <w:autoSpaceDN/>
        <w:adjustRightInd/>
        <w:spacing w:after="20"/>
        <w:jc w:val="left"/>
        <w:rPr>
          <w:b/>
          <w:sz w:val="28"/>
          <w:szCs w:val="28"/>
          <w:u w:val="single"/>
        </w:rPr>
      </w:pPr>
    </w:p>
    <w:p w:rsidR="00A53B0D" w:rsidRDefault="00A53B0D">
      <w:pPr>
        <w:autoSpaceDE/>
        <w:autoSpaceDN/>
        <w:adjustRightInd/>
        <w:spacing w:after="20"/>
        <w:jc w:val="left"/>
        <w:rPr>
          <w:b/>
          <w:sz w:val="28"/>
          <w:szCs w:val="28"/>
          <w:u w:val="single"/>
        </w:rPr>
      </w:pPr>
    </w:p>
    <w:p w:rsidR="00B70B4B" w:rsidRPr="002F17B5" w:rsidRDefault="00E56C8C">
      <w:pPr>
        <w:autoSpaceDE/>
        <w:autoSpaceDN/>
        <w:adjustRightInd/>
        <w:spacing w:after="20"/>
        <w:jc w:val="left"/>
        <w:rPr>
          <w:b/>
          <w:sz w:val="28"/>
          <w:szCs w:val="28"/>
          <w:u w:val="single"/>
        </w:rPr>
      </w:pPr>
      <w:r w:rsidRPr="002F17B5">
        <w:rPr>
          <w:b/>
          <w:sz w:val="28"/>
          <w:szCs w:val="28"/>
          <w:u w:val="single"/>
        </w:rPr>
        <w:lastRenderedPageBreak/>
        <w:t>Other Notes</w:t>
      </w:r>
    </w:p>
    <w:p w:rsidR="00E56C8C" w:rsidRPr="002F17B5" w:rsidRDefault="00E56C8C" w:rsidP="00E56C8C">
      <w:pPr>
        <w:rPr>
          <w:b/>
          <w:sz w:val="14"/>
        </w:rPr>
      </w:pPr>
    </w:p>
    <w:p w:rsidR="00E56C8C" w:rsidRPr="002F17B5" w:rsidRDefault="00BE049B" w:rsidP="005C42FF">
      <w:pPr>
        <w:pStyle w:val="Heading3-numbered"/>
        <w:ind w:hanging="502"/>
        <w:rPr>
          <w:i w:val="0"/>
        </w:rPr>
      </w:pPr>
      <w:r w:rsidRPr="002F17B5">
        <w:t xml:space="preserve">  </w:t>
      </w:r>
      <w:r w:rsidR="003E0ABD" w:rsidRPr="002F17B5">
        <w:rPr>
          <w:i w:val="0"/>
        </w:rPr>
        <w:t>Related P</w:t>
      </w:r>
      <w:r w:rsidR="00286D86" w:rsidRPr="002F17B5">
        <w:rPr>
          <w:i w:val="0"/>
        </w:rPr>
        <w:t>arties</w:t>
      </w:r>
    </w:p>
    <w:p w:rsidR="00B70B4B" w:rsidRPr="002F17B5" w:rsidRDefault="00B70B4B">
      <w:pPr>
        <w:pStyle w:val="Heading3-numbered"/>
        <w:numPr>
          <w:ilvl w:val="0"/>
          <w:numId w:val="0"/>
        </w:numPr>
        <w:ind w:left="360"/>
        <w:rPr>
          <w:sz w:val="8"/>
        </w:rPr>
      </w:pPr>
    </w:p>
    <w:p w:rsidR="000741EB" w:rsidRPr="002F17B5" w:rsidRDefault="000741EB" w:rsidP="000741EB">
      <w:pPr>
        <w:pStyle w:val="bodyindent0"/>
        <w:shd w:val="clear" w:color="auto" w:fill="FFFFFF"/>
        <w:rPr>
          <w:rFonts w:ascii="Arial" w:eastAsia="Calibri" w:hAnsi="Arial" w:cs="Helvetica-Light"/>
          <w:sz w:val="24"/>
          <w:szCs w:val="24"/>
          <w:lang w:eastAsia="en-US"/>
        </w:rPr>
      </w:pPr>
      <w:r w:rsidRPr="002F17B5">
        <w:rPr>
          <w:rFonts w:ascii="Arial" w:eastAsia="Calibri" w:hAnsi="Arial" w:cs="Helvetica-Light"/>
          <w:sz w:val="24"/>
          <w:szCs w:val="24"/>
          <w:lang w:eastAsia="en-US"/>
        </w:rPr>
        <w:t>We are required to disclose material transactions with related parties – bodies or individuals that have the potential to control or influence the council or to be controlled or influenced by the council. Disclosure of these transactions allows readers to assess the extent to which the council might have been constrained in its ability to operate independently or might have secured the ability to limit another party’s ability to bargain freely with the Authority.</w:t>
      </w:r>
    </w:p>
    <w:p w:rsidR="00C228FD" w:rsidRPr="002F17B5" w:rsidRDefault="00C228FD" w:rsidP="00767E6D">
      <w:pPr>
        <w:rPr>
          <w:sz w:val="18"/>
        </w:rPr>
      </w:pPr>
    </w:p>
    <w:p w:rsidR="00E56C8C" w:rsidRPr="002F17B5" w:rsidRDefault="000741EB" w:rsidP="00767E6D">
      <w:pPr>
        <w:rPr>
          <w:b/>
        </w:rPr>
      </w:pPr>
      <w:r w:rsidRPr="002F17B5">
        <w:rPr>
          <w:b/>
        </w:rPr>
        <w:t>Central G</w:t>
      </w:r>
      <w:r w:rsidR="00E56C8C" w:rsidRPr="002F17B5">
        <w:rPr>
          <w:b/>
        </w:rPr>
        <w:t>overnment</w:t>
      </w:r>
    </w:p>
    <w:p w:rsidR="000741EB" w:rsidRPr="002F17B5" w:rsidRDefault="000741EB" w:rsidP="000741EB">
      <w:pPr>
        <w:pStyle w:val="bodyindent0"/>
        <w:shd w:val="clear" w:color="auto" w:fill="FFFFFF"/>
        <w:rPr>
          <w:rFonts w:ascii="Arial" w:eastAsia="Calibri" w:hAnsi="Arial" w:cs="Helvetica-Light"/>
          <w:sz w:val="24"/>
          <w:szCs w:val="24"/>
          <w:lang w:eastAsia="en-US"/>
        </w:rPr>
      </w:pPr>
      <w:r w:rsidRPr="002F17B5">
        <w:rPr>
          <w:rFonts w:ascii="Arial" w:eastAsia="Calibri" w:hAnsi="Arial" w:cs="Helvetica-Light"/>
          <w:sz w:val="24"/>
          <w:szCs w:val="24"/>
          <w:lang w:eastAsia="en-US"/>
        </w:rPr>
        <w:t>Central government has significant influence over the general operations of the Authority – it is responsible for providing the statutory framework within which the Authority operates, provides the majority of its funding in the form of grants and prescribes the terms of many of the transactions that the Authority has with other parties (</w:t>
      </w:r>
      <w:r w:rsidR="0079660B" w:rsidRPr="002F17B5">
        <w:rPr>
          <w:rFonts w:ascii="Arial" w:eastAsia="Calibri" w:hAnsi="Arial" w:cs="Helvetica-Light"/>
          <w:sz w:val="24"/>
          <w:szCs w:val="24"/>
          <w:lang w:eastAsia="en-US"/>
        </w:rPr>
        <w:t>e.g.</w:t>
      </w:r>
      <w:r w:rsidRPr="002F17B5">
        <w:rPr>
          <w:rFonts w:ascii="Arial" w:eastAsia="Calibri" w:hAnsi="Arial" w:cs="Helvetica-Light"/>
          <w:sz w:val="24"/>
          <w:szCs w:val="24"/>
          <w:lang w:eastAsia="en-US"/>
        </w:rPr>
        <w:t xml:space="preserve"> council tax bills, housing benefits). </w:t>
      </w:r>
    </w:p>
    <w:p w:rsidR="000741EB" w:rsidRPr="002F17B5" w:rsidRDefault="000741EB" w:rsidP="000741EB">
      <w:pPr>
        <w:pStyle w:val="bodyindent0"/>
        <w:shd w:val="clear" w:color="auto" w:fill="FFFFFF"/>
        <w:rPr>
          <w:rFonts w:ascii="Arial" w:eastAsia="Calibri" w:hAnsi="Arial" w:cs="Helvetica-Light"/>
          <w:sz w:val="24"/>
          <w:szCs w:val="24"/>
          <w:lang w:eastAsia="en-US"/>
        </w:rPr>
      </w:pPr>
      <w:r w:rsidRPr="002F17B5">
        <w:rPr>
          <w:rFonts w:ascii="Arial" w:eastAsia="Calibri" w:hAnsi="Arial" w:cs="Helvetica-Light"/>
          <w:sz w:val="24"/>
          <w:szCs w:val="24"/>
          <w:lang w:eastAsia="en-US"/>
        </w:rPr>
        <w:t>Grants received from government departments are se</w:t>
      </w:r>
      <w:r w:rsidR="00764621" w:rsidRPr="002F17B5">
        <w:rPr>
          <w:rFonts w:ascii="Arial" w:eastAsia="Calibri" w:hAnsi="Arial" w:cs="Helvetica-Light"/>
          <w:sz w:val="24"/>
          <w:szCs w:val="24"/>
          <w:lang w:eastAsia="en-US"/>
        </w:rPr>
        <w:t xml:space="preserve">t out in </w:t>
      </w:r>
      <w:r w:rsidR="00687957" w:rsidRPr="002F17B5">
        <w:rPr>
          <w:rFonts w:ascii="Arial" w:eastAsia="Calibri" w:hAnsi="Arial" w:cs="Helvetica-Light"/>
          <w:sz w:val="24"/>
          <w:szCs w:val="24"/>
          <w:lang w:eastAsia="en-US"/>
        </w:rPr>
        <w:t>n</w:t>
      </w:r>
      <w:r w:rsidRPr="002F17B5">
        <w:rPr>
          <w:rFonts w:ascii="Arial" w:eastAsia="Calibri" w:hAnsi="Arial" w:cs="Helvetica-Light"/>
          <w:sz w:val="24"/>
          <w:szCs w:val="24"/>
          <w:lang w:eastAsia="en-US"/>
        </w:rPr>
        <w:t xml:space="preserve">ote </w:t>
      </w:r>
      <w:r w:rsidR="005E0813" w:rsidRPr="002F17B5">
        <w:rPr>
          <w:rFonts w:ascii="Arial" w:eastAsia="Calibri" w:hAnsi="Arial" w:cs="Helvetica-Light"/>
          <w:sz w:val="24"/>
          <w:szCs w:val="24"/>
          <w:lang w:eastAsia="en-US"/>
        </w:rPr>
        <w:t>1</w:t>
      </w:r>
      <w:r w:rsidR="00DA0F37">
        <w:rPr>
          <w:rFonts w:ascii="Arial" w:eastAsia="Calibri" w:hAnsi="Arial" w:cs="Helvetica-Light"/>
          <w:sz w:val="24"/>
          <w:szCs w:val="24"/>
          <w:lang w:eastAsia="en-US"/>
        </w:rPr>
        <w:t>3</w:t>
      </w:r>
      <w:r w:rsidRPr="002F17B5">
        <w:rPr>
          <w:rFonts w:ascii="Arial" w:eastAsia="Calibri" w:hAnsi="Arial" w:cs="Helvetica-Light"/>
          <w:sz w:val="24"/>
          <w:szCs w:val="24"/>
          <w:lang w:eastAsia="en-US"/>
        </w:rPr>
        <w:t xml:space="preserve"> on reporting for resources allocation decisions. </w:t>
      </w:r>
    </w:p>
    <w:p w:rsidR="00C228FD" w:rsidRPr="002F17B5" w:rsidRDefault="00C228FD" w:rsidP="00767E6D">
      <w:pPr>
        <w:rPr>
          <w:b/>
          <w:sz w:val="6"/>
        </w:rPr>
      </w:pPr>
    </w:p>
    <w:p w:rsidR="00004E6A" w:rsidRPr="002F17B5" w:rsidRDefault="00687957" w:rsidP="00004E6A">
      <w:pPr>
        <w:rPr>
          <w:b/>
        </w:rPr>
      </w:pPr>
      <w:r w:rsidRPr="002F17B5">
        <w:rPr>
          <w:b/>
        </w:rPr>
        <w:t>Members</w:t>
      </w:r>
    </w:p>
    <w:p w:rsidR="00004E6A" w:rsidRPr="002F17B5" w:rsidRDefault="00687957" w:rsidP="00004E6A">
      <w:r w:rsidRPr="002F17B5">
        <w:t>Members of the county council have direct control over the council's</w:t>
      </w:r>
      <w:r w:rsidR="00004E6A" w:rsidRPr="002F17B5">
        <w:t xml:space="preserve"> financial and operating policies. Under section 81 the Local Government act 2000, their outside interest are recorded in a formal register, The Register of Interest, which is available for inspection at the office of the Chief Executive, County Hall, Preston. The details of how to view the register can also be found on the council's website at: </w:t>
      </w:r>
    </w:p>
    <w:p w:rsidR="00004E6A" w:rsidRPr="002F17B5" w:rsidRDefault="00EA4F50" w:rsidP="00004E6A">
      <w:pPr>
        <w:rPr>
          <w:u w:val="single"/>
        </w:rPr>
      </w:pPr>
      <w:hyperlink r:id="rId52" w:history="1">
        <w:r w:rsidR="00004E6A" w:rsidRPr="002F17B5">
          <w:rPr>
            <w:rStyle w:val="Hyperlink"/>
          </w:rPr>
          <w:t>http://www3.lancashire.gov.uk/corporate/atoz/a_to_z/service.asp?u_id=969&amp;tab=1</w:t>
        </w:r>
      </w:hyperlink>
    </w:p>
    <w:p w:rsidR="00004E6A" w:rsidRPr="002F17B5" w:rsidRDefault="00004E6A" w:rsidP="00004E6A">
      <w:r w:rsidRPr="002F17B5">
        <w:t xml:space="preserve">Our code of conduct requires county councillors to declare any related interests they have and to take no part in meeting or decisions on issues involving those interests. </w:t>
      </w:r>
    </w:p>
    <w:p w:rsidR="00004E6A" w:rsidRPr="002F17B5" w:rsidRDefault="00004E6A" w:rsidP="00004E6A">
      <w:r w:rsidRPr="002F17B5">
        <w:t>In preparing this statement of accounts we have asked all councillors to fill in a declaration about any interests which they or their family may have in organis</w:t>
      </w:r>
      <w:r w:rsidR="002F2130">
        <w:t>ations that we deal with. These</w:t>
      </w:r>
      <w:r w:rsidRPr="002F17B5">
        <w:t xml:space="preserve"> interests include: </w:t>
      </w:r>
    </w:p>
    <w:p w:rsidR="00004E6A" w:rsidRPr="002F17B5" w:rsidRDefault="00004E6A" w:rsidP="00AA0715">
      <w:pPr>
        <w:pStyle w:val="ListParagraph"/>
        <w:numPr>
          <w:ilvl w:val="0"/>
          <w:numId w:val="46"/>
        </w:numPr>
        <w:autoSpaceDE/>
        <w:autoSpaceDN/>
        <w:adjustRightInd/>
        <w:spacing w:before="0" w:after="0"/>
      </w:pPr>
      <w:r w:rsidRPr="002F17B5">
        <w:t xml:space="preserve">Roles with voluntary organisation and charities which may receive grants from the council. </w:t>
      </w:r>
    </w:p>
    <w:p w:rsidR="00004E6A" w:rsidRPr="002F17B5" w:rsidRDefault="00004E6A" w:rsidP="00004E6A">
      <w:pPr>
        <w:spacing w:after="0"/>
        <w:rPr>
          <w:sz w:val="18"/>
        </w:rPr>
      </w:pPr>
    </w:p>
    <w:p w:rsidR="00004E6A" w:rsidRPr="002F17B5" w:rsidRDefault="00004E6A" w:rsidP="00AA0715">
      <w:pPr>
        <w:pStyle w:val="ListParagraph"/>
        <w:numPr>
          <w:ilvl w:val="0"/>
          <w:numId w:val="46"/>
        </w:numPr>
        <w:autoSpaceDE/>
        <w:autoSpaceDN/>
        <w:adjustRightInd/>
        <w:spacing w:before="0" w:after="0"/>
      </w:pPr>
      <w:r w:rsidRPr="002F17B5">
        <w:t>Roles where they have significant influence/control within Limited Companies that has a c</w:t>
      </w:r>
      <w:r w:rsidR="002F2130">
        <w:t>ontract with the c</w:t>
      </w:r>
      <w:r w:rsidRPr="002F17B5">
        <w:t xml:space="preserve">ouncil. </w:t>
      </w:r>
    </w:p>
    <w:p w:rsidR="00004E6A" w:rsidRPr="002F17B5" w:rsidRDefault="00004E6A" w:rsidP="00004E6A">
      <w:pPr>
        <w:spacing w:after="0"/>
        <w:rPr>
          <w:sz w:val="18"/>
        </w:rPr>
      </w:pPr>
    </w:p>
    <w:p w:rsidR="00004E6A" w:rsidRPr="002F17B5" w:rsidRDefault="00004E6A" w:rsidP="00AA0715">
      <w:pPr>
        <w:pStyle w:val="ListParagraph"/>
        <w:numPr>
          <w:ilvl w:val="0"/>
          <w:numId w:val="46"/>
        </w:numPr>
        <w:autoSpaceDE/>
        <w:autoSpaceDN/>
        <w:adjustRightInd/>
        <w:spacing w:before="0" w:after="0"/>
      </w:pPr>
      <w:r w:rsidRPr="002F17B5">
        <w:t>Family members that have significant influence/control within any organisat</w:t>
      </w:r>
      <w:r w:rsidR="002F2130">
        <w:t>ion that has dealings with the c</w:t>
      </w:r>
      <w:r w:rsidRPr="002F17B5">
        <w:t xml:space="preserve">ouncil. </w:t>
      </w:r>
    </w:p>
    <w:p w:rsidR="00004E6A" w:rsidRPr="002F17B5" w:rsidRDefault="00004E6A" w:rsidP="00004E6A">
      <w:pPr>
        <w:spacing w:after="0"/>
      </w:pPr>
    </w:p>
    <w:p w:rsidR="00004E6A" w:rsidRPr="002F17B5" w:rsidRDefault="002F2130" w:rsidP="00004E6A">
      <w:pPr>
        <w:spacing w:after="0"/>
      </w:pPr>
      <w:r>
        <w:t>Revealed below is a list where c</w:t>
      </w:r>
      <w:r w:rsidR="00004E6A" w:rsidRPr="002F17B5">
        <w:t xml:space="preserve">ouncillors or a member of their family are involved and has significant control with an organisation. </w:t>
      </w:r>
    </w:p>
    <w:p w:rsidR="00004E6A" w:rsidRPr="002F17B5" w:rsidRDefault="00004E6A" w:rsidP="00004E6A">
      <w:pPr>
        <w:spacing w:after="0"/>
      </w:pPr>
      <w:r w:rsidRPr="002F17B5">
        <w:lastRenderedPageBreak/>
        <w:t xml:space="preserve">There were a number of transactions that were declared between Lancashire County Council and organisations where the councillors have significant involvement. </w:t>
      </w:r>
    </w:p>
    <w:p w:rsidR="00004E6A" w:rsidRPr="002F17B5" w:rsidRDefault="00004E6A" w:rsidP="00004E6A">
      <w:pPr>
        <w:spacing w:after="0"/>
      </w:pPr>
      <w:r w:rsidRPr="002F17B5">
        <w:t xml:space="preserve">None of the transactions </w:t>
      </w:r>
      <w:r w:rsidR="002F2130">
        <w:t>were</w:t>
      </w:r>
      <w:r w:rsidRPr="002F17B5">
        <w:t xml:space="preserve"> classed as significant to Lancashire County Council.</w:t>
      </w:r>
    </w:p>
    <w:p w:rsidR="00004E6A" w:rsidRPr="002F17B5" w:rsidRDefault="00004E6A" w:rsidP="00004E6A"/>
    <w:p w:rsidR="00004E6A" w:rsidRPr="002F17B5" w:rsidRDefault="00004E6A" w:rsidP="00004E6A">
      <w:r w:rsidRPr="002F17B5">
        <w:t>CC Carl Crompton is a board member of Gift 92, the charity received payments totalling £42,188.28.</w:t>
      </w:r>
    </w:p>
    <w:p w:rsidR="00AB452A" w:rsidRPr="002F17B5" w:rsidRDefault="00004E6A" w:rsidP="00004E6A">
      <w:r w:rsidRPr="002F17B5">
        <w:t>CC Mike Otter is a trustee at Community Futures, the organisation received payments totalling £37,799.38.</w:t>
      </w:r>
    </w:p>
    <w:p w:rsidR="00004E6A" w:rsidRPr="002F17B5" w:rsidRDefault="00004E6A" w:rsidP="00004E6A">
      <w:r w:rsidRPr="002F17B5">
        <w:t xml:space="preserve">CC Mark Perks, chairman for </w:t>
      </w:r>
      <w:proofErr w:type="spellStart"/>
      <w:r w:rsidRPr="002F17B5">
        <w:t>Buckshaw</w:t>
      </w:r>
      <w:proofErr w:type="spellEnd"/>
      <w:r w:rsidRPr="002F17B5">
        <w:t xml:space="preserve"> Youth Association and </w:t>
      </w:r>
      <w:proofErr w:type="spellStart"/>
      <w:r w:rsidRPr="002F17B5">
        <w:t>Buckshaw</w:t>
      </w:r>
      <w:proofErr w:type="spellEnd"/>
      <w:r w:rsidRPr="002F17B5">
        <w:t xml:space="preserve"> Scouts. </w:t>
      </w:r>
      <w:proofErr w:type="spellStart"/>
      <w:r w:rsidRPr="002F17B5">
        <w:t>Buckshaw</w:t>
      </w:r>
      <w:proofErr w:type="spellEnd"/>
      <w:r w:rsidRPr="002F17B5">
        <w:t xml:space="preserve"> Youth Association received a grant of £2,857 whilst </w:t>
      </w:r>
      <w:proofErr w:type="spellStart"/>
      <w:r w:rsidRPr="002F17B5">
        <w:t>Buckshaw</w:t>
      </w:r>
      <w:proofErr w:type="spellEnd"/>
      <w:r w:rsidRPr="002F17B5">
        <w:t xml:space="preserve"> Scouts received a grant of £959.</w:t>
      </w:r>
    </w:p>
    <w:p w:rsidR="00004E6A" w:rsidRPr="002F17B5" w:rsidRDefault="00004E6A" w:rsidP="00004E6A">
      <w:r w:rsidRPr="002F17B5">
        <w:t xml:space="preserve">CC Alan Schofield is a board member at </w:t>
      </w:r>
      <w:proofErr w:type="spellStart"/>
      <w:r w:rsidRPr="002F17B5">
        <w:t>Ribble</w:t>
      </w:r>
      <w:proofErr w:type="spellEnd"/>
      <w:r w:rsidRPr="002F17B5">
        <w:t xml:space="preserve"> Valley Citizens Advice Bureau, the organisation received payments totalling £29,809.</w:t>
      </w:r>
    </w:p>
    <w:p w:rsidR="00004E6A" w:rsidRPr="002F17B5" w:rsidRDefault="00004E6A" w:rsidP="00004E6A">
      <w:r w:rsidRPr="002F17B5">
        <w:t>CC Jennifer Mein is a trustee at Emmaus Preston, the charity received payments totalling £103,876.99.</w:t>
      </w:r>
    </w:p>
    <w:p w:rsidR="00004E6A" w:rsidRPr="002F17B5" w:rsidRDefault="00004E6A" w:rsidP="00004E6A">
      <w:r w:rsidRPr="002F17B5">
        <w:t xml:space="preserve">CC Stephen Holgate is a non executive director for Chorley Community Housing, the organisation received payments totalling £130,646. </w:t>
      </w:r>
    </w:p>
    <w:p w:rsidR="007143D8" w:rsidRPr="002F17B5" w:rsidDel="001E236B" w:rsidRDefault="00514021" w:rsidP="00004E6A">
      <w:r w:rsidRPr="002F17B5" w:rsidDel="001E236B">
        <w:t xml:space="preserve">CC </w:t>
      </w:r>
      <w:proofErr w:type="spellStart"/>
      <w:r w:rsidRPr="002F17B5" w:rsidDel="001E236B">
        <w:t>Azhar</w:t>
      </w:r>
      <w:proofErr w:type="spellEnd"/>
      <w:r w:rsidRPr="002F17B5" w:rsidDel="001E236B">
        <w:t xml:space="preserve"> Ali, Regenerate Pennine Lancashire.</w:t>
      </w:r>
    </w:p>
    <w:p w:rsidR="00514021" w:rsidRPr="002F17B5" w:rsidDel="001E236B" w:rsidRDefault="00514021" w:rsidP="00004E6A">
      <w:r w:rsidRPr="002F17B5" w:rsidDel="001E236B">
        <w:t xml:space="preserve">CC Lorraine Beavers, Blackpool Fylde and Wyre EDC. </w:t>
      </w:r>
    </w:p>
    <w:p w:rsidR="007143D8" w:rsidRPr="002F17B5" w:rsidRDefault="00514021" w:rsidP="00004E6A">
      <w:r w:rsidRPr="002F17B5">
        <w:t>CC David Borrow, The Lancashire Partnership Against  Crime Limited</w:t>
      </w:r>
      <w:r w:rsidR="00B30509">
        <w:t>.</w:t>
      </w:r>
      <w:r w:rsidRPr="002F17B5">
        <w:t xml:space="preserve"> </w:t>
      </w:r>
    </w:p>
    <w:p w:rsidR="00CF572A" w:rsidRPr="002F17B5" w:rsidRDefault="001E236B" w:rsidP="00CF572A">
      <w:r>
        <w:t>CC</w:t>
      </w:r>
      <w:r w:rsidR="00CF572A" w:rsidRPr="002F17B5">
        <w:t xml:space="preserve"> Janice Hanson, LWS Lancashire Environmental Fund Limited.</w:t>
      </w:r>
    </w:p>
    <w:p w:rsidR="00CF572A" w:rsidRPr="002F17B5" w:rsidRDefault="001E236B" w:rsidP="00C36A52">
      <w:r>
        <w:t>CC</w:t>
      </w:r>
      <w:r w:rsidR="00C36A52" w:rsidRPr="002F17B5">
        <w:t xml:space="preserve"> Miles Parkinson, Regenerate Pennine Lancashire Limited.</w:t>
      </w:r>
    </w:p>
    <w:p w:rsidR="001E236B" w:rsidRPr="00DB314D" w:rsidRDefault="001E236B" w:rsidP="001E236B">
      <w:pPr>
        <w:rPr>
          <w:rFonts w:cs="Arial"/>
          <w:sz w:val="4"/>
        </w:rPr>
      </w:pPr>
    </w:p>
    <w:p w:rsidR="001E236B" w:rsidRPr="002F17B5" w:rsidRDefault="001E236B" w:rsidP="001E236B">
      <w:r>
        <w:t>Some</w:t>
      </w:r>
      <w:r w:rsidRPr="002F17B5">
        <w:t xml:space="preserve"> county councillors hold positions on companies referred to in the companies section of this note, therefore any transactions between the two entities are referred to in that section.</w:t>
      </w:r>
    </w:p>
    <w:p w:rsidR="001E236B" w:rsidRPr="00DB314D" w:rsidRDefault="001E236B">
      <w:pPr>
        <w:pStyle w:val="Body1"/>
        <w:jc w:val="both"/>
        <w:rPr>
          <w:rFonts w:cs="Arial"/>
          <w:sz w:val="12"/>
        </w:rPr>
      </w:pPr>
    </w:p>
    <w:p w:rsidR="00004E6A" w:rsidRPr="002F17B5" w:rsidRDefault="00004E6A" w:rsidP="00004E6A">
      <w:pPr>
        <w:rPr>
          <w:b/>
        </w:rPr>
      </w:pPr>
      <w:r w:rsidRPr="002F17B5">
        <w:rPr>
          <w:b/>
        </w:rPr>
        <w:t xml:space="preserve">Officers </w:t>
      </w:r>
    </w:p>
    <w:p w:rsidR="00004E6A" w:rsidRPr="002F17B5" w:rsidRDefault="00004E6A" w:rsidP="00ED1B01">
      <w:r w:rsidRPr="002F17B5">
        <w:t>Our senior officers may influence our financial and operating policies. The officers of the Management Team have filled in a declaration about their related interest and those of their family. This has revealed that the Management Team officers had roles in the following organisations during 2013/14.</w:t>
      </w:r>
    </w:p>
    <w:p w:rsidR="00ED1B01" w:rsidRPr="00DB314D" w:rsidRDefault="00ED1B01" w:rsidP="00ED1B01">
      <w:pPr>
        <w:rPr>
          <w:sz w:val="16"/>
        </w:rPr>
      </w:pPr>
    </w:p>
    <w:p w:rsidR="00004E6A" w:rsidRPr="002F17B5" w:rsidRDefault="00004E6A" w:rsidP="00ED1B01">
      <w:pPr>
        <w:rPr>
          <w:rFonts w:cs="Times New Roman"/>
        </w:rPr>
      </w:pPr>
      <w:r w:rsidRPr="002F17B5">
        <w:rPr>
          <w:rFonts w:cs="Times New Roman"/>
        </w:rPr>
        <w:t>Phil Halsall, chief executive (until</w:t>
      </w:r>
      <w:r w:rsidR="000B2FD3" w:rsidRPr="002F17B5">
        <w:rPr>
          <w:rFonts w:cs="Times New Roman"/>
        </w:rPr>
        <w:t xml:space="preserve"> 31 October</w:t>
      </w:r>
      <w:r w:rsidRPr="002F17B5">
        <w:rPr>
          <w:rFonts w:cs="Times New Roman"/>
        </w:rPr>
        <w:t xml:space="preserve"> </w:t>
      </w:r>
      <w:r w:rsidR="000B2FD3" w:rsidRPr="002F17B5">
        <w:rPr>
          <w:rFonts w:cs="Times New Roman"/>
        </w:rPr>
        <w:t>2013</w:t>
      </w:r>
      <w:r w:rsidRPr="002F17B5">
        <w:rPr>
          <w:rFonts w:cs="Times New Roman"/>
        </w:rPr>
        <w:t>) of Lancashire County Council,</w:t>
      </w:r>
      <w:r w:rsidRPr="002F17B5">
        <w:rPr>
          <w:rFonts w:cs="SUDADR+Helvetica-Light"/>
        </w:rPr>
        <w:t xml:space="preserve"> </w:t>
      </w:r>
      <w:r w:rsidRPr="002F17B5">
        <w:rPr>
          <w:rFonts w:cs="Times New Roman"/>
        </w:rPr>
        <w:t xml:space="preserve"> Regenerate Pennine Lancashire Ltd, </w:t>
      </w:r>
    </w:p>
    <w:p w:rsidR="00ED1B01" w:rsidRPr="00DB314D" w:rsidRDefault="00ED1B01" w:rsidP="00ED1B01">
      <w:pPr>
        <w:rPr>
          <w:rFonts w:cs="Times New Roman"/>
          <w:sz w:val="10"/>
        </w:rPr>
      </w:pPr>
    </w:p>
    <w:p w:rsidR="00ED1B01" w:rsidRPr="002F17B5" w:rsidRDefault="00ED1B01" w:rsidP="00ED1B01">
      <w:pPr>
        <w:rPr>
          <w:sz w:val="2"/>
        </w:rPr>
      </w:pPr>
    </w:p>
    <w:p w:rsidR="00004E6A" w:rsidRPr="002F17B5" w:rsidRDefault="00004E6A" w:rsidP="00ED1B01">
      <w:r w:rsidRPr="002F17B5">
        <w:t xml:space="preserve">Gill Kilpatrick, the county treasurer was treasurer to the Lancashire County Pension fund. </w:t>
      </w:r>
    </w:p>
    <w:p w:rsidR="00ED1B01" w:rsidRPr="00DB314D" w:rsidRDefault="00ED1B01" w:rsidP="00ED1B01">
      <w:pPr>
        <w:rPr>
          <w:sz w:val="12"/>
        </w:rPr>
      </w:pPr>
    </w:p>
    <w:p w:rsidR="00ED1B01" w:rsidRPr="00D35BCE" w:rsidRDefault="00004E6A" w:rsidP="00ED1B01">
      <w:pPr>
        <w:rPr>
          <w:sz w:val="16"/>
        </w:rPr>
      </w:pPr>
      <w:r w:rsidRPr="002F17B5">
        <w:t xml:space="preserve">Jo </w:t>
      </w:r>
      <w:proofErr w:type="spellStart"/>
      <w:r w:rsidRPr="002F17B5">
        <w:t>Turton</w:t>
      </w:r>
      <w:proofErr w:type="spellEnd"/>
      <w:r w:rsidRPr="002F17B5">
        <w:t xml:space="preserve">, the </w:t>
      </w:r>
      <w:r w:rsidR="00D35BCE">
        <w:t xml:space="preserve">interim </w:t>
      </w:r>
      <w:r w:rsidRPr="002F17B5">
        <w:t>chief executive</w:t>
      </w:r>
      <w:r w:rsidR="00D35BCE">
        <w:t xml:space="preserve"> from 6 August 2013 and subsequently chief executive from 20 February 2014</w:t>
      </w:r>
      <w:r w:rsidR="00384419">
        <w:t>,</w:t>
      </w:r>
      <w:r w:rsidRPr="002F17B5">
        <w:t xml:space="preserve"> declared board membership on Community Foundation Lancashire &amp; Merseyside.</w:t>
      </w:r>
      <w:r w:rsidR="00BC7AFA" w:rsidRPr="002F17B5">
        <w:t xml:space="preserve">, Preston Vision Limited, Regenerate Pennine Lancashire Limited, </w:t>
      </w:r>
    </w:p>
    <w:p w:rsidR="00004E6A" w:rsidRPr="002F17B5" w:rsidRDefault="00004E6A" w:rsidP="00ED1B01">
      <w:r w:rsidRPr="002F17B5">
        <w:lastRenderedPageBreak/>
        <w:t>Steve Browne, interim executive director for environment is also chairman of the board of Preston College.</w:t>
      </w:r>
    </w:p>
    <w:p w:rsidR="00ED1B01" w:rsidRPr="00DB314D" w:rsidRDefault="00ED1B01" w:rsidP="00ED1B01">
      <w:pPr>
        <w:rPr>
          <w:sz w:val="6"/>
        </w:rPr>
      </w:pPr>
    </w:p>
    <w:p w:rsidR="00004E6A" w:rsidRPr="002F17B5" w:rsidRDefault="00004E6A" w:rsidP="00ED1B01">
      <w:r w:rsidRPr="002F17B5">
        <w:t>Steve Gross, executive director of adult services, health and wellbeing</w:t>
      </w:r>
      <w:r w:rsidR="002F6246" w:rsidRPr="002F17B5">
        <w:t xml:space="preserve"> is director for Lancashire Workforce Development Partnership Limited</w:t>
      </w:r>
      <w:r w:rsidRPr="002F17B5">
        <w:t xml:space="preserve">. </w:t>
      </w:r>
    </w:p>
    <w:p w:rsidR="00ED1B01" w:rsidRPr="00DB314D" w:rsidRDefault="00ED1B01" w:rsidP="00ED1B01">
      <w:pPr>
        <w:rPr>
          <w:sz w:val="14"/>
        </w:rPr>
      </w:pPr>
    </w:p>
    <w:p w:rsidR="00B115BC" w:rsidRPr="002F17B5" w:rsidRDefault="00B115BC" w:rsidP="00ED1B01">
      <w:r w:rsidRPr="002F17B5">
        <w:t>Martin Kelly, director of economic development has declared that he holds the position of director on Motor I</w:t>
      </w:r>
      <w:r w:rsidR="00D35BCE">
        <w:t>ndustry Local Authority Network. He</w:t>
      </w:r>
      <w:r w:rsidRPr="002F17B5">
        <w:t xml:space="preserve"> also holds the position of alternate director for Blackpool Fylde and Wyre Economic Development Company Limited, Regenerate Pe</w:t>
      </w:r>
      <w:r w:rsidR="00D35BCE">
        <w:t>nnine Lancashire Limited; and</w:t>
      </w:r>
      <w:r w:rsidRPr="002F17B5">
        <w:t xml:space="preserve"> also holds the position of Chairman with The Clayton Park Conference Centre Limited. </w:t>
      </w:r>
    </w:p>
    <w:p w:rsidR="00F458BC" w:rsidRDefault="00F458BC" w:rsidP="00F458BC">
      <w:pPr>
        <w:autoSpaceDE/>
        <w:autoSpaceDN/>
        <w:adjustRightInd/>
        <w:spacing w:after="20"/>
        <w:ind w:left="720" w:hanging="720"/>
        <w:jc w:val="left"/>
        <w:rPr>
          <w:b/>
          <w:sz w:val="16"/>
        </w:rPr>
      </w:pPr>
    </w:p>
    <w:p w:rsidR="00DB314D" w:rsidRPr="00DB314D" w:rsidRDefault="00DB314D" w:rsidP="00F458BC">
      <w:pPr>
        <w:autoSpaceDE/>
        <w:autoSpaceDN/>
        <w:adjustRightInd/>
        <w:spacing w:after="20"/>
        <w:ind w:left="720" w:hanging="720"/>
        <w:jc w:val="left"/>
        <w:rPr>
          <w:b/>
          <w:sz w:val="16"/>
        </w:rPr>
      </w:pPr>
    </w:p>
    <w:p w:rsidR="00F458BC" w:rsidRDefault="00F458BC" w:rsidP="00F458BC">
      <w:pPr>
        <w:autoSpaceDE/>
        <w:autoSpaceDN/>
        <w:adjustRightInd/>
        <w:spacing w:after="20"/>
        <w:ind w:left="720" w:hanging="720"/>
        <w:jc w:val="left"/>
        <w:rPr>
          <w:b/>
        </w:rPr>
      </w:pPr>
    </w:p>
    <w:p w:rsidR="00F458BC" w:rsidRDefault="00F458BC" w:rsidP="00F458BC">
      <w:pPr>
        <w:rPr>
          <w:rFonts w:eastAsiaTheme="minorHAnsi" w:cs="Arial"/>
          <w:b/>
          <w:bCs/>
          <w:color w:val="auto"/>
          <w:lang w:eastAsia="en-GB"/>
        </w:rPr>
      </w:pPr>
      <w:r>
        <w:rPr>
          <w:rFonts w:cs="Arial"/>
          <w:b/>
          <w:bCs/>
        </w:rPr>
        <w:t>Lancashire County Pension Fund</w:t>
      </w:r>
    </w:p>
    <w:p w:rsidR="00F458BC" w:rsidRPr="00DB314D" w:rsidRDefault="00F458BC" w:rsidP="00F458BC">
      <w:pPr>
        <w:rPr>
          <w:rFonts w:cs="Arial"/>
          <w:sz w:val="6"/>
        </w:rPr>
      </w:pPr>
    </w:p>
    <w:p w:rsidR="00F458BC" w:rsidRDefault="00F458BC" w:rsidP="00F458BC">
      <w:pPr>
        <w:rPr>
          <w:rFonts w:cs="Arial"/>
        </w:rPr>
      </w:pPr>
      <w:r>
        <w:rPr>
          <w:rFonts w:cs="Arial"/>
        </w:rPr>
        <w:t>The Lancashire County Pension Fund is administered by Lancashire County Council. Consequently there is a strong relationship between the council and the pension fund.</w:t>
      </w:r>
    </w:p>
    <w:p w:rsidR="00F458BC" w:rsidRPr="00DB314D" w:rsidRDefault="00F458BC" w:rsidP="00F458BC">
      <w:pPr>
        <w:rPr>
          <w:rFonts w:cs="Arial"/>
          <w:sz w:val="14"/>
        </w:rPr>
      </w:pPr>
    </w:p>
    <w:p w:rsidR="00F458BC" w:rsidRDefault="00F458BC" w:rsidP="00F458BC">
      <w:pPr>
        <w:rPr>
          <w:rFonts w:cs="Arial"/>
        </w:rPr>
      </w:pPr>
      <w:r>
        <w:rPr>
          <w:rFonts w:cs="Arial"/>
        </w:rPr>
        <w:t>The council incurred costs of £4.2 million (2012/13: £3.8 million) in relation to the administration of the fund.  This includes a proportion of relevant officers' salaries in respect of time allocated to Pension and Investment issues.  The council was subsequently reimbursed by the fund for these expenses. The council is also the single largest employer of the members of the pension fund and contributed £69.1 million to the fund in 2013/14 (2012/13:£63.4m million). All monies owing to and due from the fund were paid in year.</w:t>
      </w:r>
    </w:p>
    <w:p w:rsidR="00F458BC" w:rsidRPr="00DB314D" w:rsidRDefault="00F458BC" w:rsidP="00F458BC">
      <w:pPr>
        <w:rPr>
          <w:rFonts w:ascii="Calibri" w:hAnsi="Calibri" w:cs="Times New Roman"/>
          <w:sz w:val="14"/>
          <w:szCs w:val="22"/>
        </w:rPr>
      </w:pPr>
    </w:p>
    <w:p w:rsidR="00F458BC" w:rsidRDefault="00F458BC" w:rsidP="00F458BC">
      <w:pPr>
        <w:pStyle w:val="BodyTextIndent"/>
        <w:ind w:left="0"/>
      </w:pPr>
      <w:r>
        <w:t xml:space="preserve">Part of the pension fund cash holdings are invested on the money markets by the treasury management operations of Lancashire Council County. </w:t>
      </w:r>
    </w:p>
    <w:p w:rsidR="00526567" w:rsidRPr="00DB314D" w:rsidRDefault="00526567" w:rsidP="00F458BC">
      <w:pPr>
        <w:autoSpaceDE/>
        <w:autoSpaceDN/>
        <w:adjustRightInd/>
        <w:spacing w:after="20"/>
        <w:ind w:left="720" w:hanging="720"/>
        <w:rPr>
          <w:b/>
          <w:sz w:val="16"/>
        </w:rPr>
      </w:pPr>
    </w:p>
    <w:p w:rsidR="008778FF" w:rsidRDefault="008778FF" w:rsidP="00F458BC">
      <w:pPr>
        <w:autoSpaceDE/>
        <w:autoSpaceDN/>
        <w:adjustRightInd/>
        <w:spacing w:after="20"/>
        <w:ind w:left="720" w:hanging="720"/>
        <w:rPr>
          <w:b/>
        </w:rPr>
      </w:pPr>
    </w:p>
    <w:p w:rsidR="00DB314D" w:rsidRPr="00DB314D" w:rsidRDefault="00DB314D" w:rsidP="00F458BC">
      <w:pPr>
        <w:autoSpaceDE/>
        <w:autoSpaceDN/>
        <w:adjustRightInd/>
        <w:spacing w:after="20"/>
        <w:ind w:left="720" w:hanging="720"/>
        <w:rPr>
          <w:b/>
          <w:sz w:val="14"/>
        </w:rPr>
      </w:pPr>
    </w:p>
    <w:p w:rsidR="00B70B4B" w:rsidRPr="002F17B5" w:rsidRDefault="00E56C8C">
      <w:pPr>
        <w:autoSpaceDE/>
        <w:autoSpaceDN/>
        <w:adjustRightInd/>
        <w:spacing w:after="20"/>
        <w:rPr>
          <w:b/>
        </w:rPr>
      </w:pPr>
      <w:r w:rsidRPr="002F17B5">
        <w:rPr>
          <w:b/>
        </w:rPr>
        <w:t>Lancashire County Developments Ltd</w:t>
      </w:r>
    </w:p>
    <w:p w:rsidR="00E56C8C" w:rsidRPr="002F17B5" w:rsidRDefault="00E56C8C" w:rsidP="00E56C8C">
      <w:pPr>
        <w:rPr>
          <w:sz w:val="12"/>
        </w:rPr>
      </w:pPr>
    </w:p>
    <w:p w:rsidR="00E56C8C" w:rsidRPr="002F17B5" w:rsidRDefault="00E56C8C" w:rsidP="00E56C8C">
      <w:r w:rsidRPr="002F17B5">
        <w:t xml:space="preserve">Lancashire County Developments Ltd (LCDL) acts as an economic and job creation agency for the county. It is a company limited by guarantee and has no issued share capital. The liability of members is limited to £1. The Council controls 80% of the members’ voting rights and it is classed as a subsidiary of the </w:t>
      </w:r>
      <w:r w:rsidR="00AF3DAE" w:rsidRPr="002F17B5">
        <w:t>c</w:t>
      </w:r>
      <w:r w:rsidRPr="002F17B5">
        <w:t xml:space="preserve">ounty </w:t>
      </w:r>
      <w:r w:rsidR="00AF3DAE" w:rsidRPr="002F17B5">
        <w:t>c</w:t>
      </w:r>
      <w:r w:rsidRPr="002F17B5">
        <w:t>ouncil.</w:t>
      </w:r>
    </w:p>
    <w:p w:rsidR="00E56C8C" w:rsidRPr="00DB314D" w:rsidRDefault="00E56C8C" w:rsidP="00E56C8C">
      <w:pPr>
        <w:rPr>
          <w:sz w:val="14"/>
        </w:rPr>
      </w:pPr>
    </w:p>
    <w:p w:rsidR="008F4ADB" w:rsidRDefault="00A32AC8" w:rsidP="00E56C8C">
      <w:pPr>
        <w:spacing w:after="240"/>
      </w:pPr>
      <w:r>
        <w:t xml:space="preserve">County councillors and county council senior officers are represented on the board. </w:t>
      </w:r>
      <w:r w:rsidR="00483A52" w:rsidRPr="002F17B5">
        <w:t>The c</w:t>
      </w:r>
      <w:r w:rsidR="00E56C8C" w:rsidRPr="002F17B5">
        <w:t>ou</w:t>
      </w:r>
      <w:r w:rsidR="00483A52" w:rsidRPr="002F17B5">
        <w:t>nty c</w:t>
      </w:r>
      <w:r w:rsidR="00E56C8C" w:rsidRPr="002F17B5">
        <w:t>ouncil’s interest in LCDL is based on its contributions to the company’s capital funding reserve, loans to the company and rights to appoint members of the company. As a limited company, LCDL must use its profits and income to further its business objectives. It is not allowed to distribute profits as dividends.</w:t>
      </w:r>
    </w:p>
    <w:p w:rsidR="00DB314D" w:rsidRPr="00DB314D" w:rsidRDefault="00DB314D" w:rsidP="00E56C8C">
      <w:pPr>
        <w:spacing w:after="240"/>
        <w:rPr>
          <w:sz w:val="6"/>
        </w:rPr>
      </w:pPr>
    </w:p>
    <w:p w:rsidR="008E0105" w:rsidRDefault="008E0105" w:rsidP="008E0105">
      <w:pPr>
        <w:spacing w:after="240"/>
      </w:pPr>
      <w:r w:rsidRPr="002F17B5">
        <w:lastRenderedPageBreak/>
        <w:t>Sales to Lancashire County Council during the year amount to £3,329,345 (2013: 2,235,389). Purchases from Lancashire County Council amount to £3,254,488 (2013: £2,510,058). The amount owed by Lancashire County Council to this related party at 31 March 2014 is £3,006,955 (2013: £586,883).The amount owed to Lancashire County Council from this related party at 31 March 2014 is £31,647 (2013: £6,310).</w:t>
      </w:r>
    </w:p>
    <w:p w:rsidR="00DB314D" w:rsidRPr="00DB314D" w:rsidRDefault="00DB314D" w:rsidP="008E0105">
      <w:pPr>
        <w:spacing w:after="240"/>
        <w:rPr>
          <w:sz w:val="8"/>
        </w:rPr>
      </w:pPr>
    </w:p>
    <w:p w:rsidR="000E47B4" w:rsidRPr="002F17B5" w:rsidRDefault="00E56C8C" w:rsidP="00E56C8C">
      <w:r w:rsidRPr="002F17B5">
        <w:t xml:space="preserve">A copy of the statement of accounts is available from the LCDL registered office: PO Box 78, County Hall, Preston, Lancashire PR1 8XJ. </w:t>
      </w:r>
    </w:p>
    <w:p w:rsidR="00B70B4B" w:rsidRDefault="00B70B4B"/>
    <w:p w:rsidR="00DB314D" w:rsidRPr="002F17B5" w:rsidRDefault="00DB314D"/>
    <w:p w:rsidR="00BF7B09" w:rsidRPr="002F17B5" w:rsidRDefault="00BF7B09" w:rsidP="00BF7B09">
      <w:pPr>
        <w:rPr>
          <w:b/>
        </w:rPr>
      </w:pPr>
      <w:r w:rsidRPr="002F17B5">
        <w:rPr>
          <w:b/>
        </w:rPr>
        <w:t>One Connect Limited (OCL)</w:t>
      </w:r>
    </w:p>
    <w:p w:rsidR="00BF7B09" w:rsidRPr="00A32AC8" w:rsidRDefault="003031AC" w:rsidP="00BF7B09">
      <w:pPr>
        <w:pStyle w:val="NormalWeb"/>
        <w:rPr>
          <w:rFonts w:ascii="Arial" w:hAnsi="Arial" w:cs="Arial"/>
        </w:rPr>
      </w:pPr>
      <w:r>
        <w:rPr>
          <w:rFonts w:ascii="Arial" w:hAnsi="Arial" w:cs="Arial"/>
        </w:rPr>
        <w:t>OCL wa</w:t>
      </w:r>
      <w:r w:rsidR="00BF7B09" w:rsidRPr="002F17B5">
        <w:rPr>
          <w:rFonts w:ascii="Arial" w:hAnsi="Arial" w:cs="Arial"/>
        </w:rPr>
        <w:t xml:space="preserve">s a joint venture between Lancashire County Council and BT, set up in May 2011. </w:t>
      </w:r>
      <w:r w:rsidR="00A32AC8" w:rsidRPr="00630928">
        <w:rPr>
          <w:rFonts w:ascii="Arial" w:hAnsi="Arial" w:cs="Arial"/>
        </w:rPr>
        <w:t xml:space="preserve">County councilors and county council senior officers </w:t>
      </w:r>
      <w:r w:rsidR="002F2130">
        <w:rPr>
          <w:rFonts w:ascii="Arial" w:hAnsi="Arial" w:cs="Arial"/>
        </w:rPr>
        <w:t>were</w:t>
      </w:r>
      <w:r w:rsidR="00A32AC8" w:rsidRPr="00630928">
        <w:rPr>
          <w:rFonts w:ascii="Arial" w:hAnsi="Arial" w:cs="Arial"/>
        </w:rPr>
        <w:t xml:space="preserve"> represented on the board.</w:t>
      </w:r>
    </w:p>
    <w:p w:rsidR="003031AC" w:rsidRPr="003031AC" w:rsidRDefault="003031AC" w:rsidP="00BF7B09">
      <w:pPr>
        <w:pStyle w:val="NormalWeb"/>
        <w:rPr>
          <w:b/>
          <w:bCs/>
          <w:sz w:val="10"/>
          <w:szCs w:val="22"/>
        </w:rPr>
      </w:pPr>
    </w:p>
    <w:p w:rsidR="0078795A" w:rsidRPr="002F17B5" w:rsidRDefault="003031AC" w:rsidP="00BF7B09">
      <w:pPr>
        <w:pStyle w:val="NormalWeb"/>
        <w:rPr>
          <w:rFonts w:ascii="Arial" w:hAnsi="Arial" w:cs="Arial"/>
        </w:rPr>
      </w:pPr>
      <w:r>
        <w:rPr>
          <w:rFonts w:ascii="Arial" w:hAnsi="Arial" w:cs="Arial"/>
        </w:rPr>
        <w:t>The c</w:t>
      </w:r>
      <w:r w:rsidR="00BF7B09" w:rsidRPr="002F17B5">
        <w:rPr>
          <w:rFonts w:ascii="Arial" w:hAnsi="Arial" w:cs="Arial"/>
        </w:rPr>
        <w:t xml:space="preserve">ompany </w:t>
      </w:r>
      <w:proofErr w:type="spellStart"/>
      <w:r w:rsidR="00BF7B09" w:rsidRPr="002F17B5">
        <w:rPr>
          <w:rFonts w:ascii="Arial" w:hAnsi="Arial" w:cs="Arial"/>
        </w:rPr>
        <w:t>recognised</w:t>
      </w:r>
      <w:proofErr w:type="spellEnd"/>
      <w:r w:rsidR="00BF7B09" w:rsidRPr="002F17B5">
        <w:rPr>
          <w:rFonts w:ascii="Arial" w:hAnsi="Arial" w:cs="Arial"/>
        </w:rPr>
        <w:t xml:space="preserve"> revenue of</w:t>
      </w:r>
      <w:r>
        <w:rPr>
          <w:rFonts w:ascii="Arial" w:hAnsi="Arial" w:cs="Arial"/>
        </w:rPr>
        <w:t xml:space="preserve"> £78.2m (2013: £60.6m) from Lancashire County Council</w:t>
      </w:r>
      <w:r w:rsidR="00BF7B09" w:rsidRPr="002F17B5">
        <w:rPr>
          <w:rFonts w:ascii="Arial" w:hAnsi="Arial" w:cs="Arial"/>
        </w:rPr>
        <w:t xml:space="preserve">, holder of 4,000 "A" ordinary shares at 31 March 2014. The company also </w:t>
      </w:r>
      <w:r>
        <w:rPr>
          <w:rFonts w:ascii="Arial" w:hAnsi="Arial" w:cs="Arial"/>
        </w:rPr>
        <w:t>paid</w:t>
      </w:r>
      <w:r w:rsidR="00BF7B09" w:rsidRPr="002F17B5">
        <w:rPr>
          <w:rFonts w:ascii="Arial" w:hAnsi="Arial" w:cs="Arial"/>
        </w:rPr>
        <w:t xml:space="preserve"> </w:t>
      </w:r>
      <w:r>
        <w:rPr>
          <w:rFonts w:ascii="Arial" w:hAnsi="Arial" w:cs="Arial"/>
        </w:rPr>
        <w:t>£48.3m (2013: £42.2</w:t>
      </w:r>
      <w:r w:rsidR="00BF7B09" w:rsidRPr="002F17B5">
        <w:rPr>
          <w:rFonts w:ascii="Arial" w:hAnsi="Arial" w:cs="Arial"/>
        </w:rPr>
        <w:t xml:space="preserve">) to </w:t>
      </w:r>
      <w:r w:rsidR="00384419">
        <w:rPr>
          <w:rFonts w:ascii="Arial" w:hAnsi="Arial" w:cs="Arial"/>
        </w:rPr>
        <w:t>Lancashire County Council</w:t>
      </w:r>
      <w:r w:rsidR="00BF7B09" w:rsidRPr="002F17B5">
        <w:rPr>
          <w:rFonts w:ascii="Arial" w:hAnsi="Arial" w:cs="Arial"/>
        </w:rPr>
        <w:t>. The expenditure related to the reimbursement of staff</w:t>
      </w:r>
      <w:r>
        <w:rPr>
          <w:rFonts w:ascii="Arial" w:hAnsi="Arial" w:cs="Arial"/>
        </w:rPr>
        <w:t xml:space="preserve"> and other costs incurred by Lancashire County Council</w:t>
      </w:r>
      <w:r w:rsidR="00BF7B09" w:rsidRPr="002F17B5">
        <w:rPr>
          <w:rFonts w:ascii="Arial" w:hAnsi="Arial" w:cs="Arial"/>
        </w:rPr>
        <w:t xml:space="preserve"> on behalf of the Company. At 31 March 2014, debtor</w:t>
      </w:r>
      <w:r>
        <w:rPr>
          <w:rFonts w:ascii="Arial" w:hAnsi="Arial" w:cs="Arial"/>
        </w:rPr>
        <w:t>s include balances of £7.5m (2013: £6.3m</w:t>
      </w:r>
      <w:r w:rsidR="00BF7B09" w:rsidRPr="002F17B5">
        <w:rPr>
          <w:rFonts w:ascii="Arial" w:hAnsi="Arial" w:cs="Arial"/>
        </w:rPr>
        <w:t xml:space="preserve">) owing from </w:t>
      </w:r>
      <w:r w:rsidR="00384419">
        <w:rPr>
          <w:rFonts w:ascii="Arial" w:hAnsi="Arial" w:cs="Arial"/>
        </w:rPr>
        <w:t>Lancashire County Council</w:t>
      </w:r>
      <w:r w:rsidR="00BF7B09" w:rsidRPr="002F17B5">
        <w:rPr>
          <w:rFonts w:ascii="Arial" w:hAnsi="Arial" w:cs="Arial"/>
        </w:rPr>
        <w:t>.</w:t>
      </w:r>
    </w:p>
    <w:p w:rsidR="0078795A" w:rsidRPr="002F17B5" w:rsidRDefault="0078795A" w:rsidP="00BF7B09">
      <w:pPr>
        <w:pStyle w:val="NormalWeb"/>
        <w:rPr>
          <w:rFonts w:ascii="Arial" w:hAnsi="Arial" w:cs="Arial"/>
          <w:sz w:val="16"/>
        </w:rPr>
      </w:pPr>
    </w:p>
    <w:p w:rsidR="00123773" w:rsidRPr="002F17B5" w:rsidRDefault="005D3E0E">
      <w:pPr>
        <w:spacing w:after="240"/>
      </w:pPr>
      <w:r w:rsidRPr="002F17B5">
        <w:t>From 1 April 2014 the partnership between BT an</w:t>
      </w:r>
      <w:r w:rsidR="003031AC">
        <w:t>d Lancashire County Council</w:t>
      </w:r>
      <w:r w:rsidRPr="002F17B5">
        <w:t xml:space="preserve"> c</w:t>
      </w:r>
      <w:r w:rsidR="003031AC">
        <w:t>hanged. One Connect Limited beca</w:t>
      </w:r>
      <w:r w:rsidRPr="002F17B5">
        <w:t>me a wholly owned BT company and</w:t>
      </w:r>
      <w:r w:rsidR="00657CCB">
        <w:t xml:space="preserve"> was</w:t>
      </w:r>
      <w:r w:rsidRPr="002F17B5">
        <w:t xml:space="preserve"> renamed as BT Lancashire Services Limited (BTLS) </w:t>
      </w:r>
    </w:p>
    <w:p w:rsidR="00B70B4B" w:rsidRPr="002F17B5" w:rsidRDefault="00E56C8C">
      <w:pPr>
        <w:jc w:val="left"/>
        <w:rPr>
          <w:b/>
        </w:rPr>
      </w:pPr>
      <w:r w:rsidRPr="002F17B5">
        <w:t xml:space="preserve">A copy of the statement of accounts are available from Companies' House, </w:t>
      </w:r>
      <w:hyperlink r:id="rId53" w:history="1">
        <w:r w:rsidRPr="002F17B5">
          <w:rPr>
            <w:rStyle w:val="Hyperlink"/>
          </w:rPr>
          <w:t>www.companieshouse.gov.uk</w:t>
        </w:r>
      </w:hyperlink>
      <w:r w:rsidRPr="002F17B5">
        <w:t>. Due to timing this information is based on unaudited accounts.</w:t>
      </w:r>
    </w:p>
    <w:p w:rsidR="005A76BB" w:rsidRPr="002F17B5" w:rsidRDefault="005A76BB" w:rsidP="00E56C8C">
      <w:pPr>
        <w:rPr>
          <w:b/>
          <w:sz w:val="10"/>
        </w:rPr>
      </w:pPr>
    </w:p>
    <w:p w:rsidR="00E56C8C" w:rsidRPr="002F17B5" w:rsidRDefault="00E56C8C" w:rsidP="00E56C8C">
      <w:pPr>
        <w:rPr>
          <w:b/>
        </w:rPr>
      </w:pPr>
      <w:r w:rsidRPr="002F17B5">
        <w:rPr>
          <w:b/>
        </w:rPr>
        <w:t>The Via Partnership (formerly CXL)</w:t>
      </w:r>
    </w:p>
    <w:p w:rsidR="00E56C8C" w:rsidRPr="002F17B5" w:rsidRDefault="00E56C8C" w:rsidP="00E56C8C">
      <w:r w:rsidRPr="002F17B5">
        <w:t>CXL was incorporated on 11</w:t>
      </w:r>
      <w:r w:rsidRPr="002F17B5">
        <w:rPr>
          <w:vertAlign w:val="superscript"/>
        </w:rPr>
        <w:t>th</w:t>
      </w:r>
      <w:r w:rsidRPr="002F17B5">
        <w:t xml:space="preserve"> January 2007 to support, advance and promote the education and training of children, young people and adults in the Lancashire, Blackpool and Blackburn with </w:t>
      </w:r>
      <w:proofErr w:type="spellStart"/>
      <w:r w:rsidRPr="002F17B5">
        <w:t>Darwen</w:t>
      </w:r>
      <w:proofErr w:type="spellEnd"/>
      <w:r w:rsidRPr="002F17B5">
        <w:t xml:space="preserve"> areas in order to equip them for further education, employment and training. CXL changed its name to The Via Partnership Limited on the 4 April 2013.</w:t>
      </w:r>
    </w:p>
    <w:p w:rsidR="00BE049B" w:rsidRPr="002F17B5" w:rsidRDefault="00BE049B" w:rsidP="00E56C8C">
      <w:pPr>
        <w:rPr>
          <w:sz w:val="12"/>
        </w:rPr>
      </w:pPr>
    </w:p>
    <w:p w:rsidR="00B77936" w:rsidRPr="002F17B5" w:rsidRDefault="00E56C8C" w:rsidP="00E56C8C">
      <w:r w:rsidRPr="002F17B5">
        <w:t xml:space="preserve">The Via Partnership is owned by Lancashire County Council with 40% shares; Blackburn with </w:t>
      </w:r>
      <w:proofErr w:type="spellStart"/>
      <w:r w:rsidRPr="002F17B5">
        <w:t>Darwen</w:t>
      </w:r>
      <w:proofErr w:type="spellEnd"/>
      <w:r w:rsidRPr="002F17B5">
        <w:t xml:space="preserve"> Borough Council with 30% shares; and Blackpool Borough Council with 30% shares. The voting rights of each council in general meetings of the company directly re</w:t>
      </w:r>
      <w:r w:rsidR="001D50EB">
        <w:t>flect their shareholdings. County councillors are represented on the board along with LCC's Head of Business growth and innovation and Head of Economic Development</w:t>
      </w:r>
      <w:r w:rsidR="003678C6" w:rsidRPr="002F17B5">
        <w:t xml:space="preserve"> and the county secretary and solicitor is the company s</w:t>
      </w:r>
      <w:r w:rsidRPr="002F17B5">
        <w:t xml:space="preserve">ecretary. </w:t>
      </w:r>
    </w:p>
    <w:p w:rsidR="00E47239" w:rsidRDefault="00E47239" w:rsidP="00596EEA">
      <w:pPr>
        <w:pStyle w:val="Default"/>
        <w:jc w:val="both"/>
        <w:rPr>
          <w:rFonts w:ascii="Arial" w:eastAsia="Calibri" w:hAnsi="Arial" w:cs="Helvetica-Light"/>
          <w:sz w:val="16"/>
          <w:lang w:eastAsia="en-US"/>
        </w:rPr>
      </w:pPr>
    </w:p>
    <w:p w:rsidR="00DB314D" w:rsidRPr="002F17B5" w:rsidRDefault="00DB314D" w:rsidP="00596EEA">
      <w:pPr>
        <w:pStyle w:val="Default"/>
        <w:jc w:val="both"/>
        <w:rPr>
          <w:rFonts w:ascii="Arial" w:eastAsia="Calibri" w:hAnsi="Arial" w:cs="Helvetica-Light"/>
          <w:sz w:val="16"/>
          <w:lang w:eastAsia="en-US"/>
        </w:rPr>
      </w:pPr>
    </w:p>
    <w:p w:rsidR="00B77936" w:rsidRPr="002F17B5" w:rsidRDefault="00B77936" w:rsidP="00B77936">
      <w:r w:rsidRPr="002F17B5">
        <w:t xml:space="preserve">In 2013/14 Financial Year the three shareholders of Via Partnership Limited provided an interest bearing commercial loan of £1million for working capital purposes to be repaid over the next eight </w:t>
      </w:r>
      <w:r w:rsidRPr="002F17B5">
        <w:lastRenderedPageBreak/>
        <w:t xml:space="preserve">to ten years, based on their respective shareholding. (Lancashire County Council £400,000, Blackburn with </w:t>
      </w:r>
      <w:proofErr w:type="spellStart"/>
      <w:r w:rsidRPr="002F17B5">
        <w:t>Darwen</w:t>
      </w:r>
      <w:proofErr w:type="spellEnd"/>
      <w:r w:rsidRPr="002F17B5">
        <w:t xml:space="preserve"> Council £300,000 and Blackpool Council £300,000)  </w:t>
      </w:r>
    </w:p>
    <w:p w:rsidR="00596EEA" w:rsidRPr="002F17B5" w:rsidRDefault="00596EEA" w:rsidP="00E56C8C">
      <w:pPr>
        <w:rPr>
          <w:sz w:val="4"/>
        </w:rPr>
      </w:pPr>
    </w:p>
    <w:p w:rsidR="00E56C8C" w:rsidRPr="002F17B5" w:rsidRDefault="00E47239" w:rsidP="00E56C8C">
      <w:r w:rsidRPr="002F17B5">
        <w:t xml:space="preserve">Due to timing this information is based on unaudited accounts. </w:t>
      </w:r>
      <w:r w:rsidR="00E56C8C" w:rsidRPr="002F17B5">
        <w:t xml:space="preserve">A copy of the accounts can be obtained from The Via Partnership Ltd registered office: County Hall, Preston, Lancashire, PR1 8XJ. </w:t>
      </w:r>
    </w:p>
    <w:p w:rsidR="00263580" w:rsidRDefault="00263580" w:rsidP="00E56C8C">
      <w:pPr>
        <w:rPr>
          <w:sz w:val="6"/>
        </w:rPr>
      </w:pPr>
    </w:p>
    <w:p w:rsidR="00DB314D" w:rsidRDefault="00DB314D" w:rsidP="00E56C8C">
      <w:pPr>
        <w:rPr>
          <w:sz w:val="6"/>
        </w:rPr>
      </w:pPr>
    </w:p>
    <w:p w:rsidR="00DB314D" w:rsidRPr="002F17B5" w:rsidRDefault="00DB314D" w:rsidP="00E56C8C">
      <w:pPr>
        <w:rPr>
          <w:sz w:val="6"/>
        </w:rPr>
      </w:pPr>
    </w:p>
    <w:p w:rsidR="00E56C8C" w:rsidRPr="002F17B5" w:rsidRDefault="00E56C8C" w:rsidP="00E56C8C">
      <w:pPr>
        <w:rPr>
          <w:b/>
        </w:rPr>
      </w:pPr>
      <w:r w:rsidRPr="002F17B5">
        <w:rPr>
          <w:b/>
        </w:rPr>
        <w:t>Marketing Lancashire Limited</w:t>
      </w:r>
    </w:p>
    <w:p w:rsidR="00E56C8C" w:rsidRPr="002F17B5" w:rsidRDefault="00E56C8C" w:rsidP="00E56C8C">
      <w:pPr>
        <w:rPr>
          <w:sz w:val="2"/>
        </w:rPr>
      </w:pPr>
    </w:p>
    <w:p w:rsidR="008E0105" w:rsidRPr="002F17B5" w:rsidRDefault="008E0105" w:rsidP="008E0105">
      <w:r w:rsidRPr="002F17B5">
        <w:t xml:space="preserve">Marketing Lancashire Ltd was created in 2004. It is one of four tourist boards that succeeded the North West Tourist Board. It is a company limited by guarantee and has no issued share capital. The liability of members is limited to £1. </w:t>
      </w:r>
      <w:r w:rsidR="00A32AC8">
        <w:t>County councillors are represented on the board.</w:t>
      </w:r>
    </w:p>
    <w:p w:rsidR="008E0105" w:rsidRPr="002F17B5" w:rsidRDefault="008E0105" w:rsidP="008E0105">
      <w:pPr>
        <w:rPr>
          <w:sz w:val="6"/>
        </w:rPr>
      </w:pPr>
    </w:p>
    <w:p w:rsidR="008E0105" w:rsidRPr="00AA5305" w:rsidRDefault="008E0105" w:rsidP="008E0105">
      <w:r w:rsidRPr="00AA5305">
        <w:t xml:space="preserve">The </w:t>
      </w:r>
      <w:r w:rsidR="005D3E0E" w:rsidRPr="00AA5305">
        <w:t>£</w:t>
      </w:r>
      <w:r w:rsidRPr="00AA5305">
        <w:t>72k</w:t>
      </w:r>
      <w:r w:rsidR="005D3E0E" w:rsidRPr="00AA5305">
        <w:t xml:space="preserve"> loss includes a £</w:t>
      </w:r>
      <w:r w:rsidRPr="00AA5305">
        <w:t>25k</w:t>
      </w:r>
      <w:r w:rsidR="005D3E0E" w:rsidRPr="00AA5305">
        <w:t xml:space="preserve"> FRS17 valuation loss adjustment. </w:t>
      </w:r>
    </w:p>
    <w:p w:rsidR="008E0105" w:rsidRPr="002F17B5" w:rsidRDefault="00DB314D" w:rsidP="008E0105">
      <w:r w:rsidRPr="00AA5305">
        <w:t>During the year, the company</w:t>
      </w:r>
      <w:r w:rsidR="005D3E0E" w:rsidRPr="00AA5305">
        <w:t xml:space="preserve"> declared purchases of £nil</w:t>
      </w:r>
      <w:r w:rsidR="008E0105" w:rsidRPr="00AA5305">
        <w:t xml:space="preserve"> (2013: £1,838) </w:t>
      </w:r>
      <w:r w:rsidR="005D3E0E" w:rsidRPr="00AA5305">
        <w:t>from Lancashire County Council and a creditor balance of £nil</w:t>
      </w:r>
      <w:r w:rsidR="008E0105" w:rsidRPr="00AA5305">
        <w:t xml:space="preserve"> (2013: £</w:t>
      </w:r>
      <w:r w:rsidR="008E0105" w:rsidRPr="002F17B5">
        <w:t xml:space="preserve">nil) </w:t>
      </w:r>
      <w:r w:rsidR="005D3E0E" w:rsidRPr="002F17B5">
        <w:t>due to its member Lancashire County Council. Sales for the year to Lancashire County Council are £37,170</w:t>
      </w:r>
      <w:r w:rsidR="008E0105" w:rsidRPr="002F17B5">
        <w:t xml:space="preserve"> (2013: £1,200)</w:t>
      </w:r>
      <w:r w:rsidR="005D3E0E" w:rsidRPr="002F17B5">
        <w:t xml:space="preserve"> and the amount owed by Lancashire County Council to Marketing Lancashire as at 31</w:t>
      </w:r>
      <w:r w:rsidR="005D3E0E" w:rsidRPr="002F17B5">
        <w:rPr>
          <w:vertAlign w:val="superscript"/>
        </w:rPr>
        <w:t>st</w:t>
      </w:r>
      <w:r w:rsidR="005D3E0E" w:rsidRPr="002F17B5">
        <w:t xml:space="preserve"> March 2014 amounts to £1,902</w:t>
      </w:r>
      <w:r w:rsidR="008E0105" w:rsidRPr="002F17B5">
        <w:t>.</w:t>
      </w:r>
    </w:p>
    <w:p w:rsidR="008E0105" w:rsidRPr="002F17B5" w:rsidRDefault="008E0105" w:rsidP="008E0105">
      <w:pPr>
        <w:rPr>
          <w:sz w:val="2"/>
        </w:rPr>
      </w:pPr>
      <w:r w:rsidRPr="002F17B5">
        <w:rPr>
          <w:sz w:val="2"/>
        </w:rPr>
        <w:t xml:space="preserve"> </w:t>
      </w:r>
    </w:p>
    <w:p w:rsidR="008E0105" w:rsidRPr="002F17B5" w:rsidRDefault="008E0105" w:rsidP="008E0105">
      <w:r w:rsidRPr="002F17B5">
        <w:t xml:space="preserve">A copy of the accounts can be obtained from PO Box 78, County Hall, Preston, Lancashire, PR1 8XJ. </w:t>
      </w:r>
    </w:p>
    <w:p w:rsidR="008E0105" w:rsidRPr="002F17B5" w:rsidRDefault="008E0105" w:rsidP="008E0105">
      <w:pPr>
        <w:rPr>
          <w:b/>
          <w:sz w:val="12"/>
        </w:rPr>
      </w:pPr>
    </w:p>
    <w:p w:rsidR="008E0105" w:rsidRPr="002F17B5" w:rsidRDefault="008E0105" w:rsidP="008E0105">
      <w:r w:rsidRPr="002F17B5">
        <w:t>Due to timing this information is based on unaudited accounts, however there have been no audit qualifications to the accounts of Marketing Lancashire Ltd (formerly Lancashire and Blackpool Tourist Board Ltd) in the past.</w:t>
      </w:r>
    </w:p>
    <w:p w:rsidR="007301F6" w:rsidRDefault="007301F6" w:rsidP="00E56C8C">
      <w:pPr>
        <w:spacing w:after="240"/>
        <w:rPr>
          <w:b/>
          <w:sz w:val="20"/>
        </w:rPr>
      </w:pPr>
    </w:p>
    <w:p w:rsidR="00E56C8C" w:rsidRPr="002F17B5" w:rsidRDefault="00E56C8C" w:rsidP="00E56C8C">
      <w:pPr>
        <w:spacing w:after="240"/>
        <w:rPr>
          <w:b/>
        </w:rPr>
      </w:pPr>
      <w:r w:rsidRPr="002F17B5">
        <w:rPr>
          <w:b/>
        </w:rPr>
        <w:t>Lancashire Sports Partnership Ltd</w:t>
      </w:r>
    </w:p>
    <w:p w:rsidR="004F2233" w:rsidRPr="002F17B5" w:rsidRDefault="00E56C8C" w:rsidP="004F2233">
      <w:pPr>
        <w:rPr>
          <w:rFonts w:eastAsiaTheme="minorHAnsi"/>
        </w:rPr>
      </w:pPr>
      <w:r w:rsidRPr="002F17B5">
        <w:t>Lancashire Sports Partnership Ltd</w:t>
      </w:r>
      <w:r w:rsidRPr="002F17B5">
        <w:rPr>
          <w:b/>
        </w:rPr>
        <w:t xml:space="preserve"> </w:t>
      </w:r>
      <w:r w:rsidRPr="002F17B5">
        <w:t xml:space="preserve">exists to </w:t>
      </w:r>
      <w:r w:rsidRPr="002F17B5">
        <w:rPr>
          <w:rFonts w:eastAsiaTheme="minorHAnsi"/>
        </w:rPr>
        <w:t>increase participation in sport and p</w:t>
      </w:r>
      <w:r w:rsidR="003678C6" w:rsidRPr="002F17B5">
        <w:rPr>
          <w:rFonts w:eastAsiaTheme="minorHAnsi"/>
        </w:rPr>
        <w:t>hysical activity across the 15 local a</w:t>
      </w:r>
      <w:r w:rsidRPr="002F17B5">
        <w:rPr>
          <w:rFonts w:eastAsiaTheme="minorHAnsi"/>
        </w:rPr>
        <w:t xml:space="preserve">uthorities of the sub region in Lancashire.  Since being established in 2000 the company has been hosted by </w:t>
      </w:r>
      <w:proofErr w:type="spellStart"/>
      <w:r w:rsidRPr="002F17B5">
        <w:rPr>
          <w:rFonts w:eastAsiaTheme="minorHAnsi"/>
        </w:rPr>
        <w:t>Myerscough</w:t>
      </w:r>
      <w:proofErr w:type="spellEnd"/>
      <w:r w:rsidRPr="002F17B5">
        <w:rPr>
          <w:rFonts w:eastAsiaTheme="minorHAnsi"/>
        </w:rPr>
        <w:t xml:space="preserve"> College.  In April 2010 the company became a separate lega</w:t>
      </w:r>
      <w:r w:rsidR="003678C6" w:rsidRPr="002F17B5">
        <w:rPr>
          <w:rFonts w:eastAsiaTheme="minorHAnsi"/>
        </w:rPr>
        <w:t>l entity from the college as a c</w:t>
      </w:r>
      <w:r w:rsidRPr="002F17B5">
        <w:rPr>
          <w:rFonts w:eastAsiaTheme="minorHAnsi"/>
        </w:rPr>
        <w:t>omp</w:t>
      </w:r>
      <w:r w:rsidR="003678C6" w:rsidRPr="002F17B5">
        <w:rPr>
          <w:rFonts w:eastAsiaTheme="minorHAnsi"/>
        </w:rPr>
        <w:t>any limited by g</w:t>
      </w:r>
      <w:r w:rsidRPr="002F17B5">
        <w:rPr>
          <w:rFonts w:eastAsiaTheme="minorHAnsi"/>
        </w:rPr>
        <w:t xml:space="preserve">uarantee with a </w:t>
      </w:r>
      <w:r w:rsidR="004F2233" w:rsidRPr="002F17B5">
        <w:rPr>
          <w:rFonts w:eastAsiaTheme="minorHAnsi"/>
        </w:rPr>
        <w:t xml:space="preserve">Board of Trustees. </w:t>
      </w:r>
    </w:p>
    <w:p w:rsidR="004F2233" w:rsidRPr="002F17B5" w:rsidRDefault="004F2233" w:rsidP="004F2233">
      <w:pPr>
        <w:rPr>
          <w:rFonts w:eastAsiaTheme="minorHAnsi"/>
          <w:sz w:val="12"/>
        </w:rPr>
      </w:pPr>
    </w:p>
    <w:p w:rsidR="008E0105" w:rsidRDefault="008E0105" w:rsidP="008E0105">
      <w:r w:rsidRPr="002F17B5">
        <w:t>During the year, the company received funding of £21,577 (2013: £87,600) from its member, Lancashire County Council.  A portion of the amounts received in the prior year related to projects continuing into the current year, and such amounts were included within deferred income as at 31st March 2013. The company also paid £9,629 (2013: £2,134) to Lancashire County Council for the use of conferencing facilities and for the recharge of other services.</w:t>
      </w:r>
    </w:p>
    <w:p w:rsidR="00DB314D" w:rsidRPr="00DB314D" w:rsidRDefault="00DB314D" w:rsidP="008E0105">
      <w:pPr>
        <w:rPr>
          <w:sz w:val="14"/>
        </w:rPr>
      </w:pPr>
    </w:p>
    <w:p w:rsidR="005A76BB" w:rsidRDefault="00AF3DAE" w:rsidP="00E56C8C">
      <w:r w:rsidRPr="002F17B5">
        <w:t xml:space="preserve">Due to timing this information is based on unaudited accounts. </w:t>
      </w:r>
      <w:r w:rsidR="00E56C8C" w:rsidRPr="002F17B5">
        <w:t xml:space="preserve">A copy of the accounts can be obtained from </w:t>
      </w:r>
      <w:r w:rsidR="008778FF">
        <w:t xml:space="preserve"> </w:t>
      </w:r>
      <w:r w:rsidR="00E56C8C" w:rsidRPr="002F17B5">
        <w:t>PO Box 78, County Hall, Preston, Lancashire, PR1 8XJ.</w:t>
      </w:r>
    </w:p>
    <w:p w:rsidR="008778FF" w:rsidRDefault="008778FF" w:rsidP="00E56C8C">
      <w:pPr>
        <w:rPr>
          <w:b/>
        </w:rPr>
      </w:pPr>
    </w:p>
    <w:p w:rsidR="00E56C8C" w:rsidRDefault="00E56C8C" w:rsidP="00E56C8C">
      <w:pPr>
        <w:rPr>
          <w:b/>
        </w:rPr>
      </w:pPr>
      <w:r w:rsidRPr="002F17B5">
        <w:rPr>
          <w:b/>
        </w:rPr>
        <w:t>LWS Lancashire Environmental Fund Ltd</w:t>
      </w:r>
    </w:p>
    <w:p w:rsidR="00DB314D" w:rsidRPr="00DB314D" w:rsidRDefault="00DB314D" w:rsidP="00E56C8C">
      <w:pPr>
        <w:rPr>
          <w:b/>
          <w:sz w:val="4"/>
        </w:rPr>
      </w:pPr>
    </w:p>
    <w:p w:rsidR="00E56C8C" w:rsidRPr="002F17B5" w:rsidRDefault="00E56C8C" w:rsidP="00E56C8C">
      <w:r w:rsidRPr="002F17B5">
        <w:lastRenderedPageBreak/>
        <w:t xml:space="preserve">LWS Lancashire Environmental Fund Ltd receives landfill tax credits and awards grants to environmental projects which meet the criteria specified by the Landfill Tax Regulations 1996. It is a charitable company limited by guarantee and therefore has no share capital. The liability of members is limited to £1. </w:t>
      </w:r>
    </w:p>
    <w:p w:rsidR="00BE049B" w:rsidRPr="002F17B5" w:rsidRDefault="00BE049B" w:rsidP="00E56C8C">
      <w:pPr>
        <w:rPr>
          <w:sz w:val="10"/>
        </w:rPr>
      </w:pPr>
    </w:p>
    <w:p w:rsidR="00A26824" w:rsidRPr="002F17B5" w:rsidRDefault="00A26824" w:rsidP="00A26824">
      <w:pPr>
        <w:spacing w:before="0" w:after="0"/>
      </w:pPr>
      <w:r w:rsidRPr="002F17B5">
        <w:t>Lancashire County Council is a member of the charitable company with the power to appoint one trustee to the board. J Hanson was the Chairman of the chari</w:t>
      </w:r>
      <w:r w:rsidR="00DB314D">
        <w:t>table company and a member of Lancashire County Council</w:t>
      </w:r>
      <w:r w:rsidRPr="002F17B5">
        <w:t>. During the year</w:t>
      </w:r>
      <w:r w:rsidR="00DB314D">
        <w:t>,</w:t>
      </w:r>
      <w:r w:rsidRPr="002F17B5">
        <w:t xml:space="preserve"> the charitable company has placed funds on deposit with </w:t>
      </w:r>
      <w:r w:rsidR="00384419">
        <w:rPr>
          <w:rFonts w:cs="Arial"/>
        </w:rPr>
        <w:t>Lancashire County Council</w:t>
      </w:r>
      <w:r w:rsidRPr="002F17B5">
        <w:t xml:space="preserve"> on which interest of £7,878 (2012: £7,922) has been earned at the local authority seven day notice deposit rate. At 31 December 2013, the balance of funds on deposit was £1,579,955 (2012: £1,579,955).</w:t>
      </w:r>
    </w:p>
    <w:p w:rsidR="00A26824" w:rsidRPr="002F17B5" w:rsidRDefault="00A26824" w:rsidP="00A26824"/>
    <w:p w:rsidR="00F167C1" w:rsidRPr="002F17B5" w:rsidRDefault="00E56C8C" w:rsidP="00A26824">
      <w:r w:rsidRPr="002F17B5">
        <w:t>A copy of the accounts can be obtained from PO Box 78, County Hall, Preston, PR1 8XJ.</w:t>
      </w:r>
    </w:p>
    <w:p w:rsidR="007301F6" w:rsidRDefault="007301F6" w:rsidP="00E56C8C"/>
    <w:p w:rsidR="00DB314D" w:rsidRPr="00DB314D" w:rsidRDefault="00DB314D" w:rsidP="00E56C8C">
      <w:pPr>
        <w:rPr>
          <w:sz w:val="16"/>
        </w:rPr>
      </w:pPr>
    </w:p>
    <w:p w:rsidR="003678C6" w:rsidRPr="002F17B5" w:rsidRDefault="000A3901" w:rsidP="00E56C8C">
      <w:pPr>
        <w:rPr>
          <w:sz w:val="12"/>
        </w:rPr>
      </w:pPr>
      <w:r w:rsidRPr="002F17B5">
        <w:rPr>
          <w:b/>
        </w:rPr>
        <w:t>Lancashire Workforce Development Partnership Limited</w:t>
      </w:r>
      <w:r w:rsidR="00E56C8C" w:rsidRPr="002F17B5">
        <w:rPr>
          <w:b/>
        </w:rPr>
        <w:t xml:space="preserve"> </w:t>
      </w:r>
    </w:p>
    <w:p w:rsidR="00E56C8C" w:rsidRPr="002F17B5" w:rsidRDefault="00E56C8C" w:rsidP="00E56C8C">
      <w:r w:rsidRPr="002F17B5">
        <w:t>This o</w:t>
      </w:r>
      <w:r w:rsidR="003678C6" w:rsidRPr="002F17B5">
        <w:t>rganisation is an employer led p</w:t>
      </w:r>
      <w:r w:rsidRPr="002F17B5">
        <w:t xml:space="preserve">artnership between the Independent Social Care employers in Lancashire and Lancashire County Council, established to improve social care delivery through workforce training. This is a </w:t>
      </w:r>
      <w:r w:rsidR="00ED1B01" w:rsidRPr="002F17B5">
        <w:t>company limited by guarantee with</w:t>
      </w:r>
      <w:r w:rsidRPr="002F17B5">
        <w:t xml:space="preserve"> the </w:t>
      </w:r>
      <w:r w:rsidR="00ED1B01" w:rsidRPr="002F17B5">
        <w:t>council's liability</w:t>
      </w:r>
      <w:r w:rsidRPr="002F17B5">
        <w:t xml:space="preserve"> limited to £1.</w:t>
      </w:r>
    </w:p>
    <w:p w:rsidR="00BE049B" w:rsidRPr="00DB314D" w:rsidRDefault="00BE049B" w:rsidP="00E56C8C">
      <w:pPr>
        <w:rPr>
          <w:sz w:val="14"/>
        </w:rPr>
      </w:pPr>
    </w:p>
    <w:p w:rsidR="00E56C8C" w:rsidRPr="002F17B5" w:rsidRDefault="0030471C" w:rsidP="00E56C8C">
      <w:r w:rsidRPr="002F17B5">
        <w:t>An amount of £1,200,000 was received under a service level agreement from Lancashire County Council in the year. In addition, Lancashire Workforce Development Partnership invoiced Lancashire County Council for room hire of</w:t>
      </w:r>
      <w:r w:rsidR="008B65A2" w:rsidRPr="002F17B5">
        <w:t xml:space="preserve"> £134</w:t>
      </w:r>
      <w:r w:rsidRPr="002F17B5">
        <w:t xml:space="preserve"> in the year</w:t>
      </w:r>
      <w:r w:rsidR="008B65A2" w:rsidRPr="002F17B5">
        <w:t xml:space="preserve"> (2012/13: £15,949)</w:t>
      </w:r>
      <w:r w:rsidRPr="002F17B5">
        <w:t>. Lancashire Workforce Development Partnership Limited also paid</w:t>
      </w:r>
      <w:r w:rsidR="008B65A2" w:rsidRPr="002F17B5">
        <w:t xml:space="preserve"> £58,366 in</w:t>
      </w:r>
      <w:r w:rsidRPr="002F17B5">
        <w:t xml:space="preserve"> contributions</w:t>
      </w:r>
      <w:r w:rsidR="008B65A2" w:rsidRPr="002F17B5">
        <w:t xml:space="preserve"> (2012/13: £53,876) </w:t>
      </w:r>
      <w:r w:rsidRPr="002F17B5">
        <w:t xml:space="preserve"> to the Local Government Pension Scheme administered by Lancashire County Council. </w:t>
      </w:r>
    </w:p>
    <w:p w:rsidR="00BE049B" w:rsidRPr="00DB314D" w:rsidRDefault="00BE049B" w:rsidP="00E56C8C">
      <w:pPr>
        <w:rPr>
          <w:sz w:val="12"/>
        </w:rPr>
      </w:pPr>
    </w:p>
    <w:p w:rsidR="00E56C8C" w:rsidRPr="002F17B5" w:rsidRDefault="00E56C8C" w:rsidP="00E56C8C">
      <w:r w:rsidRPr="002F17B5">
        <w:t xml:space="preserve">A copy of the accounts can be obtained from Lancashire County Council, PO Box 78, County Hall, Preston, Lancashire PR1 8XJ. </w:t>
      </w:r>
    </w:p>
    <w:p w:rsidR="00F167C1" w:rsidRPr="00DB314D" w:rsidRDefault="00F167C1" w:rsidP="00E56C8C">
      <w:pPr>
        <w:rPr>
          <w:sz w:val="30"/>
        </w:rPr>
      </w:pPr>
    </w:p>
    <w:p w:rsidR="00E56C8C" w:rsidRPr="002F17B5" w:rsidRDefault="00E56C8C" w:rsidP="00E56C8C">
      <w:pPr>
        <w:rPr>
          <w:b/>
        </w:rPr>
      </w:pPr>
      <w:r w:rsidRPr="002F17B5">
        <w:rPr>
          <w:b/>
        </w:rPr>
        <w:t>Public Transport Information Ltd</w:t>
      </w:r>
    </w:p>
    <w:p w:rsidR="00E56C8C" w:rsidRPr="002F17B5" w:rsidRDefault="00E56C8C" w:rsidP="00E56C8C">
      <w:r w:rsidRPr="002F17B5">
        <w:t>Public Transport Information (PTI) Ltd provides a public transport informat</w:t>
      </w:r>
      <w:r w:rsidR="0045796B" w:rsidRPr="002F17B5">
        <w:t>ion service. It is part of the n</w:t>
      </w:r>
      <w:r w:rsidRPr="002F17B5">
        <w:t xml:space="preserve">ational </w:t>
      </w:r>
      <w:proofErr w:type="spellStart"/>
      <w:r w:rsidRPr="002F17B5">
        <w:t>Traveline</w:t>
      </w:r>
      <w:proofErr w:type="spellEnd"/>
      <w:r w:rsidRPr="002F17B5">
        <w:t xml:space="preserve"> network. PTI Ltd is a company limited by guarantee and has no issued share capital. The liability of a member is limited to £1. </w:t>
      </w:r>
    </w:p>
    <w:p w:rsidR="00BE049B" w:rsidRPr="00DB314D" w:rsidRDefault="00BE049B" w:rsidP="00E56C8C">
      <w:pPr>
        <w:rPr>
          <w:sz w:val="14"/>
        </w:rPr>
      </w:pPr>
    </w:p>
    <w:p w:rsidR="005A2BC6" w:rsidRPr="002F17B5" w:rsidRDefault="005A2BC6" w:rsidP="005A2BC6">
      <w:r w:rsidRPr="002F17B5">
        <w:t>Lancashire County Council made contributions</w:t>
      </w:r>
      <w:r w:rsidR="00BF7B09" w:rsidRPr="002F17B5">
        <w:t xml:space="preserve"> to the company of £102,521</w:t>
      </w:r>
      <w:r w:rsidR="00CA575A" w:rsidRPr="002F17B5">
        <w:t xml:space="preserve"> (2012</w:t>
      </w:r>
      <w:r w:rsidRPr="002F17B5">
        <w:t>: £</w:t>
      </w:r>
      <w:r w:rsidR="00CA575A" w:rsidRPr="002F17B5">
        <w:t>97,026</w:t>
      </w:r>
      <w:r w:rsidRPr="002F17B5">
        <w:t>) during the year. During the year, Public Transport Information Limited acquired lice</w:t>
      </w:r>
      <w:r w:rsidR="00BF7B09" w:rsidRPr="002F17B5">
        <w:t>nses with a total cost of £2,355</w:t>
      </w:r>
      <w:r w:rsidRPr="002F17B5">
        <w:t xml:space="preserve"> (</w:t>
      </w:r>
      <w:r w:rsidR="00CA575A" w:rsidRPr="002F17B5">
        <w:t>2012: £1,614</w:t>
      </w:r>
      <w:r w:rsidRPr="002F17B5">
        <w:t>) on behalf of Lancashire County Council which were subsequently recharged at cost. At the year end, Lancashire Cou</w:t>
      </w:r>
      <w:r w:rsidR="00CA575A" w:rsidRPr="002F17B5">
        <w:t>nty Council were owed £Nil (2012</w:t>
      </w:r>
      <w:r w:rsidRPr="002F17B5">
        <w:t>: £Nil) by Public Transport Informat</w:t>
      </w:r>
      <w:r w:rsidR="00CA575A" w:rsidRPr="002F17B5">
        <w:t>ion Limited, and owed £Nil (2012</w:t>
      </w:r>
      <w:r w:rsidRPr="002F17B5">
        <w:t>: £Nil) to the company.</w:t>
      </w:r>
    </w:p>
    <w:p w:rsidR="00E56C8C" w:rsidRPr="002F17B5" w:rsidRDefault="00E56C8C" w:rsidP="00E56C8C">
      <w:pPr>
        <w:rPr>
          <w:sz w:val="6"/>
        </w:rPr>
      </w:pPr>
    </w:p>
    <w:p w:rsidR="00E56C8C" w:rsidRPr="002F17B5" w:rsidRDefault="00E56C8C" w:rsidP="00E56C8C">
      <w:r w:rsidRPr="002F17B5">
        <w:t>A copy of the accounts can be obtained from companies' house,</w:t>
      </w:r>
      <w:hyperlink r:id="rId54" w:history="1">
        <w:r w:rsidRPr="002F17B5">
          <w:rPr>
            <w:rStyle w:val="Hyperlink"/>
          </w:rPr>
          <w:t>www.companieshouse.gov.uk</w:t>
        </w:r>
      </w:hyperlink>
      <w:r w:rsidRPr="002F17B5">
        <w:t xml:space="preserve">. </w:t>
      </w:r>
    </w:p>
    <w:p w:rsidR="009C11CA" w:rsidRDefault="009C11CA" w:rsidP="008B65A2">
      <w:pPr>
        <w:rPr>
          <w:b/>
        </w:rPr>
      </w:pPr>
    </w:p>
    <w:p w:rsidR="00E213A3" w:rsidRDefault="00E213A3" w:rsidP="008B65A2">
      <w:pPr>
        <w:rPr>
          <w:b/>
        </w:rPr>
      </w:pPr>
    </w:p>
    <w:p w:rsidR="00E213A3" w:rsidRDefault="00E213A3" w:rsidP="008B65A2">
      <w:pPr>
        <w:rPr>
          <w:b/>
        </w:rPr>
      </w:pPr>
    </w:p>
    <w:p w:rsidR="008B65A2" w:rsidRDefault="008B65A2" w:rsidP="008B65A2">
      <w:pPr>
        <w:rPr>
          <w:b/>
        </w:rPr>
      </w:pPr>
      <w:r w:rsidRPr="002F17B5">
        <w:rPr>
          <w:b/>
        </w:rPr>
        <w:t>New Era Trust Ltd</w:t>
      </w:r>
    </w:p>
    <w:p w:rsidR="00DB314D" w:rsidRPr="00DB314D" w:rsidRDefault="00DB314D" w:rsidP="008B65A2">
      <w:pPr>
        <w:rPr>
          <w:b/>
          <w:sz w:val="6"/>
        </w:rPr>
      </w:pPr>
    </w:p>
    <w:p w:rsidR="009C11CA" w:rsidRDefault="009C11CA" w:rsidP="009C11CA">
      <w:pPr>
        <w:rPr>
          <w:rFonts w:ascii="Calibri" w:eastAsiaTheme="minorHAnsi" w:hAnsi="Calibri" w:cs="Times New Roman"/>
          <w:color w:val="auto"/>
          <w:lang w:eastAsia="en-GB"/>
        </w:rPr>
      </w:pPr>
      <w:r>
        <w:t xml:space="preserve">New Era Trust Ltd provides community services to the residents of Hyndburn. It is a company limited by guarantee and the liability of members is limited to £1. </w:t>
      </w:r>
    </w:p>
    <w:p w:rsidR="009C11CA" w:rsidRDefault="009C11CA" w:rsidP="009C11CA">
      <w:pPr>
        <w:rPr>
          <w:sz w:val="14"/>
          <w:szCs w:val="14"/>
        </w:rPr>
      </w:pPr>
    </w:p>
    <w:p w:rsidR="00EB2AA6" w:rsidRPr="00EB2AA6" w:rsidRDefault="00EB2AA6" w:rsidP="00EB2AA6">
      <w:r>
        <w:t xml:space="preserve">Lancashire County Council, currently has one representative on the board of the Trust.  During the year, the County Council did not rent any office space from the Trust, or pay any fees in relation to rent (compared to paying £33,609 to the Trust for rented space in 2013).  The Trust </w:t>
      </w:r>
      <w:r w:rsidRPr="00EB2AA6">
        <w:t xml:space="preserve">paid </w:t>
      </w:r>
      <w:r w:rsidRPr="00EB2AA6">
        <w:rPr>
          <w:bCs/>
        </w:rPr>
        <w:t>£293.52</w:t>
      </w:r>
      <w:r w:rsidRPr="00EB2AA6">
        <w:t xml:space="preserve"> to the County Council for the 2013/14 financial period in respect of services provided by the County Council (compared to £12,336 in 2012/13).  </w:t>
      </w:r>
      <w:r w:rsidRPr="00EB2AA6">
        <w:rPr>
          <w:bCs/>
        </w:rPr>
        <w:t>£1312.92</w:t>
      </w:r>
      <w:r w:rsidRPr="00EB2AA6">
        <w:t xml:space="preserve"> was paid to the Trust by Lancashire County Council in respect of services provided by the Trust during the 2013/14 financial year. As at 31</w:t>
      </w:r>
      <w:r w:rsidRPr="00EB2AA6">
        <w:rPr>
          <w:vertAlign w:val="superscript"/>
        </w:rPr>
        <w:t>st</w:t>
      </w:r>
      <w:r w:rsidRPr="00EB2AA6">
        <w:t xml:space="preserve"> March 2014 Lancashire County Council owed the trust </w:t>
      </w:r>
      <w:r w:rsidRPr="00EB2AA6">
        <w:rPr>
          <w:bCs/>
        </w:rPr>
        <w:t>£0.00</w:t>
      </w:r>
      <w:r w:rsidRPr="00EB2AA6">
        <w:t xml:space="preserve"> (2013: £4,098).</w:t>
      </w:r>
    </w:p>
    <w:p w:rsidR="00EB2AA6" w:rsidRDefault="00EB2AA6" w:rsidP="00EB2AA6">
      <w:r>
        <w:t xml:space="preserve">Lancashire County Council and Hyndburn Borough Council lease land and buildings to the Trust under the terms of 125 year leases at a peppercorn rent.  Whilst the lease arrangements are due to expire on 30 September 2124, discussions are ongoing between the County Council and the Trust with a view to negotiating a surrender. </w:t>
      </w:r>
    </w:p>
    <w:p w:rsidR="009C11CA" w:rsidRDefault="009C11CA" w:rsidP="009C11CA">
      <w:pPr>
        <w:rPr>
          <w:sz w:val="16"/>
          <w:szCs w:val="16"/>
        </w:rPr>
      </w:pPr>
    </w:p>
    <w:p w:rsidR="008B65A2" w:rsidRPr="002F17B5" w:rsidRDefault="008B65A2" w:rsidP="008B65A2">
      <w:r w:rsidRPr="002F17B5">
        <w:t xml:space="preserve">A copy of the accounts can be obtained from Paul Wright at the following email address </w:t>
      </w:r>
      <w:hyperlink r:id="rId55" w:history="1">
        <w:r w:rsidRPr="002F17B5">
          <w:rPr>
            <w:rStyle w:val="Hyperlink"/>
          </w:rPr>
          <w:t>paul.wright@lancashire.gov.uk</w:t>
        </w:r>
      </w:hyperlink>
      <w:r w:rsidRPr="002F17B5">
        <w:t xml:space="preserve"> . </w:t>
      </w:r>
    </w:p>
    <w:p w:rsidR="00DB314D" w:rsidRPr="002F17B5" w:rsidRDefault="00DB314D" w:rsidP="00E56C8C">
      <w:pPr>
        <w:rPr>
          <w:sz w:val="32"/>
        </w:rPr>
      </w:pPr>
    </w:p>
    <w:p w:rsidR="00363F88" w:rsidRDefault="00363F88" w:rsidP="00363F88">
      <w:pPr>
        <w:rPr>
          <w:b/>
        </w:rPr>
      </w:pPr>
      <w:proofErr w:type="spellStart"/>
      <w:r w:rsidRPr="002F17B5">
        <w:rPr>
          <w:b/>
        </w:rPr>
        <w:t>Healthwatch</w:t>
      </w:r>
      <w:proofErr w:type="spellEnd"/>
      <w:r w:rsidRPr="002F17B5">
        <w:rPr>
          <w:b/>
        </w:rPr>
        <w:t xml:space="preserve"> Lancashire Limited</w:t>
      </w:r>
    </w:p>
    <w:p w:rsidR="00DB314D" w:rsidRPr="00DB314D" w:rsidRDefault="00DB314D" w:rsidP="00363F88">
      <w:pPr>
        <w:rPr>
          <w:b/>
          <w:sz w:val="2"/>
        </w:rPr>
      </w:pPr>
    </w:p>
    <w:p w:rsidR="00363F88" w:rsidRDefault="00363F88" w:rsidP="00ED1B01">
      <w:pPr>
        <w:spacing w:after="240"/>
      </w:pPr>
      <w:proofErr w:type="spellStart"/>
      <w:r w:rsidRPr="002F17B5">
        <w:t>Healthwatch</w:t>
      </w:r>
      <w:proofErr w:type="spellEnd"/>
      <w:r w:rsidRPr="002F17B5">
        <w:t xml:space="preserve"> Lancashire Limited commenced operations on 1</w:t>
      </w:r>
      <w:r w:rsidRPr="002F17B5">
        <w:rPr>
          <w:vertAlign w:val="superscript"/>
        </w:rPr>
        <w:t>st</w:t>
      </w:r>
      <w:r w:rsidRPr="002F17B5">
        <w:t xml:space="preserve"> April 2013 and will be commissioned by the County Council to undertake statutory functions on the Authority's behalf.</w:t>
      </w:r>
    </w:p>
    <w:p w:rsidR="00DB314D" w:rsidRPr="00DB314D" w:rsidRDefault="00DB314D" w:rsidP="00ED1B01">
      <w:pPr>
        <w:spacing w:after="240"/>
        <w:rPr>
          <w:color w:val="auto"/>
          <w:sz w:val="2"/>
        </w:rPr>
      </w:pPr>
    </w:p>
    <w:p w:rsidR="00363F88" w:rsidRDefault="00363F88" w:rsidP="00ED1B01">
      <w:pPr>
        <w:spacing w:after="240"/>
        <w:rPr>
          <w:color w:val="auto"/>
        </w:rPr>
      </w:pPr>
      <w:proofErr w:type="spellStart"/>
      <w:r w:rsidRPr="002F17B5">
        <w:rPr>
          <w:color w:val="auto"/>
        </w:rPr>
        <w:t>Healthwatch</w:t>
      </w:r>
      <w:proofErr w:type="spellEnd"/>
      <w:r w:rsidRPr="002F17B5">
        <w:rPr>
          <w:color w:val="auto"/>
        </w:rPr>
        <w:t xml:space="preserve"> is the new independent consumer champion for both health and social care.  It will exist in two distinct forms – local </w:t>
      </w:r>
      <w:proofErr w:type="spellStart"/>
      <w:r w:rsidRPr="002F17B5">
        <w:rPr>
          <w:color w:val="auto"/>
        </w:rPr>
        <w:t>Healthwatch</w:t>
      </w:r>
      <w:proofErr w:type="spellEnd"/>
      <w:r w:rsidRPr="002F17B5">
        <w:rPr>
          <w:color w:val="auto"/>
        </w:rPr>
        <w:t xml:space="preserve">, at local level, and </w:t>
      </w:r>
      <w:proofErr w:type="spellStart"/>
      <w:r w:rsidRPr="002F17B5">
        <w:rPr>
          <w:color w:val="auto"/>
        </w:rPr>
        <w:t>Healthwatch</w:t>
      </w:r>
      <w:proofErr w:type="spellEnd"/>
      <w:r w:rsidRPr="002F17B5">
        <w:rPr>
          <w:color w:val="auto"/>
        </w:rPr>
        <w:t xml:space="preserve"> England at national level.   The aim of </w:t>
      </w:r>
      <w:proofErr w:type="spellStart"/>
      <w:r w:rsidRPr="002F17B5">
        <w:rPr>
          <w:color w:val="auto"/>
        </w:rPr>
        <w:t>Healthwatch</w:t>
      </w:r>
      <w:proofErr w:type="spellEnd"/>
      <w:r w:rsidRPr="002F17B5">
        <w:rPr>
          <w:color w:val="auto"/>
        </w:rPr>
        <w:t xml:space="preserve"> Lancashire will be to give citizens and communities a stronger voice to influence and challenge how health and social care services are provided within their locality.  </w:t>
      </w:r>
      <w:proofErr w:type="spellStart"/>
      <w:r w:rsidRPr="002F17B5">
        <w:rPr>
          <w:color w:val="auto"/>
        </w:rPr>
        <w:t>Healthwatch</w:t>
      </w:r>
      <w:proofErr w:type="spellEnd"/>
      <w:r w:rsidRPr="002F17B5">
        <w:rPr>
          <w:color w:val="auto"/>
        </w:rPr>
        <w:t xml:space="preserve"> Lancashire will also provide or signpost people to information to help them make choice about health and care services.</w:t>
      </w:r>
    </w:p>
    <w:p w:rsidR="00DB314D" w:rsidRPr="00DB314D" w:rsidRDefault="00DB314D" w:rsidP="00ED1B01">
      <w:pPr>
        <w:spacing w:after="240"/>
        <w:rPr>
          <w:color w:val="auto"/>
          <w:sz w:val="2"/>
        </w:rPr>
      </w:pPr>
    </w:p>
    <w:p w:rsidR="00363F88" w:rsidRPr="002F17B5" w:rsidRDefault="00363F88" w:rsidP="00ED1B01">
      <w:pPr>
        <w:spacing w:after="240"/>
      </w:pPr>
      <w:r w:rsidRPr="002F17B5">
        <w:t>During the year, the company has declared purchases of £7,200 from Lancashire County Council. Funding received during the year from Lancashire County Council amounts to £305,000.</w:t>
      </w:r>
    </w:p>
    <w:p w:rsidR="00363F88" w:rsidRPr="002F17B5" w:rsidRDefault="00363F88" w:rsidP="00ED1B01">
      <w:pPr>
        <w:spacing w:after="240"/>
        <w:rPr>
          <w:sz w:val="2"/>
        </w:rPr>
      </w:pPr>
    </w:p>
    <w:p w:rsidR="00363F88" w:rsidRPr="002F17B5" w:rsidRDefault="00363F88" w:rsidP="00ED1B01">
      <w:pPr>
        <w:spacing w:after="240"/>
      </w:pPr>
      <w:r w:rsidRPr="002F17B5">
        <w:t>A copy of the accounts can be obtained from PO Box 78, County Hall, Preston, Lancashire, PR1 8XJ.</w:t>
      </w:r>
    </w:p>
    <w:p w:rsidR="00EA1C0F" w:rsidRPr="002F17B5" w:rsidRDefault="00EA1C0F" w:rsidP="00E56C8C"/>
    <w:p w:rsidR="002B6997" w:rsidRDefault="002B6997">
      <w:pPr>
        <w:autoSpaceDE/>
        <w:autoSpaceDN/>
        <w:adjustRightInd/>
        <w:spacing w:after="20"/>
        <w:jc w:val="right"/>
        <w:rPr>
          <w:sz w:val="20"/>
        </w:rPr>
      </w:pPr>
      <w:r>
        <w:rPr>
          <w:sz w:val="20"/>
        </w:rPr>
        <w:br w:type="page"/>
      </w:r>
    </w:p>
    <w:p w:rsidR="003E0ABD" w:rsidRPr="002F17B5" w:rsidRDefault="003E0ABD" w:rsidP="00E56C8C">
      <w:pPr>
        <w:rPr>
          <w:sz w:val="20"/>
        </w:rPr>
      </w:pPr>
    </w:p>
    <w:p w:rsidR="00161225" w:rsidRPr="002F17B5" w:rsidRDefault="00161225" w:rsidP="00F3506E">
      <w:pPr>
        <w:pStyle w:val="Heading3-numbered"/>
        <w:ind w:hanging="502"/>
        <w:rPr>
          <w:i w:val="0"/>
          <w:sz w:val="26"/>
        </w:rPr>
      </w:pPr>
      <w:r w:rsidRPr="002F17B5">
        <w:rPr>
          <w:i w:val="0"/>
          <w:sz w:val="26"/>
        </w:rPr>
        <w:t>Contingent Liabilities</w:t>
      </w:r>
    </w:p>
    <w:p w:rsidR="00161225" w:rsidRPr="002F17B5" w:rsidRDefault="00161225" w:rsidP="00161225">
      <w:r w:rsidRPr="002F17B5">
        <w:t>Public Liability claims - There are outstanding public liability claims addressed to both LCDL, LCD(P)L and Lancashire County Council relating to a fire in one of LCD(P)L’s properties in December 2011. These are currently in the hands of insurers and lawyers who are defending these claims on behalf of all three entitles. At this stage it is not possible to provide an accurate estimate of any costs that will arrive as a result of this claim.</w:t>
      </w:r>
    </w:p>
    <w:p w:rsidR="00ED1B01" w:rsidRDefault="00ED1B01">
      <w:pPr>
        <w:autoSpaceDE/>
        <w:autoSpaceDN/>
        <w:adjustRightInd/>
        <w:spacing w:after="20"/>
        <w:jc w:val="right"/>
      </w:pPr>
    </w:p>
    <w:p w:rsidR="00DB314D" w:rsidRPr="002F17B5" w:rsidRDefault="00DB314D">
      <w:pPr>
        <w:autoSpaceDE/>
        <w:autoSpaceDN/>
        <w:adjustRightInd/>
        <w:spacing w:after="20"/>
        <w:jc w:val="right"/>
      </w:pPr>
    </w:p>
    <w:p w:rsidR="00E56C8C" w:rsidRPr="002F17B5" w:rsidRDefault="00BE049B" w:rsidP="00F3506E">
      <w:pPr>
        <w:pStyle w:val="Heading3-numbered"/>
        <w:ind w:hanging="502"/>
        <w:rPr>
          <w:i w:val="0"/>
        </w:rPr>
      </w:pPr>
      <w:r w:rsidRPr="002F17B5">
        <w:t xml:space="preserve">  </w:t>
      </w:r>
      <w:r w:rsidR="00286D86" w:rsidRPr="002F17B5">
        <w:rPr>
          <w:i w:val="0"/>
          <w:sz w:val="26"/>
        </w:rPr>
        <w:t>Defined Benefit Pension Schemes</w:t>
      </w:r>
    </w:p>
    <w:p w:rsidR="00B70B4B" w:rsidRPr="002F17B5" w:rsidRDefault="00B70B4B">
      <w:pPr>
        <w:pStyle w:val="Heading3-numbered"/>
        <w:numPr>
          <w:ilvl w:val="0"/>
          <w:numId w:val="0"/>
        </w:numPr>
        <w:ind w:left="360"/>
        <w:rPr>
          <w:i w:val="0"/>
          <w:sz w:val="2"/>
        </w:rPr>
      </w:pPr>
    </w:p>
    <w:p w:rsidR="002359B6" w:rsidRPr="002F17B5" w:rsidRDefault="002359B6" w:rsidP="002359B6">
      <w:bookmarkStart w:id="2" w:name="OLE_LINK1"/>
      <w:r w:rsidRPr="002F17B5">
        <w:t xml:space="preserve">As part of the terms and conditions of employment of its officers and other employees, the council offers retirement benefits. Although these benefits will not actually be payable until employees retire, the council has a commitment to make the payments that need to be disclosed at the time that employees earn their future entitlement. The amount of pension depends on how long employees are active members of the scheme and their salary when they leave the scheme (a “final salary” scheme) for service up to 31 March 2015 and on revalued average salary (a “career average” scheme) for service from 1 April 2015 onwards. </w:t>
      </w:r>
    </w:p>
    <w:p w:rsidR="00417563" w:rsidRPr="002F17B5" w:rsidRDefault="00417563" w:rsidP="002359B6"/>
    <w:p w:rsidR="002359B6" w:rsidRPr="002F17B5" w:rsidRDefault="002359B6" w:rsidP="002359B6">
      <w:pPr>
        <w:pStyle w:val="Pa314"/>
        <w:jc w:val="both"/>
        <w:rPr>
          <w:rFonts w:ascii="Arial" w:eastAsia="Calibri" w:hAnsi="Arial" w:cs="Helvetica-Light"/>
          <w:color w:val="000000"/>
          <w:lang w:eastAsia="en-US"/>
        </w:rPr>
      </w:pPr>
      <w:r w:rsidRPr="002F17B5">
        <w:rPr>
          <w:rFonts w:ascii="Arial" w:eastAsia="Calibri" w:hAnsi="Arial" w:cs="Helvetica-Light"/>
          <w:color w:val="000000"/>
          <w:lang w:eastAsia="en-US"/>
        </w:rPr>
        <w:t xml:space="preserve">At 31 March 2014 the authority’s principal pension arrangement for its employees was the Lancashire County Pension Fund, which is part of the Local Government Pension Scheme (LGPS). The LGPS is a funded defined benefit pension arrangement for local authorities and related employers, and is governed by statute (principally now the Local Government Pension Scheme Regulations 2013). </w:t>
      </w:r>
    </w:p>
    <w:p w:rsidR="002359B6" w:rsidRPr="00DB314D" w:rsidRDefault="002359B6" w:rsidP="002359B6">
      <w:pPr>
        <w:pStyle w:val="Pa314"/>
        <w:jc w:val="both"/>
        <w:rPr>
          <w:rFonts w:ascii="Arial" w:eastAsia="Calibri" w:hAnsi="Arial" w:cs="Helvetica-Light"/>
          <w:color w:val="000000"/>
          <w:sz w:val="32"/>
          <w:lang w:eastAsia="en-US"/>
        </w:rPr>
      </w:pPr>
    </w:p>
    <w:p w:rsidR="002359B6" w:rsidRPr="002F17B5" w:rsidRDefault="002359B6" w:rsidP="002359B6">
      <w:pPr>
        <w:pStyle w:val="Pa314"/>
        <w:jc w:val="both"/>
        <w:rPr>
          <w:rFonts w:ascii="Arial" w:eastAsia="Calibri" w:hAnsi="Arial" w:cs="Helvetica-Light"/>
          <w:color w:val="000000"/>
          <w:lang w:eastAsia="en-US"/>
        </w:rPr>
      </w:pPr>
      <w:r w:rsidRPr="002F17B5">
        <w:rPr>
          <w:rFonts w:ascii="Arial" w:eastAsia="Calibri" w:hAnsi="Arial" w:cs="Helvetica-Light"/>
          <w:color w:val="000000"/>
          <w:lang w:eastAsia="en-US"/>
        </w:rPr>
        <w:t>The Lancashire County Pension Fund is a multi-employer arrangement, under which each employer is responsible for the pension costs, liabilities and funding risks relating to its own employees and former employees.  Each employer’s contributions to the Fund are calculated in accordance with the LGPS Regulations, which require an actuarial valuation to be carried out every three years.  The latest actuarial valuation of the Fund was carried out at 31 March 201</w:t>
      </w:r>
      <w:r w:rsidR="00001249">
        <w:rPr>
          <w:rFonts w:ascii="Arial" w:eastAsia="Calibri" w:hAnsi="Arial" w:cs="Helvetica-Light"/>
          <w:color w:val="000000"/>
          <w:lang w:eastAsia="en-US"/>
        </w:rPr>
        <w:t>4</w:t>
      </w:r>
      <w:r w:rsidRPr="002F17B5">
        <w:rPr>
          <w:rFonts w:ascii="Arial" w:eastAsia="Calibri" w:hAnsi="Arial" w:cs="Helvetica-Light"/>
          <w:color w:val="000000"/>
          <w:lang w:eastAsia="en-US"/>
        </w:rPr>
        <w:t>, and at that date showed a funding level of 78% (assets of £5.0bn against accrued liabilities of about £6.4bn). The weighted average duration of the liabilities of the Fund as a whole is 18 years, measured on the IAS19 actuarial assumptions.  The duration of the liabilities for the individual employers which participate in the scheme can be significantly different from this, reflecting the profile of its employees and former employees.</w:t>
      </w:r>
    </w:p>
    <w:p w:rsidR="002359B6" w:rsidRPr="00DB314D" w:rsidRDefault="002359B6" w:rsidP="002359B6">
      <w:pPr>
        <w:pStyle w:val="Pa314"/>
        <w:rPr>
          <w:rFonts w:ascii="Arial" w:eastAsia="Calibri" w:hAnsi="Arial" w:cs="Helvetica-Light"/>
          <w:color w:val="000000"/>
          <w:sz w:val="30"/>
          <w:lang w:eastAsia="en-US"/>
        </w:rPr>
      </w:pPr>
    </w:p>
    <w:p w:rsidR="002359B6" w:rsidRPr="002F17B5" w:rsidRDefault="002359B6" w:rsidP="002359B6">
      <w:r w:rsidRPr="002F17B5">
        <w:t xml:space="preserve">In addition, the authority also participates in some other defined benefit pension arrangements, also governed under statute, but these other schemes are unfunded. </w:t>
      </w:r>
    </w:p>
    <w:bookmarkEnd w:id="2"/>
    <w:p w:rsidR="00417563" w:rsidRPr="002F17B5" w:rsidRDefault="00417563" w:rsidP="002359B6"/>
    <w:p w:rsidR="002359B6" w:rsidRDefault="002359B6" w:rsidP="002359B6">
      <w:r w:rsidRPr="002F17B5">
        <w:t>These other arrangements relate to:</w:t>
      </w:r>
    </w:p>
    <w:p w:rsidR="00B4527F" w:rsidRPr="002F17B5" w:rsidRDefault="00B4527F" w:rsidP="002359B6"/>
    <w:p w:rsidR="002359B6" w:rsidRPr="002F17B5" w:rsidRDefault="002359B6" w:rsidP="002359B6">
      <w:pPr>
        <w:pStyle w:val="ListBullet"/>
        <w:numPr>
          <w:ilvl w:val="4"/>
          <w:numId w:val="0"/>
        </w:numPr>
        <w:tabs>
          <w:tab w:val="num" w:pos="360"/>
        </w:tabs>
        <w:spacing w:before="0" w:line="260" w:lineRule="atLeast"/>
        <w:ind w:left="360" w:hanging="360"/>
        <w:contextualSpacing/>
        <w:outlineLvl w:val="4"/>
        <w:rPr>
          <w:rFonts w:eastAsia="Calibri" w:cs="Helvetica-Light"/>
          <w:color w:val="000000"/>
          <w:szCs w:val="24"/>
        </w:rPr>
      </w:pPr>
      <w:r w:rsidRPr="002F17B5">
        <w:rPr>
          <w:rFonts w:eastAsia="Calibri" w:cs="Helvetica-Light"/>
          <w:b/>
          <w:color w:val="000000"/>
          <w:szCs w:val="24"/>
        </w:rPr>
        <w:t>Teachers.</w:t>
      </w:r>
      <w:r w:rsidRPr="002F17B5">
        <w:rPr>
          <w:rFonts w:eastAsia="Calibri" w:cs="Helvetica-Light"/>
          <w:color w:val="000000"/>
          <w:szCs w:val="24"/>
        </w:rPr>
        <w:t xml:space="preserve">  The authority’s costs in relation to this arrangement are set by central government as a percentage of contributing members’ pay.  The related funding risks are borne by central </w:t>
      </w:r>
      <w:r w:rsidRPr="002F17B5">
        <w:rPr>
          <w:rFonts w:eastAsia="Calibri" w:cs="Helvetica-Light"/>
          <w:color w:val="000000"/>
          <w:szCs w:val="24"/>
        </w:rPr>
        <w:lastRenderedPageBreak/>
        <w:t>government.  The authority is, however, responsible for paying some additional pensions to retired teachers which were awarded at the point of retirement.</w:t>
      </w:r>
    </w:p>
    <w:p w:rsidR="002359B6" w:rsidRPr="002F17B5" w:rsidRDefault="002359B6" w:rsidP="002359B6">
      <w:pPr>
        <w:pStyle w:val="ListBullet"/>
        <w:tabs>
          <w:tab w:val="clear" w:pos="360"/>
        </w:tabs>
        <w:ind w:firstLine="0"/>
        <w:rPr>
          <w:rFonts w:eastAsia="Calibri" w:cs="Helvetica-Light"/>
          <w:color w:val="000000"/>
          <w:szCs w:val="24"/>
        </w:rPr>
      </w:pPr>
    </w:p>
    <w:p w:rsidR="002359B6" w:rsidRPr="002F17B5" w:rsidRDefault="002359B6" w:rsidP="002359B6">
      <w:pPr>
        <w:pStyle w:val="ListBullet"/>
        <w:numPr>
          <w:ilvl w:val="4"/>
          <w:numId w:val="0"/>
        </w:numPr>
        <w:tabs>
          <w:tab w:val="num" w:pos="360"/>
        </w:tabs>
        <w:spacing w:before="0" w:line="260" w:lineRule="atLeast"/>
        <w:ind w:left="360" w:hanging="360"/>
        <w:contextualSpacing/>
        <w:outlineLvl w:val="4"/>
        <w:rPr>
          <w:rFonts w:eastAsia="Calibri" w:cs="Helvetica-Light"/>
          <w:color w:val="000000"/>
          <w:szCs w:val="24"/>
        </w:rPr>
      </w:pPr>
      <w:r w:rsidRPr="002F17B5">
        <w:rPr>
          <w:rFonts w:eastAsia="Calibri" w:cs="Helvetica-Light"/>
          <w:b/>
          <w:color w:val="000000"/>
          <w:szCs w:val="24"/>
        </w:rPr>
        <w:t>Health workers.</w:t>
      </w:r>
      <w:r w:rsidRPr="002F17B5">
        <w:rPr>
          <w:rFonts w:eastAsia="Calibri" w:cs="Helvetica-Light"/>
          <w:color w:val="000000"/>
          <w:szCs w:val="24"/>
        </w:rPr>
        <w:t xml:space="preserve">  Again, the authority’s costs in relation to this scheme are set by central government as a percentage of contributing members’ pay.  The related funding risks are borne by central government.</w:t>
      </w:r>
    </w:p>
    <w:p w:rsidR="002359B6" w:rsidRPr="002F17B5" w:rsidRDefault="002359B6" w:rsidP="002359B6">
      <w:pPr>
        <w:spacing w:after="240"/>
        <w:rPr>
          <w:sz w:val="10"/>
        </w:rPr>
      </w:pPr>
    </w:p>
    <w:p w:rsidR="002359B6" w:rsidRPr="002F17B5" w:rsidRDefault="002359B6" w:rsidP="002359B6">
      <w:pPr>
        <w:pStyle w:val="Heading2"/>
        <w:rPr>
          <w:rFonts w:ascii="Arial" w:eastAsia="Calibri" w:hAnsi="Arial"/>
          <w:bCs w:val="0"/>
          <w:color w:val="000000"/>
          <w:sz w:val="24"/>
          <w:szCs w:val="24"/>
        </w:rPr>
      </w:pPr>
      <w:r w:rsidRPr="002F17B5">
        <w:rPr>
          <w:rFonts w:ascii="Arial" w:eastAsia="Calibri" w:hAnsi="Arial"/>
          <w:bCs w:val="0"/>
          <w:color w:val="000000"/>
          <w:sz w:val="24"/>
          <w:szCs w:val="24"/>
        </w:rPr>
        <w:t>Governance and Risk Management</w:t>
      </w:r>
    </w:p>
    <w:p w:rsidR="002359B6" w:rsidRPr="002F17B5" w:rsidRDefault="002359B6" w:rsidP="002359B6">
      <w:r w:rsidRPr="002F17B5">
        <w:t>The liability associated with the authority’s pension arrangements is material to the authority, as is the cash funding required. The details in relation to each arrangement, including the relevant provisions for governance and risk management, are set out below.</w:t>
      </w:r>
    </w:p>
    <w:p w:rsidR="002359B6" w:rsidRDefault="002359B6" w:rsidP="002359B6">
      <w:pPr>
        <w:spacing w:after="240"/>
        <w:rPr>
          <w:b/>
        </w:rPr>
      </w:pPr>
    </w:p>
    <w:p w:rsidR="00DB314D" w:rsidRPr="002F17B5" w:rsidRDefault="00DB314D" w:rsidP="002359B6">
      <w:pPr>
        <w:spacing w:after="240"/>
        <w:rPr>
          <w:b/>
        </w:rPr>
      </w:pPr>
    </w:p>
    <w:p w:rsidR="002359B6" w:rsidRPr="002F17B5" w:rsidRDefault="002359B6" w:rsidP="002359B6">
      <w:pPr>
        <w:rPr>
          <w:rFonts w:cs="Arial"/>
          <w:b/>
          <w:u w:val="single"/>
        </w:rPr>
      </w:pPr>
      <w:r w:rsidRPr="002F17B5">
        <w:rPr>
          <w:rFonts w:cs="Arial"/>
          <w:b/>
          <w:u w:val="single"/>
        </w:rPr>
        <w:t>Lancashire County Pension Fund</w:t>
      </w:r>
    </w:p>
    <w:tbl>
      <w:tblPr>
        <w:tblW w:w="0" w:type="auto"/>
        <w:tblInd w:w="534" w:type="dxa"/>
        <w:tblLook w:val="01E0" w:firstRow="1" w:lastRow="1" w:firstColumn="1" w:lastColumn="1" w:noHBand="0" w:noVBand="0"/>
      </w:tblPr>
      <w:tblGrid>
        <w:gridCol w:w="8708"/>
      </w:tblGrid>
      <w:tr w:rsidR="002359B6" w:rsidRPr="002F17B5" w:rsidTr="002359B6">
        <w:tc>
          <w:tcPr>
            <w:tcW w:w="8708" w:type="dxa"/>
            <w:shd w:val="clear" w:color="auto" w:fill="auto"/>
          </w:tcPr>
          <w:p w:rsidR="002359B6" w:rsidRPr="002F17B5" w:rsidRDefault="002359B6" w:rsidP="002359B6">
            <w:pPr>
              <w:rPr>
                <w:rFonts w:cs="Arial"/>
                <w:b/>
                <w:sz w:val="2"/>
              </w:rPr>
            </w:pPr>
            <w:r w:rsidRPr="002F17B5">
              <w:rPr>
                <w:rFonts w:cs="Arial"/>
                <w:b/>
                <w:sz w:val="22"/>
                <w:szCs w:val="22"/>
              </w:rPr>
              <w:t xml:space="preserve"> </w:t>
            </w:r>
          </w:p>
        </w:tc>
      </w:tr>
    </w:tbl>
    <w:p w:rsidR="002359B6" w:rsidRPr="002F17B5" w:rsidRDefault="002359B6" w:rsidP="002359B6">
      <w:pPr>
        <w:rPr>
          <w:rFonts w:cs="Arial"/>
          <w:b/>
          <w:lang w:eastAsia="en-GB"/>
        </w:rPr>
      </w:pPr>
      <w:r w:rsidRPr="002F17B5">
        <w:rPr>
          <w:rFonts w:cs="Arial"/>
          <w:b/>
          <w:lang w:eastAsia="en-GB"/>
        </w:rPr>
        <w:t>Governance</w:t>
      </w:r>
    </w:p>
    <w:p w:rsidR="002359B6" w:rsidRPr="002F17B5" w:rsidRDefault="002359B6" w:rsidP="002359B6">
      <w:pPr>
        <w:rPr>
          <w:rFonts w:cs="Arial"/>
          <w:lang w:eastAsia="en-GB"/>
        </w:rPr>
      </w:pPr>
      <w:r w:rsidRPr="002F17B5">
        <w:rPr>
          <w:rFonts w:cs="Arial"/>
          <w:lang w:eastAsia="en-GB"/>
        </w:rPr>
        <w:t xml:space="preserve">Management of the Fund is vested in Lancashire County Council as Administering Authority of the Fund.  Lancashire County Council has appointed a Pension Fund Committee (comprised of a mixture of County Councillors and representatives from other employers) to manage the Fund.  The Committee is assisted by an investment panel which advises the Committee on its investment strategy and risk management provisions. </w:t>
      </w:r>
    </w:p>
    <w:p w:rsidR="002359B6" w:rsidRPr="002F17B5" w:rsidRDefault="002359B6" w:rsidP="002359B6">
      <w:pPr>
        <w:rPr>
          <w:rFonts w:cs="Arial"/>
          <w:lang w:eastAsia="en-GB"/>
        </w:rPr>
      </w:pPr>
    </w:p>
    <w:p w:rsidR="002359B6" w:rsidRPr="002F17B5" w:rsidRDefault="002359B6" w:rsidP="002359B6">
      <w:pPr>
        <w:rPr>
          <w:rFonts w:cs="Arial"/>
          <w:b/>
          <w:lang w:eastAsia="en-GB"/>
        </w:rPr>
      </w:pPr>
      <w:r w:rsidRPr="002F17B5">
        <w:rPr>
          <w:rFonts w:cs="Arial"/>
          <w:b/>
          <w:lang w:eastAsia="en-GB"/>
        </w:rPr>
        <w:t>Funding the liabilities</w:t>
      </w:r>
    </w:p>
    <w:p w:rsidR="002359B6" w:rsidRPr="002F17B5" w:rsidRDefault="002359B6" w:rsidP="002359B6">
      <w:pPr>
        <w:rPr>
          <w:rFonts w:cs="Arial"/>
          <w:lang w:eastAsia="en-GB"/>
        </w:rPr>
      </w:pPr>
      <w:r w:rsidRPr="002F17B5">
        <w:rPr>
          <w:rFonts w:cs="Arial"/>
          <w:lang w:eastAsia="en-GB"/>
        </w:rPr>
        <w:t xml:space="preserve">Regulations governing the Fund require actuarial valuations to be carried out every three years.  Contributions for each employer are set having regard to their individual circumstances.  The Regulations require the contributions to be set with a view to targeting the Fund’s solvency, and the detailed provisions are set out in the Fund’s Funding Strategy Statement.  The most recent valuation was carried out as at 31 March 2013, which showed a shortfall of assets against liabilities of £1.38 billion as at that date, equivalent to a funding level of 78%.  The fund’s employers are paying additional contributions over a period of 19 years in order to meet the shortfall. </w:t>
      </w:r>
    </w:p>
    <w:p w:rsidR="002359B6" w:rsidRPr="002F17B5" w:rsidRDefault="002359B6" w:rsidP="002359B6">
      <w:pPr>
        <w:spacing w:line="181" w:lineRule="atLeast"/>
        <w:rPr>
          <w:rFonts w:cs="Arial"/>
          <w:sz w:val="18"/>
          <w:lang w:eastAsia="en-GB"/>
        </w:rPr>
      </w:pPr>
    </w:p>
    <w:p w:rsidR="002359B6" w:rsidRPr="002F17B5" w:rsidRDefault="002359B6" w:rsidP="002359B6">
      <w:pPr>
        <w:spacing w:line="181" w:lineRule="atLeast"/>
        <w:rPr>
          <w:rFonts w:cs="Arial"/>
          <w:lang w:eastAsia="en-GB"/>
        </w:rPr>
      </w:pPr>
      <w:r w:rsidRPr="002F17B5">
        <w:rPr>
          <w:rFonts w:cs="Arial"/>
          <w:lang w:eastAsia="en-GB"/>
        </w:rPr>
        <w:t xml:space="preserve">The weighted average duration of the authority’s defined benefit obligation is 18 years, measured on the actuarial assumptions used for IAS19 purposes. </w:t>
      </w:r>
    </w:p>
    <w:p w:rsidR="002359B6" w:rsidRPr="002F17B5" w:rsidRDefault="002359B6" w:rsidP="002359B6">
      <w:pPr>
        <w:rPr>
          <w:rFonts w:cs="Arial"/>
          <w:sz w:val="18"/>
          <w:lang w:eastAsia="en-GB"/>
        </w:rPr>
      </w:pPr>
    </w:p>
    <w:p w:rsidR="002359B6" w:rsidRPr="002F17B5" w:rsidRDefault="002359B6" w:rsidP="002359B6">
      <w:pPr>
        <w:rPr>
          <w:rFonts w:cs="Arial"/>
          <w:b/>
          <w:lang w:eastAsia="en-GB"/>
        </w:rPr>
      </w:pPr>
      <w:r w:rsidRPr="002F17B5">
        <w:rPr>
          <w:rFonts w:cs="Arial"/>
          <w:b/>
          <w:lang w:eastAsia="en-GB"/>
        </w:rPr>
        <w:t>Risks and Investment strategy</w:t>
      </w:r>
    </w:p>
    <w:p w:rsidR="002359B6" w:rsidRPr="002F17B5" w:rsidRDefault="002359B6" w:rsidP="002359B6">
      <w:pPr>
        <w:rPr>
          <w:rFonts w:cs="Arial"/>
          <w:lang w:eastAsia="en-GB"/>
        </w:rPr>
      </w:pPr>
      <w:r w:rsidRPr="002F17B5">
        <w:rPr>
          <w:rFonts w:cs="Arial"/>
          <w:lang w:eastAsia="en-GB"/>
        </w:rPr>
        <w:t xml:space="preserve">The Fund’s primary long-term risk is that the Fund’s assets will fall short of its liabilities (i.e. promised benefits payable to members). The aim of investment risk management is to balance the minimisation of the risk of an overall reduction in the value of the Fund with maximising the opportunity for gains across the whole Fund portfolio. The Fund achieves this through asset diversification to reduce exposure to market risk (price risk, currency risk and interest rate risk) </w:t>
      </w:r>
      <w:r w:rsidRPr="002F17B5">
        <w:rPr>
          <w:rFonts w:cs="Arial"/>
          <w:lang w:eastAsia="en-GB"/>
        </w:rPr>
        <w:lastRenderedPageBreak/>
        <w:t>and keep credit risk to an acceptable level. In addition, the Fund manages its liquidity risk to ensure there is sufficient liquidity to meet the Fund’s forecast cash flow.</w:t>
      </w:r>
    </w:p>
    <w:p w:rsidR="002359B6" w:rsidRDefault="002359B6" w:rsidP="002359B6">
      <w:pPr>
        <w:rPr>
          <w:rFonts w:cs="Arial"/>
          <w:sz w:val="18"/>
          <w:lang w:eastAsia="en-GB"/>
        </w:rPr>
      </w:pPr>
    </w:p>
    <w:p w:rsidR="002359B6" w:rsidRPr="002F17B5" w:rsidRDefault="002359B6" w:rsidP="002359B6">
      <w:pPr>
        <w:rPr>
          <w:rFonts w:cs="Arial"/>
          <w:b/>
          <w:lang w:eastAsia="en-GB"/>
        </w:rPr>
      </w:pPr>
      <w:r w:rsidRPr="002F17B5">
        <w:rPr>
          <w:rFonts w:cs="Arial"/>
          <w:b/>
          <w:lang w:eastAsia="en-GB"/>
        </w:rPr>
        <w:t>Market Risk</w:t>
      </w:r>
    </w:p>
    <w:p w:rsidR="002359B6" w:rsidRPr="002F17B5" w:rsidRDefault="002359B6" w:rsidP="002359B6">
      <w:pPr>
        <w:rPr>
          <w:rFonts w:cs="Arial"/>
          <w:lang w:eastAsia="en-GB"/>
        </w:rPr>
      </w:pPr>
      <w:r w:rsidRPr="002F17B5">
        <w:rPr>
          <w:rFonts w:cs="Arial"/>
          <w:lang w:eastAsia="en-GB"/>
        </w:rPr>
        <w:t>Market risk is the risk of loss from fluctuations in equity and commodity prices, interest and foreign exchange rates and credit spreads. To mitigate market risk, the Fund and its investment advisors undertake appropriate monitoring of market conditions and benchmarking analysis.</w:t>
      </w:r>
    </w:p>
    <w:p w:rsidR="002359B6" w:rsidRPr="002F17B5" w:rsidRDefault="002359B6" w:rsidP="002359B6">
      <w:pPr>
        <w:rPr>
          <w:rFonts w:cs="Arial"/>
          <w:b/>
          <w:sz w:val="18"/>
          <w:lang w:eastAsia="en-GB"/>
        </w:rPr>
      </w:pPr>
    </w:p>
    <w:p w:rsidR="002359B6" w:rsidRPr="002F17B5" w:rsidRDefault="002359B6" w:rsidP="002359B6">
      <w:pPr>
        <w:rPr>
          <w:rFonts w:cs="Arial"/>
          <w:b/>
          <w:lang w:eastAsia="en-GB"/>
        </w:rPr>
      </w:pPr>
      <w:r w:rsidRPr="002F17B5">
        <w:rPr>
          <w:rFonts w:cs="Arial"/>
          <w:b/>
          <w:lang w:eastAsia="en-GB"/>
        </w:rPr>
        <w:t>Other Price Risk</w:t>
      </w:r>
    </w:p>
    <w:p w:rsidR="002359B6" w:rsidRDefault="002359B6" w:rsidP="002359B6">
      <w:pPr>
        <w:rPr>
          <w:rFonts w:cs="Arial"/>
          <w:lang w:eastAsia="en-GB"/>
        </w:rPr>
      </w:pPr>
      <w:r w:rsidRPr="002F17B5">
        <w:rPr>
          <w:rFonts w:cs="Arial"/>
          <w:lang w:eastAsia="en-GB"/>
        </w:rPr>
        <w:t>Other price risk represents the risk that the value of a financial instrument will fluctuate as a result of changes in market prices (other than those arising from interest rate risk or foreign exchange risk).</w:t>
      </w:r>
      <w:r w:rsidRPr="002F17B5">
        <w:rPr>
          <w:rFonts w:cs="Arial"/>
        </w:rPr>
        <w:t xml:space="preserve"> </w:t>
      </w:r>
      <w:r w:rsidRPr="002F17B5">
        <w:rPr>
          <w:rFonts w:cs="Arial"/>
          <w:lang w:eastAsia="en-GB"/>
        </w:rPr>
        <w:t>The Fund’s investment managers mitigate this price risk through diversification. The selection of securities and other financial instruments is monitored by the Fund to ensure it is within limits specified in the fund investment strategy.</w:t>
      </w:r>
    </w:p>
    <w:p w:rsidR="00DB314D" w:rsidRPr="002F17B5" w:rsidRDefault="00DB314D" w:rsidP="002359B6">
      <w:pPr>
        <w:rPr>
          <w:rFonts w:cs="Arial"/>
          <w:lang w:eastAsia="en-GB"/>
        </w:rPr>
      </w:pPr>
    </w:p>
    <w:p w:rsidR="002359B6" w:rsidRPr="002F17B5" w:rsidRDefault="002359B6" w:rsidP="002359B6">
      <w:pPr>
        <w:rPr>
          <w:rFonts w:cs="Arial"/>
          <w:b/>
          <w:lang w:eastAsia="en-GB"/>
        </w:rPr>
      </w:pPr>
      <w:r w:rsidRPr="002F17B5">
        <w:rPr>
          <w:rFonts w:cs="Arial"/>
          <w:b/>
          <w:lang w:eastAsia="en-GB"/>
        </w:rPr>
        <w:t>Interest Rate Risk</w:t>
      </w:r>
    </w:p>
    <w:p w:rsidR="002359B6" w:rsidRPr="002F17B5" w:rsidRDefault="002359B6" w:rsidP="002359B6">
      <w:pPr>
        <w:rPr>
          <w:rFonts w:cs="Arial"/>
          <w:lang w:eastAsia="en-GB"/>
        </w:rPr>
      </w:pPr>
      <w:r w:rsidRPr="002F17B5">
        <w:rPr>
          <w:rFonts w:cs="Arial"/>
          <w:lang w:eastAsia="en-GB"/>
        </w:rPr>
        <w:t>The Fund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 The Fund’s interest rate risk is routinely monitored by the Investment Panel and its investment advisors.</w:t>
      </w:r>
    </w:p>
    <w:p w:rsidR="002359B6" w:rsidRPr="002F17B5" w:rsidRDefault="002359B6" w:rsidP="002359B6">
      <w:pPr>
        <w:rPr>
          <w:rFonts w:cs="Arial"/>
          <w:sz w:val="30"/>
          <w:lang w:eastAsia="en-GB"/>
        </w:rPr>
      </w:pPr>
    </w:p>
    <w:p w:rsidR="002359B6" w:rsidRPr="002F17B5" w:rsidRDefault="002359B6" w:rsidP="002359B6">
      <w:pPr>
        <w:rPr>
          <w:rFonts w:cs="Arial"/>
          <w:b/>
          <w:lang w:eastAsia="en-GB"/>
        </w:rPr>
      </w:pPr>
      <w:r w:rsidRPr="002F17B5">
        <w:rPr>
          <w:rFonts w:cs="Arial"/>
          <w:b/>
          <w:lang w:eastAsia="en-GB"/>
        </w:rPr>
        <w:t>Currency risk</w:t>
      </w:r>
    </w:p>
    <w:p w:rsidR="002359B6" w:rsidRPr="002F17B5" w:rsidRDefault="002359B6" w:rsidP="002359B6">
      <w:pPr>
        <w:rPr>
          <w:rFonts w:cs="Arial"/>
          <w:lang w:eastAsia="en-GB"/>
        </w:rPr>
      </w:pPr>
      <w:r w:rsidRPr="002F17B5">
        <w:rPr>
          <w:rFonts w:cs="Arial"/>
          <w:lang w:eastAsia="en-GB"/>
        </w:rPr>
        <w:t>Currency risk represents the risk that the fair value cash flow of a financial instrument will fluctuate because of changes in foreign exchange rates. The Fund’s currency rate risk is routinely monitored by the Fund and its investment advisors in accordance with the Fund’s risk management strategy.</w:t>
      </w:r>
    </w:p>
    <w:p w:rsidR="002359B6" w:rsidRPr="002F17B5" w:rsidRDefault="002359B6" w:rsidP="002359B6">
      <w:pPr>
        <w:rPr>
          <w:rFonts w:cs="Arial"/>
          <w:b/>
          <w:sz w:val="30"/>
          <w:lang w:eastAsia="en-GB"/>
        </w:rPr>
      </w:pPr>
    </w:p>
    <w:p w:rsidR="002359B6" w:rsidRPr="002F17B5" w:rsidRDefault="002359B6" w:rsidP="002359B6">
      <w:pPr>
        <w:rPr>
          <w:rFonts w:cs="Arial"/>
          <w:b/>
          <w:lang w:eastAsia="en-GB"/>
        </w:rPr>
      </w:pPr>
      <w:r w:rsidRPr="002F17B5">
        <w:rPr>
          <w:rFonts w:cs="Arial"/>
          <w:b/>
          <w:lang w:eastAsia="en-GB"/>
        </w:rPr>
        <w:t>Credit risk</w:t>
      </w:r>
    </w:p>
    <w:p w:rsidR="002359B6" w:rsidRPr="002F17B5" w:rsidRDefault="002359B6" w:rsidP="002359B6">
      <w:pPr>
        <w:rPr>
          <w:rFonts w:cs="Arial"/>
          <w:lang w:eastAsia="en-GB"/>
        </w:rPr>
      </w:pPr>
      <w:r w:rsidRPr="002F17B5">
        <w:rPr>
          <w:rFonts w:cs="Arial"/>
          <w:lang w:eastAsia="en-GB"/>
        </w:rPr>
        <w:t>Credit risk represents the risk that the counterparty to a transaction or a financial instrument will fail to discharge an obligation and cause the Fund to incur financial loss. Credit risk is minimised by ensuring that counterparties meet the Fund’s credit criteria. The Fund has also set limits as to the maximum percentage of the deposits placed with any class of financial institution.</w:t>
      </w:r>
    </w:p>
    <w:p w:rsidR="002359B6" w:rsidRPr="002F17B5" w:rsidRDefault="002359B6" w:rsidP="002359B6">
      <w:pPr>
        <w:rPr>
          <w:rFonts w:cs="Arial"/>
          <w:sz w:val="30"/>
          <w:lang w:eastAsia="en-GB"/>
        </w:rPr>
      </w:pPr>
    </w:p>
    <w:p w:rsidR="002359B6" w:rsidRPr="002F17B5" w:rsidRDefault="002359B6" w:rsidP="002359B6">
      <w:pPr>
        <w:rPr>
          <w:rFonts w:cs="Arial"/>
          <w:b/>
          <w:lang w:eastAsia="en-GB"/>
        </w:rPr>
      </w:pPr>
      <w:r w:rsidRPr="002F17B5">
        <w:rPr>
          <w:rFonts w:cs="Arial"/>
          <w:b/>
          <w:lang w:eastAsia="en-GB"/>
        </w:rPr>
        <w:t>Liquidity risks</w:t>
      </w:r>
    </w:p>
    <w:p w:rsidR="002359B6" w:rsidRPr="002F17B5" w:rsidRDefault="002359B6" w:rsidP="002359B6">
      <w:pPr>
        <w:rPr>
          <w:rFonts w:cs="Arial"/>
          <w:lang w:eastAsia="en-GB"/>
        </w:rPr>
      </w:pPr>
      <w:r w:rsidRPr="002F17B5">
        <w:rPr>
          <w:rFonts w:cs="Arial"/>
          <w:lang w:eastAsia="en-GB"/>
        </w:rPr>
        <w:t>Liquidity risk represents the risk that the Fund will not be able to meet its financial obligations as they fall due. The Fund therefore takes steps to ensure that there are adequate cash resources to meet its commitments, and the Fund has immediate access to its cash holdings.</w:t>
      </w:r>
    </w:p>
    <w:p w:rsidR="002359B6" w:rsidRPr="002F17B5" w:rsidRDefault="002359B6" w:rsidP="002359B6">
      <w:pPr>
        <w:rPr>
          <w:rFonts w:cs="Arial"/>
          <w:sz w:val="28"/>
          <w:lang w:eastAsia="en-GB"/>
        </w:rPr>
      </w:pPr>
    </w:p>
    <w:p w:rsidR="002359B6" w:rsidRPr="002F17B5" w:rsidRDefault="002359B6" w:rsidP="002359B6">
      <w:pPr>
        <w:rPr>
          <w:rFonts w:cs="Arial"/>
          <w:b/>
          <w:lang w:eastAsia="en-GB"/>
        </w:rPr>
      </w:pPr>
      <w:r w:rsidRPr="002F17B5">
        <w:rPr>
          <w:rFonts w:cs="Arial"/>
          <w:b/>
          <w:lang w:eastAsia="en-GB"/>
        </w:rPr>
        <w:lastRenderedPageBreak/>
        <w:t>Other risks</w:t>
      </w:r>
    </w:p>
    <w:p w:rsidR="002359B6" w:rsidRPr="002F17B5" w:rsidRDefault="002359B6" w:rsidP="002359B6">
      <w:pPr>
        <w:rPr>
          <w:rFonts w:cs="Arial"/>
          <w:lang w:eastAsia="en-GB"/>
        </w:rPr>
      </w:pPr>
      <w:r w:rsidRPr="002F17B5">
        <w:rPr>
          <w:rFonts w:cs="Arial"/>
          <w:lang w:eastAsia="en-GB"/>
        </w:rPr>
        <w:t xml:space="preserve">Actions taken by the government, or changes to European legislation, could result in stronger local funding standards, which could materially affect the authority’s cash flow. </w:t>
      </w:r>
    </w:p>
    <w:p w:rsidR="002359B6" w:rsidRPr="002F17B5" w:rsidRDefault="002359B6" w:rsidP="002359B6">
      <w:pPr>
        <w:rPr>
          <w:rFonts w:cs="Arial"/>
          <w:lang w:eastAsia="en-GB"/>
        </w:rPr>
      </w:pPr>
      <w:r w:rsidRPr="002F17B5">
        <w:rPr>
          <w:rFonts w:cs="Arial"/>
          <w:lang w:eastAsia="en-GB"/>
        </w:rPr>
        <w:t>There is a risk that changes in the assumptions (e.g. life expectancy, price inflation, discount rate) could increase the defined benefit obligation and/or the liabilities for actuarial valuation purposes. Other assumptions used to value the defined benefit obligation are also uncertain, although their effect is less material.  The sensitivity analysis below indicates the change in the defined benefit obligation for changes in the key assumptions.</w:t>
      </w:r>
    </w:p>
    <w:p w:rsidR="002359B6" w:rsidRPr="002F17B5" w:rsidRDefault="002359B6" w:rsidP="002359B6">
      <w:pPr>
        <w:rPr>
          <w:rFonts w:cs="Arial"/>
          <w:sz w:val="20"/>
          <w:lang w:eastAsia="en-GB"/>
        </w:rPr>
      </w:pPr>
    </w:p>
    <w:p w:rsidR="002359B6" w:rsidRPr="002F17B5" w:rsidRDefault="002359B6" w:rsidP="002359B6">
      <w:pPr>
        <w:rPr>
          <w:rFonts w:cs="Arial"/>
          <w:b/>
          <w:lang w:eastAsia="en-GB"/>
        </w:rPr>
      </w:pPr>
      <w:r w:rsidRPr="002F17B5">
        <w:rPr>
          <w:rFonts w:cs="Arial"/>
          <w:b/>
          <w:lang w:eastAsia="en-GB"/>
        </w:rPr>
        <w:t>Amendments, curtailments and settlements</w:t>
      </w:r>
    </w:p>
    <w:p w:rsidR="002359B6" w:rsidRPr="002F17B5" w:rsidRDefault="002359B6" w:rsidP="002359B6">
      <w:pPr>
        <w:rPr>
          <w:rFonts w:cs="Arial"/>
          <w:lang w:eastAsia="en-GB"/>
        </w:rPr>
      </w:pPr>
      <w:r w:rsidRPr="002F17B5">
        <w:rPr>
          <w:rFonts w:cs="Arial"/>
          <w:lang w:eastAsia="en-GB"/>
        </w:rPr>
        <w:t>The provisions of the Fund were amended with effect from 1 April 2014.  As explained above for service up to 31 March 2013 benefits were based on salaries when members leave the scheme, whereas for service after that date benefits are based on career average salary.  Further details of the changes are available from the Fund’s administering authority.</w:t>
      </w:r>
    </w:p>
    <w:p w:rsidR="002359B6" w:rsidRPr="002F17B5" w:rsidRDefault="002359B6" w:rsidP="002359B6">
      <w:pPr>
        <w:rPr>
          <w:rFonts w:cs="Arial"/>
          <w:lang w:eastAsia="en-GB"/>
        </w:rPr>
      </w:pPr>
      <w:r w:rsidRPr="002F17B5">
        <w:rPr>
          <w:rFonts w:cs="Arial"/>
          <w:lang w:eastAsia="en-GB"/>
        </w:rPr>
        <w:t>Curtailments shown in the accounting figures relate to the cost of providing retirement benefits for members who retire early, to the extent that provision has not already been made for the relevant defined benefit obligations.</w:t>
      </w:r>
    </w:p>
    <w:p w:rsidR="002359B6" w:rsidRPr="002F17B5" w:rsidRDefault="002359B6" w:rsidP="002359B6">
      <w:pPr>
        <w:rPr>
          <w:rFonts w:cs="Arial"/>
          <w:sz w:val="14"/>
          <w:lang w:eastAsia="en-GB"/>
        </w:rPr>
      </w:pPr>
    </w:p>
    <w:p w:rsidR="002359B6" w:rsidRPr="002F17B5" w:rsidRDefault="002359B6" w:rsidP="002359B6">
      <w:pPr>
        <w:rPr>
          <w:rFonts w:cs="Arial"/>
          <w:b/>
          <w:lang w:eastAsia="en-GB"/>
        </w:rPr>
      </w:pPr>
      <w:r w:rsidRPr="002F17B5">
        <w:rPr>
          <w:rFonts w:cs="Arial"/>
          <w:lang w:eastAsia="en-GB"/>
        </w:rPr>
        <w:t>Settlements shown in the accounting figures relate to the admission of new employers into the Fund, and who take on part of the authority’s assets and liabilities as a result of employing members who have accrued benefits with the authority.</w:t>
      </w:r>
    </w:p>
    <w:p w:rsidR="002359B6" w:rsidRPr="002F17B5" w:rsidRDefault="002359B6" w:rsidP="002359B6">
      <w:pPr>
        <w:rPr>
          <w:rFonts w:cs="Arial"/>
          <w:b/>
          <w:sz w:val="30"/>
        </w:rPr>
      </w:pPr>
    </w:p>
    <w:p w:rsidR="008955D6" w:rsidRPr="002F17B5" w:rsidRDefault="002359B6" w:rsidP="008955D6">
      <w:pPr>
        <w:rPr>
          <w:rFonts w:cs="Arial"/>
          <w:b/>
          <w:u w:val="single"/>
          <w:lang w:eastAsia="en-GB"/>
        </w:rPr>
      </w:pPr>
      <w:r w:rsidRPr="002F17B5">
        <w:rPr>
          <w:rFonts w:cs="Arial"/>
          <w:b/>
          <w:u w:val="single"/>
        </w:rPr>
        <w:t>Schemes for Teachers</w:t>
      </w:r>
      <w:r w:rsidR="008955D6" w:rsidRPr="008955D6">
        <w:rPr>
          <w:rFonts w:cs="Arial"/>
          <w:b/>
          <w:u w:val="single"/>
        </w:rPr>
        <w:t xml:space="preserve"> </w:t>
      </w:r>
      <w:r w:rsidR="008955D6">
        <w:rPr>
          <w:rFonts w:cs="Arial"/>
          <w:b/>
          <w:u w:val="single"/>
        </w:rPr>
        <w:t>and transferred NHS Staff</w:t>
      </w:r>
    </w:p>
    <w:p w:rsidR="002359B6" w:rsidRPr="002F17B5" w:rsidRDefault="002359B6" w:rsidP="002359B6">
      <w:pPr>
        <w:rPr>
          <w:rFonts w:cs="Arial"/>
          <w:b/>
          <w:lang w:eastAsia="en-GB"/>
        </w:rPr>
      </w:pPr>
    </w:p>
    <w:p w:rsidR="002359B6" w:rsidRPr="002F17B5" w:rsidRDefault="002359B6" w:rsidP="002359B6">
      <w:pPr>
        <w:rPr>
          <w:rFonts w:cs="Arial"/>
          <w:b/>
          <w:lang w:eastAsia="en-GB"/>
        </w:rPr>
      </w:pPr>
      <w:r w:rsidRPr="002F17B5">
        <w:rPr>
          <w:rFonts w:cs="Arial"/>
          <w:b/>
          <w:lang w:eastAsia="en-GB"/>
        </w:rPr>
        <w:t>Governance</w:t>
      </w:r>
    </w:p>
    <w:p w:rsidR="002359B6" w:rsidRPr="002F17B5" w:rsidRDefault="002359B6" w:rsidP="002359B6">
      <w:pPr>
        <w:rPr>
          <w:rFonts w:cs="Arial"/>
          <w:lang w:eastAsia="en-GB"/>
        </w:rPr>
      </w:pPr>
      <w:r w:rsidRPr="002F17B5">
        <w:rPr>
          <w:rFonts w:cs="Arial"/>
          <w:lang w:eastAsia="en-GB"/>
        </w:rPr>
        <w:t xml:space="preserve">These arrangements are managed centrally by government departments/agencies, and there is no material involvement for the authority. </w:t>
      </w:r>
      <w:r w:rsidR="00A30C31" w:rsidRPr="002F17B5">
        <w:rPr>
          <w:rFonts w:cs="Arial"/>
          <w:lang w:eastAsia="en-GB"/>
        </w:rPr>
        <w:t xml:space="preserve">Again, the authority has no material involvement in this process.  </w:t>
      </w:r>
    </w:p>
    <w:p w:rsidR="00ED1B01" w:rsidRPr="002F17B5" w:rsidRDefault="00ED1B01" w:rsidP="002359B6">
      <w:pPr>
        <w:rPr>
          <w:rFonts w:cs="Arial"/>
          <w:lang w:eastAsia="en-GB"/>
        </w:rPr>
      </w:pPr>
    </w:p>
    <w:p w:rsidR="002359B6" w:rsidRPr="002F17B5" w:rsidRDefault="002359B6" w:rsidP="002359B6">
      <w:pPr>
        <w:rPr>
          <w:rFonts w:cs="Arial"/>
          <w:b/>
          <w:lang w:eastAsia="en-GB"/>
        </w:rPr>
      </w:pPr>
      <w:r w:rsidRPr="002F17B5">
        <w:rPr>
          <w:rFonts w:cs="Arial"/>
          <w:b/>
          <w:lang w:eastAsia="en-GB"/>
        </w:rPr>
        <w:t>Funding the liabilities</w:t>
      </w:r>
    </w:p>
    <w:p w:rsidR="00B723E6" w:rsidRDefault="002359B6" w:rsidP="002359B6">
      <w:pPr>
        <w:rPr>
          <w:rFonts w:cs="Arial"/>
          <w:lang w:eastAsia="en-GB"/>
        </w:rPr>
      </w:pPr>
      <w:r w:rsidRPr="002F17B5">
        <w:rPr>
          <w:rFonts w:cs="Arial"/>
          <w:lang w:eastAsia="en-GB"/>
        </w:rPr>
        <w:t>Contributions to the arrangements are set by the government</w:t>
      </w:r>
      <w:r w:rsidR="00A30C31" w:rsidRPr="00A30C31">
        <w:rPr>
          <w:rFonts w:cs="Arial"/>
          <w:lang w:eastAsia="en-GB"/>
        </w:rPr>
        <w:t xml:space="preserve"> </w:t>
      </w:r>
      <w:r w:rsidR="00A30C31">
        <w:rPr>
          <w:rFonts w:cs="Arial"/>
          <w:lang w:eastAsia="en-GB"/>
        </w:rPr>
        <w:t>for these Teachers and NHS staff pension schemes</w:t>
      </w:r>
      <w:r w:rsidRPr="002F17B5">
        <w:rPr>
          <w:rFonts w:cs="Arial"/>
          <w:lang w:eastAsia="en-GB"/>
        </w:rPr>
        <w:t>, having taken advice from the government actuary</w:t>
      </w:r>
      <w:r w:rsidR="00A30C31">
        <w:rPr>
          <w:rFonts w:cs="Arial"/>
          <w:lang w:eastAsia="en-GB"/>
        </w:rPr>
        <w:t>, so no liability is reflected in the council's balance sheet</w:t>
      </w:r>
      <w:r w:rsidRPr="002F17B5">
        <w:rPr>
          <w:rFonts w:cs="Arial"/>
          <w:lang w:eastAsia="en-GB"/>
        </w:rPr>
        <w:t xml:space="preserve">.  The exception to this is the </w:t>
      </w:r>
      <w:r w:rsidRPr="002F17B5">
        <w:rPr>
          <w:rFonts w:cs="Arial"/>
        </w:rPr>
        <w:t xml:space="preserve">additional pensions to retired teachers which were awarded at the point of retirement, and for which the authority is responsible.  </w:t>
      </w:r>
    </w:p>
    <w:p w:rsidR="00A30C31" w:rsidRPr="00A30C31" w:rsidRDefault="006516BF" w:rsidP="00A30C31">
      <w:r>
        <w:rPr>
          <w:rFonts w:cs="Arial"/>
          <w:lang w:eastAsia="en-GB"/>
        </w:rPr>
        <w:t>Only this</w:t>
      </w:r>
      <w:r w:rsidR="008955D6" w:rsidRPr="002F17B5">
        <w:rPr>
          <w:rFonts w:cs="Arial"/>
          <w:lang w:eastAsia="en-GB"/>
        </w:rPr>
        <w:t xml:space="preserve"> </w:t>
      </w:r>
      <w:r w:rsidR="00A30C31">
        <w:rPr>
          <w:rFonts w:cs="Arial"/>
        </w:rPr>
        <w:t>additional pensions to retired t</w:t>
      </w:r>
      <w:r w:rsidR="008955D6" w:rsidRPr="002F17B5">
        <w:rPr>
          <w:rFonts w:cs="Arial"/>
        </w:rPr>
        <w:t>eachers</w:t>
      </w:r>
      <w:r w:rsidR="008955D6">
        <w:t xml:space="preserve"> part of the liability which directly falls to the </w:t>
      </w:r>
      <w:r>
        <w:t>c</w:t>
      </w:r>
      <w:r w:rsidR="008955D6">
        <w:t xml:space="preserve">ouncil </w:t>
      </w:r>
      <w:r>
        <w:t xml:space="preserve">is recognised within the council's balance sheet </w:t>
      </w:r>
      <w:r w:rsidR="008955D6">
        <w:t xml:space="preserve">and these liabilities are shown </w:t>
      </w:r>
      <w:r w:rsidR="00A30C31">
        <w:t xml:space="preserve">under teachers pension scheme figures </w:t>
      </w:r>
      <w:r w:rsidR="008955D6">
        <w:t>within the tables below.</w:t>
      </w:r>
      <w:r w:rsidR="00A30C31">
        <w:t xml:space="preserve"> </w:t>
      </w:r>
      <w:r w:rsidR="00A30C31" w:rsidRPr="002F17B5">
        <w:rPr>
          <w:rFonts w:cs="Arial"/>
          <w:lang w:eastAsia="en-GB"/>
        </w:rPr>
        <w:t xml:space="preserve">The weighted average duration of these particular liabilities </w:t>
      </w:r>
      <w:r w:rsidR="00A30C31" w:rsidRPr="002F17B5">
        <w:rPr>
          <w:rFonts w:cs="Arial"/>
          <w:color w:val="auto"/>
          <w:lang w:eastAsia="en-GB"/>
        </w:rPr>
        <w:t>is 9 years</w:t>
      </w:r>
      <w:r w:rsidR="00A30C31" w:rsidRPr="002F17B5">
        <w:rPr>
          <w:rFonts w:cs="Arial"/>
          <w:lang w:eastAsia="en-GB"/>
        </w:rPr>
        <w:t>, measured on the actuarial assumptions used for IAS19 purposes.</w:t>
      </w:r>
    </w:p>
    <w:p w:rsidR="00A30C31" w:rsidRDefault="00A30C31" w:rsidP="008955D6">
      <w:pPr>
        <w:rPr>
          <w:rFonts w:ascii="Calibri" w:eastAsiaTheme="minorHAnsi" w:hAnsi="Calibri" w:cs="Times New Roman"/>
          <w:color w:val="auto"/>
        </w:rPr>
      </w:pPr>
    </w:p>
    <w:p w:rsidR="008955D6" w:rsidRDefault="008955D6" w:rsidP="008955D6">
      <w:pPr>
        <w:rPr>
          <w:rFonts w:cs="Arial"/>
          <w:lang w:eastAsia="en-GB"/>
        </w:rPr>
      </w:pPr>
    </w:p>
    <w:p w:rsidR="00ED1B01" w:rsidRPr="002F17B5" w:rsidRDefault="00ED1B01" w:rsidP="00D97909">
      <w:pPr>
        <w:rPr>
          <w:rFonts w:cs="Arial"/>
          <w:lang w:eastAsia="en-GB"/>
        </w:rPr>
      </w:pPr>
    </w:p>
    <w:tbl>
      <w:tblPr>
        <w:tblpPr w:leftFromText="180" w:rightFromText="180" w:vertAnchor="text" w:horzAnchor="margin" w:tblpYSpec="inside"/>
        <w:tblW w:w="10740" w:type="dxa"/>
        <w:tblLook w:val="04A0" w:firstRow="1" w:lastRow="0" w:firstColumn="1" w:lastColumn="0" w:noHBand="0" w:noVBand="1"/>
      </w:tblPr>
      <w:tblGrid>
        <w:gridCol w:w="5495"/>
        <w:gridCol w:w="1417"/>
        <w:gridCol w:w="1418"/>
        <w:gridCol w:w="1134"/>
        <w:gridCol w:w="1276"/>
      </w:tblGrid>
      <w:tr w:rsidR="00321511" w:rsidRPr="002F17B5" w:rsidTr="00321511">
        <w:trPr>
          <w:trHeight w:val="1020"/>
        </w:trPr>
        <w:tc>
          <w:tcPr>
            <w:tcW w:w="5495" w:type="dxa"/>
            <w:tcBorders>
              <w:top w:val="single" w:sz="4" w:space="0" w:color="auto"/>
              <w:left w:val="single" w:sz="4" w:space="0" w:color="auto"/>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7" w:type="dxa"/>
            <w:tcBorders>
              <w:top w:val="single" w:sz="4" w:space="0" w:color="auto"/>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 xml:space="preserve">Local Government Pension Scheme </w:t>
            </w:r>
          </w:p>
        </w:tc>
        <w:tc>
          <w:tcPr>
            <w:tcW w:w="1418" w:type="dxa"/>
            <w:tcBorders>
              <w:top w:val="single" w:sz="4" w:space="0" w:color="auto"/>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 xml:space="preserve">Local Government Pension Scheme </w:t>
            </w:r>
          </w:p>
        </w:tc>
        <w:tc>
          <w:tcPr>
            <w:tcW w:w="1134" w:type="dxa"/>
            <w:tcBorders>
              <w:top w:val="single" w:sz="4" w:space="0" w:color="auto"/>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 xml:space="preserve">Teachers Pension Scheme </w:t>
            </w:r>
          </w:p>
        </w:tc>
        <w:tc>
          <w:tcPr>
            <w:tcW w:w="1276" w:type="dxa"/>
            <w:tcBorders>
              <w:top w:val="single" w:sz="4" w:space="0" w:color="auto"/>
              <w:left w:val="nil"/>
              <w:bottom w:val="nil"/>
              <w:right w:val="single" w:sz="4" w:space="0" w:color="auto"/>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 xml:space="preserve">Teachers Pension Scheme </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c>
          <w:tcPr>
            <w:tcW w:w="1417" w:type="dxa"/>
            <w:tcBorders>
              <w:top w:val="nil"/>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2013/14</w:t>
            </w:r>
          </w:p>
        </w:tc>
        <w:tc>
          <w:tcPr>
            <w:tcW w:w="1418" w:type="dxa"/>
            <w:tcBorders>
              <w:top w:val="nil"/>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2012/13</w:t>
            </w:r>
          </w:p>
        </w:tc>
        <w:tc>
          <w:tcPr>
            <w:tcW w:w="1134" w:type="dxa"/>
            <w:tcBorders>
              <w:top w:val="nil"/>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2013/14</w:t>
            </w:r>
          </w:p>
        </w:tc>
        <w:tc>
          <w:tcPr>
            <w:tcW w:w="1276" w:type="dxa"/>
            <w:tcBorders>
              <w:top w:val="nil"/>
              <w:left w:val="nil"/>
              <w:bottom w:val="nil"/>
              <w:right w:val="single" w:sz="4" w:space="0" w:color="auto"/>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2012/13</w:t>
            </w:r>
          </w:p>
        </w:tc>
      </w:tr>
      <w:tr w:rsidR="00321511" w:rsidRPr="002F17B5" w:rsidTr="00321511">
        <w:trPr>
          <w:trHeight w:val="365"/>
        </w:trPr>
        <w:tc>
          <w:tcPr>
            <w:tcW w:w="5495" w:type="dxa"/>
            <w:tcBorders>
              <w:top w:val="nil"/>
              <w:left w:val="single" w:sz="4" w:space="0" w:color="auto"/>
              <w:bottom w:val="nil"/>
              <w:right w:val="nil"/>
            </w:tcBorders>
            <w:shd w:val="clear" w:color="000000" w:fill="FFFFFF"/>
            <w:vAlign w:val="bottom"/>
            <w:hideMark/>
          </w:tcPr>
          <w:p w:rsidR="00321511" w:rsidRPr="002F17B5" w:rsidRDefault="00321511" w:rsidP="00321511">
            <w:pPr>
              <w:autoSpaceDE/>
              <w:autoSpaceDN/>
              <w:adjustRightInd/>
              <w:spacing w:before="0" w:after="0"/>
              <w:jc w:val="left"/>
              <w:rPr>
                <w:rFonts w:eastAsia="Times New Roman" w:cs="Arial"/>
                <w:b/>
                <w:bCs/>
                <w:color w:val="auto"/>
                <w:sz w:val="20"/>
                <w:szCs w:val="20"/>
                <w:lang w:eastAsia="en-GB"/>
              </w:rPr>
            </w:pPr>
            <w:r w:rsidRPr="002F17B5">
              <w:rPr>
                <w:rFonts w:eastAsia="Times New Roman" w:cs="Arial"/>
                <w:b/>
                <w:bCs/>
                <w:color w:val="auto"/>
                <w:sz w:val="20"/>
                <w:szCs w:val="20"/>
                <w:lang w:eastAsia="en-GB"/>
              </w:rPr>
              <w:t xml:space="preserve">Comprehensive Income and Expenditure Statement </w:t>
            </w:r>
          </w:p>
        </w:tc>
        <w:tc>
          <w:tcPr>
            <w:tcW w:w="1417" w:type="dxa"/>
            <w:tcBorders>
              <w:top w:val="nil"/>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£m</w:t>
            </w:r>
          </w:p>
        </w:tc>
        <w:tc>
          <w:tcPr>
            <w:tcW w:w="1418" w:type="dxa"/>
            <w:tcBorders>
              <w:top w:val="nil"/>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£m</w:t>
            </w:r>
          </w:p>
        </w:tc>
        <w:tc>
          <w:tcPr>
            <w:tcW w:w="1134" w:type="dxa"/>
            <w:tcBorders>
              <w:top w:val="nil"/>
              <w:left w:val="nil"/>
              <w:bottom w:val="nil"/>
              <w:right w:val="nil"/>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£m</w:t>
            </w:r>
          </w:p>
        </w:tc>
        <w:tc>
          <w:tcPr>
            <w:tcW w:w="1276" w:type="dxa"/>
            <w:tcBorders>
              <w:top w:val="nil"/>
              <w:left w:val="nil"/>
              <w:bottom w:val="nil"/>
              <w:right w:val="single" w:sz="4" w:space="0" w:color="auto"/>
            </w:tcBorders>
            <w:shd w:val="clear" w:color="000000" w:fill="FFFFFF"/>
            <w:vAlign w:val="bottom"/>
            <w:hideMark/>
          </w:tcPr>
          <w:p w:rsidR="00321511" w:rsidRPr="002F17B5" w:rsidRDefault="00321511" w:rsidP="00321511">
            <w:pPr>
              <w:autoSpaceDE/>
              <w:autoSpaceDN/>
              <w:adjustRightInd/>
              <w:spacing w:before="0" w:after="0"/>
              <w:jc w:val="right"/>
              <w:rPr>
                <w:rFonts w:eastAsia="Times New Roman" w:cs="Arial"/>
                <w:b/>
                <w:bCs/>
                <w:color w:val="auto"/>
                <w:sz w:val="20"/>
                <w:szCs w:val="20"/>
                <w:lang w:eastAsia="en-GB"/>
              </w:rPr>
            </w:pPr>
            <w:r w:rsidRPr="002F17B5">
              <w:rPr>
                <w:rFonts w:eastAsia="Times New Roman" w:cs="Arial"/>
                <w:b/>
                <w:bCs/>
                <w:color w:val="auto"/>
                <w:sz w:val="20"/>
                <w:szCs w:val="20"/>
                <w:lang w:eastAsia="en-GB"/>
              </w:rPr>
              <w:t>£m</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b/>
                <w:bCs/>
                <w:color w:val="auto"/>
                <w:sz w:val="20"/>
                <w:szCs w:val="20"/>
                <w:lang w:eastAsia="en-GB"/>
              </w:rPr>
            </w:pPr>
            <w:r w:rsidRPr="002F17B5">
              <w:rPr>
                <w:rFonts w:eastAsia="Times New Roman" w:cs="Arial"/>
                <w:b/>
                <w:bCs/>
                <w:color w:val="auto"/>
                <w:sz w:val="20"/>
                <w:szCs w:val="20"/>
                <w:lang w:eastAsia="en-GB"/>
              </w:rPr>
              <w:t>Cost of Services :</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Current  service cost</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87.7</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63.5</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Past service cost</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0.2</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0.1</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260A00" w:rsidP="00260A00">
            <w:pPr>
              <w:autoSpaceDE/>
              <w:autoSpaceDN/>
              <w:adjustRightInd/>
              <w:spacing w:before="0" w:after="0"/>
              <w:jc w:val="left"/>
              <w:rPr>
                <w:rFonts w:eastAsia="Times New Roman" w:cs="Arial"/>
                <w:sz w:val="20"/>
                <w:szCs w:val="20"/>
                <w:lang w:eastAsia="en-GB"/>
              </w:rPr>
            </w:pPr>
            <w:r w:rsidRPr="006A6598">
              <w:rPr>
                <w:rFonts w:eastAsia="Times New Roman" w:cs="Arial"/>
                <w:sz w:val="20"/>
                <w:szCs w:val="20"/>
                <w:lang w:eastAsia="en-GB"/>
              </w:rPr>
              <w:t>Curtailment costs</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0.8</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(3.8)</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Admin Expenses</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1.4</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r>
      <w:tr w:rsidR="00321511" w:rsidRPr="002F17B5" w:rsidTr="00321511">
        <w:trPr>
          <w:trHeight w:val="347"/>
        </w:trPr>
        <w:tc>
          <w:tcPr>
            <w:tcW w:w="5495" w:type="dxa"/>
            <w:tcBorders>
              <w:top w:val="nil"/>
              <w:left w:val="single" w:sz="4" w:space="0" w:color="auto"/>
              <w:bottom w:val="nil"/>
              <w:right w:val="nil"/>
            </w:tcBorders>
            <w:shd w:val="clear" w:color="000000" w:fill="FFFFFF"/>
            <w:vAlign w:val="bottom"/>
            <w:hideMark/>
          </w:tcPr>
          <w:p w:rsidR="00321511" w:rsidRPr="002F17B5" w:rsidRDefault="00321511" w:rsidP="00321511">
            <w:pPr>
              <w:autoSpaceDE/>
              <w:autoSpaceDN/>
              <w:adjustRightInd/>
              <w:spacing w:before="0" w:after="0"/>
              <w:jc w:val="left"/>
              <w:rPr>
                <w:rFonts w:eastAsia="Times New Roman" w:cs="Arial"/>
                <w:b/>
                <w:bCs/>
                <w:color w:val="auto"/>
                <w:sz w:val="20"/>
                <w:szCs w:val="20"/>
                <w:lang w:eastAsia="en-GB"/>
              </w:rPr>
            </w:pPr>
            <w:r w:rsidRPr="002F17B5">
              <w:rPr>
                <w:rFonts w:eastAsia="Times New Roman" w:cs="Arial"/>
                <w:b/>
                <w:bCs/>
                <w:color w:val="auto"/>
                <w:sz w:val="20"/>
                <w:szCs w:val="20"/>
                <w:lang w:eastAsia="en-GB"/>
              </w:rPr>
              <w:t>Financing and Investment Income and Expenditure</w:t>
            </w:r>
          </w:p>
        </w:tc>
        <w:tc>
          <w:tcPr>
            <w:tcW w:w="1417" w:type="dxa"/>
            <w:tcBorders>
              <w:top w:val="nil"/>
              <w:left w:val="nil"/>
              <w:bottom w:val="nil"/>
              <w:right w:val="nil"/>
            </w:tcBorders>
            <w:shd w:val="clear" w:color="000000" w:fill="FFFFFF"/>
            <w:noWrap/>
            <w:vAlign w:val="bottom"/>
          </w:tcPr>
          <w:p w:rsidR="00321511" w:rsidRPr="002F17B5" w:rsidRDefault="00321511" w:rsidP="00321511">
            <w:pPr>
              <w:autoSpaceDE/>
              <w:autoSpaceDN/>
              <w:adjustRightInd/>
              <w:spacing w:before="0" w:after="0"/>
              <w:jc w:val="right"/>
              <w:rPr>
                <w:rFonts w:eastAsia="Times New Roman" w:cs="Arial"/>
                <w:sz w:val="20"/>
                <w:szCs w:val="20"/>
                <w:lang w:eastAsia="en-GB"/>
              </w:rPr>
            </w:pPr>
          </w:p>
        </w:tc>
        <w:tc>
          <w:tcPr>
            <w:tcW w:w="1418" w:type="dxa"/>
            <w:tcBorders>
              <w:top w:val="nil"/>
              <w:left w:val="nil"/>
              <w:bottom w:val="nil"/>
              <w:right w:val="nil"/>
            </w:tcBorders>
            <w:shd w:val="clear" w:color="000000" w:fill="FFFFFF"/>
            <w:noWrap/>
            <w:vAlign w:val="bottom"/>
          </w:tcPr>
          <w:p w:rsidR="00321511" w:rsidRPr="002F17B5" w:rsidRDefault="00321511" w:rsidP="00321511">
            <w:pPr>
              <w:autoSpaceDE/>
              <w:autoSpaceDN/>
              <w:adjustRightInd/>
              <w:spacing w:before="0" w:after="0"/>
              <w:jc w:val="right"/>
              <w:rPr>
                <w:rFonts w:eastAsia="Times New Roman" w:cs="Arial"/>
                <w:sz w:val="20"/>
                <w:szCs w:val="20"/>
                <w:lang w:eastAsia="en-GB"/>
              </w:rPr>
            </w:pPr>
          </w:p>
        </w:tc>
        <w:tc>
          <w:tcPr>
            <w:tcW w:w="1134" w:type="dxa"/>
            <w:tcBorders>
              <w:top w:val="nil"/>
              <w:left w:val="nil"/>
              <w:bottom w:val="nil"/>
              <w:right w:val="nil"/>
            </w:tcBorders>
            <w:shd w:val="clear" w:color="000000" w:fill="FFFFFF"/>
            <w:noWrap/>
            <w:vAlign w:val="bottom"/>
          </w:tcPr>
          <w:p w:rsidR="00321511" w:rsidRPr="002F17B5" w:rsidRDefault="00321511" w:rsidP="00321511">
            <w:pPr>
              <w:autoSpaceDE/>
              <w:autoSpaceDN/>
              <w:adjustRightInd/>
              <w:spacing w:before="0" w:after="0"/>
              <w:jc w:val="right"/>
              <w:rPr>
                <w:rFonts w:eastAsia="Times New Roman" w:cs="Arial"/>
                <w:sz w:val="20"/>
                <w:szCs w:val="20"/>
                <w:lang w:eastAsia="en-GB"/>
              </w:rPr>
            </w:pPr>
          </w:p>
        </w:tc>
        <w:tc>
          <w:tcPr>
            <w:tcW w:w="1276" w:type="dxa"/>
            <w:tcBorders>
              <w:top w:val="nil"/>
              <w:left w:val="nil"/>
              <w:bottom w:val="nil"/>
              <w:right w:val="single" w:sz="4" w:space="0" w:color="auto"/>
            </w:tcBorders>
            <w:shd w:val="clear" w:color="000000" w:fill="FFFFFF"/>
            <w:noWrap/>
            <w:vAlign w:val="bottom"/>
          </w:tcPr>
          <w:p w:rsidR="00321511" w:rsidRPr="002F17B5" w:rsidRDefault="00321511" w:rsidP="00321511">
            <w:pPr>
              <w:autoSpaceDE/>
              <w:autoSpaceDN/>
              <w:adjustRightInd/>
              <w:spacing w:before="0" w:after="0"/>
              <w:jc w:val="right"/>
              <w:rPr>
                <w:rFonts w:eastAsia="Times New Roman" w:cs="Arial"/>
                <w:sz w:val="20"/>
                <w:szCs w:val="20"/>
                <w:lang w:eastAsia="en-GB"/>
              </w:rPr>
            </w:pP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6A6598" w:rsidRDefault="00321511" w:rsidP="005A56D4">
            <w:pPr>
              <w:autoSpaceDE/>
              <w:autoSpaceDN/>
              <w:adjustRightInd/>
              <w:spacing w:before="0" w:after="0"/>
              <w:jc w:val="left"/>
              <w:rPr>
                <w:rFonts w:eastAsia="Times New Roman" w:cs="Arial"/>
                <w:sz w:val="20"/>
                <w:szCs w:val="20"/>
                <w:lang w:eastAsia="en-GB"/>
              </w:rPr>
            </w:pPr>
            <w:r w:rsidRPr="006A6598">
              <w:rPr>
                <w:rFonts w:eastAsia="Times New Roman" w:cs="Arial"/>
                <w:sz w:val="20"/>
                <w:szCs w:val="20"/>
                <w:lang w:eastAsia="en-GB"/>
              </w:rPr>
              <w:t xml:space="preserve">Net Interest </w:t>
            </w:r>
            <w:r w:rsidR="00260A00">
              <w:rPr>
                <w:rFonts w:eastAsia="Times New Roman" w:cs="Arial"/>
                <w:sz w:val="20"/>
                <w:szCs w:val="20"/>
                <w:lang w:eastAsia="en-GB"/>
              </w:rPr>
              <w:t>Expense</w:t>
            </w:r>
          </w:p>
        </w:tc>
        <w:tc>
          <w:tcPr>
            <w:tcW w:w="1417" w:type="dxa"/>
            <w:tcBorders>
              <w:top w:val="nil"/>
              <w:left w:val="nil"/>
              <w:bottom w:val="nil"/>
              <w:right w:val="nil"/>
            </w:tcBorders>
            <w:shd w:val="clear" w:color="000000" w:fill="FFFFFF"/>
            <w:noWrap/>
            <w:vAlign w:val="bottom"/>
            <w:hideMark/>
          </w:tcPr>
          <w:p w:rsidR="00321511" w:rsidRPr="006A6598" w:rsidRDefault="00321511" w:rsidP="00321511">
            <w:pPr>
              <w:autoSpaceDE/>
              <w:autoSpaceDN/>
              <w:adjustRightInd/>
              <w:spacing w:before="0" w:after="0"/>
              <w:jc w:val="right"/>
              <w:rPr>
                <w:rFonts w:eastAsia="Times New Roman" w:cs="Arial"/>
                <w:sz w:val="20"/>
                <w:szCs w:val="20"/>
                <w:lang w:eastAsia="en-GB"/>
              </w:rPr>
            </w:pPr>
            <w:r w:rsidRPr="006A6598">
              <w:rPr>
                <w:rFonts w:eastAsia="Times New Roman" w:cs="Arial"/>
                <w:sz w:val="20"/>
                <w:szCs w:val="20"/>
                <w:lang w:eastAsia="en-GB"/>
              </w:rPr>
              <w:t>39.5</w:t>
            </w:r>
          </w:p>
        </w:tc>
        <w:tc>
          <w:tcPr>
            <w:tcW w:w="1418" w:type="dxa"/>
            <w:tcBorders>
              <w:top w:val="nil"/>
              <w:left w:val="nil"/>
              <w:bottom w:val="nil"/>
              <w:right w:val="nil"/>
            </w:tcBorders>
            <w:shd w:val="clear" w:color="000000" w:fill="FFFFFF"/>
            <w:noWrap/>
            <w:vAlign w:val="bottom"/>
            <w:hideMark/>
          </w:tcPr>
          <w:p w:rsidR="00321511" w:rsidRPr="006A6598" w:rsidRDefault="00321511" w:rsidP="00321511">
            <w:pPr>
              <w:autoSpaceDE/>
              <w:autoSpaceDN/>
              <w:adjustRightInd/>
              <w:spacing w:before="0" w:after="0"/>
              <w:jc w:val="right"/>
              <w:rPr>
                <w:rFonts w:eastAsia="Times New Roman" w:cs="Arial"/>
                <w:sz w:val="20"/>
                <w:szCs w:val="20"/>
                <w:lang w:eastAsia="en-GB"/>
              </w:rPr>
            </w:pPr>
            <w:r w:rsidRPr="006A6598">
              <w:rPr>
                <w:rFonts w:eastAsia="Times New Roman" w:cs="Arial"/>
                <w:sz w:val="20"/>
                <w:szCs w:val="20"/>
                <w:lang w:eastAsia="en-GB"/>
              </w:rPr>
              <w:t>25.3</w:t>
            </w:r>
          </w:p>
        </w:tc>
        <w:tc>
          <w:tcPr>
            <w:tcW w:w="1134" w:type="dxa"/>
            <w:tcBorders>
              <w:top w:val="nil"/>
              <w:left w:val="nil"/>
              <w:bottom w:val="nil"/>
              <w:right w:val="nil"/>
            </w:tcBorders>
            <w:shd w:val="clear" w:color="000000" w:fill="FFFFFF"/>
            <w:noWrap/>
            <w:vAlign w:val="bottom"/>
            <w:hideMark/>
          </w:tcPr>
          <w:p w:rsidR="00321511" w:rsidRPr="006A6598" w:rsidRDefault="00321511" w:rsidP="00321511">
            <w:pPr>
              <w:autoSpaceDE/>
              <w:autoSpaceDN/>
              <w:adjustRightInd/>
              <w:spacing w:before="0" w:after="0"/>
              <w:jc w:val="right"/>
              <w:rPr>
                <w:rFonts w:eastAsia="Times New Roman" w:cs="Arial"/>
                <w:sz w:val="20"/>
                <w:szCs w:val="20"/>
                <w:lang w:eastAsia="en-GB"/>
              </w:rPr>
            </w:pPr>
            <w:r w:rsidRPr="006A6598">
              <w:rPr>
                <w:rFonts w:eastAsia="Times New Roman" w:cs="Arial"/>
                <w:sz w:val="20"/>
                <w:szCs w:val="20"/>
                <w:lang w:eastAsia="en-GB"/>
              </w:rPr>
              <w:t>5.3</w:t>
            </w:r>
          </w:p>
        </w:tc>
        <w:tc>
          <w:tcPr>
            <w:tcW w:w="1276" w:type="dxa"/>
            <w:tcBorders>
              <w:top w:val="nil"/>
              <w:left w:val="nil"/>
              <w:bottom w:val="nil"/>
              <w:right w:val="single" w:sz="4" w:space="0" w:color="auto"/>
            </w:tcBorders>
            <w:shd w:val="clear" w:color="000000" w:fill="FFFFFF"/>
            <w:noWrap/>
            <w:vAlign w:val="bottom"/>
            <w:hideMark/>
          </w:tcPr>
          <w:p w:rsidR="00321511" w:rsidRPr="006A6598" w:rsidRDefault="00321511" w:rsidP="00321511">
            <w:pPr>
              <w:autoSpaceDE/>
              <w:autoSpaceDN/>
              <w:adjustRightInd/>
              <w:spacing w:before="0" w:after="0"/>
              <w:jc w:val="right"/>
              <w:rPr>
                <w:rFonts w:eastAsia="Times New Roman" w:cs="Arial"/>
                <w:sz w:val="20"/>
                <w:szCs w:val="20"/>
                <w:lang w:eastAsia="en-GB"/>
              </w:rPr>
            </w:pPr>
            <w:r w:rsidRPr="006A6598">
              <w:rPr>
                <w:rFonts w:eastAsia="Times New Roman" w:cs="Arial"/>
                <w:sz w:val="20"/>
                <w:szCs w:val="20"/>
                <w:lang w:eastAsia="en-GB"/>
              </w:rPr>
              <w:t>6.1</w:t>
            </w:r>
          </w:p>
        </w:tc>
      </w:tr>
      <w:tr w:rsidR="00321511" w:rsidRPr="002F17B5" w:rsidTr="00321511">
        <w:trPr>
          <w:trHeight w:val="223"/>
        </w:trPr>
        <w:tc>
          <w:tcPr>
            <w:tcW w:w="5495" w:type="dxa"/>
            <w:tcBorders>
              <w:top w:val="nil"/>
              <w:left w:val="single" w:sz="4" w:space="0" w:color="auto"/>
              <w:bottom w:val="nil"/>
              <w:right w:val="nil"/>
            </w:tcBorders>
            <w:shd w:val="clear" w:color="000000" w:fill="FFFFFF"/>
            <w:vAlign w:val="bottom"/>
            <w:hideMark/>
          </w:tcPr>
          <w:p w:rsidR="00321511" w:rsidRPr="002F17B5" w:rsidRDefault="00321511" w:rsidP="00321511">
            <w:pPr>
              <w:autoSpaceDE/>
              <w:autoSpaceDN/>
              <w:adjustRightInd/>
              <w:spacing w:before="0" w:after="0"/>
              <w:jc w:val="left"/>
              <w:rPr>
                <w:rFonts w:eastAsia="Times New Roman" w:cs="Arial"/>
                <w:b/>
                <w:bCs/>
                <w:color w:val="auto"/>
                <w:sz w:val="20"/>
                <w:szCs w:val="20"/>
                <w:lang w:eastAsia="en-GB"/>
              </w:rPr>
            </w:pPr>
            <w:r w:rsidRPr="002F17B5">
              <w:rPr>
                <w:rFonts w:eastAsia="Times New Roman" w:cs="Arial"/>
                <w:b/>
                <w:bCs/>
                <w:color w:val="auto"/>
                <w:sz w:val="20"/>
                <w:szCs w:val="20"/>
                <w:lang w:eastAsia="en-GB"/>
              </w:rPr>
              <w:t>Total Post Employment Benefit Charged to the Surplus or Deficit on the Provision of Services</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129.6</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85.1</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5.3</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6.1</w:t>
            </w:r>
          </w:p>
        </w:tc>
      </w:tr>
      <w:tr w:rsidR="00321511" w:rsidRPr="002F17B5" w:rsidTr="00321511">
        <w:trPr>
          <w:trHeight w:val="636"/>
        </w:trPr>
        <w:tc>
          <w:tcPr>
            <w:tcW w:w="5495" w:type="dxa"/>
            <w:tcBorders>
              <w:top w:val="nil"/>
              <w:left w:val="single" w:sz="4" w:space="0" w:color="auto"/>
              <w:bottom w:val="nil"/>
              <w:right w:val="nil"/>
            </w:tcBorders>
            <w:shd w:val="clear" w:color="000000" w:fill="FFFFFF"/>
            <w:vAlign w:val="bottom"/>
            <w:hideMark/>
          </w:tcPr>
          <w:p w:rsidR="00321511" w:rsidRPr="002F17B5" w:rsidRDefault="00321511" w:rsidP="00321511">
            <w:pPr>
              <w:autoSpaceDE/>
              <w:autoSpaceDN/>
              <w:adjustRightInd/>
              <w:spacing w:before="0" w:after="0"/>
              <w:jc w:val="left"/>
              <w:rPr>
                <w:rFonts w:eastAsia="Times New Roman" w:cs="Arial"/>
                <w:b/>
                <w:bCs/>
                <w:color w:val="auto"/>
                <w:sz w:val="20"/>
                <w:szCs w:val="20"/>
                <w:lang w:eastAsia="en-GB"/>
              </w:rPr>
            </w:pPr>
            <w:r w:rsidRPr="002F17B5">
              <w:rPr>
                <w:rFonts w:eastAsia="Times New Roman" w:cs="Arial"/>
                <w:b/>
                <w:bCs/>
                <w:color w:val="auto"/>
                <w:sz w:val="20"/>
                <w:szCs w:val="20"/>
                <w:lang w:eastAsia="en-GB"/>
              </w:rPr>
              <w:t>Other Post Employment Benefit Charged to the Comprehensive Income and Expenditure Statement</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 </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 </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 </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b/>
                <w:bCs/>
                <w:sz w:val="20"/>
                <w:szCs w:val="20"/>
                <w:lang w:eastAsia="en-GB"/>
              </w:rPr>
            </w:pPr>
            <w:r w:rsidRPr="002F17B5">
              <w:rPr>
                <w:rFonts w:eastAsia="Times New Roman" w:cs="Arial"/>
                <w:b/>
                <w:bCs/>
                <w:sz w:val="20"/>
                <w:szCs w:val="20"/>
                <w:lang w:eastAsia="en-GB"/>
              </w:rPr>
              <w:t> </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6A6598" w:rsidRDefault="00260A00" w:rsidP="00321511">
            <w:pPr>
              <w:autoSpaceDE/>
              <w:autoSpaceDN/>
              <w:adjustRightInd/>
              <w:spacing w:before="0" w:after="0"/>
              <w:jc w:val="left"/>
              <w:rPr>
                <w:rFonts w:eastAsia="Times New Roman" w:cs="Arial"/>
                <w:b/>
                <w:sz w:val="20"/>
                <w:szCs w:val="20"/>
                <w:lang w:eastAsia="en-GB"/>
              </w:rPr>
            </w:pPr>
            <w:proofErr w:type="spellStart"/>
            <w:r w:rsidRPr="006A6598">
              <w:rPr>
                <w:rFonts w:eastAsia="Times New Roman" w:cs="Arial"/>
                <w:b/>
                <w:sz w:val="20"/>
                <w:szCs w:val="20"/>
                <w:lang w:eastAsia="en-GB"/>
              </w:rPr>
              <w:t>Remeasurement</w:t>
            </w:r>
            <w:proofErr w:type="spellEnd"/>
            <w:r w:rsidRPr="006A6598">
              <w:rPr>
                <w:rFonts w:eastAsia="Times New Roman" w:cs="Arial"/>
                <w:b/>
                <w:sz w:val="20"/>
                <w:szCs w:val="20"/>
                <w:lang w:eastAsia="en-GB"/>
              </w:rPr>
              <w:t xml:space="preserve"> of the net defined benefit liability, comprising:</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B4527F" w:rsidP="00321511">
            <w:pPr>
              <w:autoSpaceDE/>
              <w:autoSpaceDN/>
              <w:adjustRightInd/>
              <w:spacing w:before="0" w:after="0"/>
              <w:jc w:val="left"/>
              <w:rPr>
                <w:rFonts w:eastAsia="Times New Roman" w:cs="Arial"/>
                <w:sz w:val="20"/>
                <w:szCs w:val="20"/>
                <w:lang w:eastAsia="en-GB"/>
              </w:rPr>
            </w:pPr>
            <w:r w:rsidRPr="006A6598">
              <w:rPr>
                <w:rFonts w:eastAsia="Times New Roman" w:cs="Arial"/>
                <w:sz w:val="20"/>
                <w:szCs w:val="20"/>
                <w:lang w:eastAsia="en-GB"/>
              </w:rPr>
              <w:t>Return on plan assets (excluding the amount included in the net interest expense</w:t>
            </w:r>
            <w:r w:rsidRPr="002F17B5" w:rsidDel="00260A00">
              <w:rPr>
                <w:rFonts w:eastAsia="Times New Roman" w:cs="Arial"/>
                <w:sz w:val="20"/>
                <w:szCs w:val="20"/>
                <w:lang w:eastAsia="en-GB"/>
              </w:rPr>
              <w:t xml:space="preserve"> </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(4.5)</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(165.8)</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Experience (gains)/losses on liabilities</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(45.5)</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134" w:type="dxa"/>
            <w:tcBorders>
              <w:top w:val="nil"/>
              <w:left w:val="nil"/>
              <w:bottom w:val="nil"/>
              <w:right w:val="nil"/>
            </w:tcBorders>
            <w:shd w:val="clear" w:color="000000" w:fill="FFFFFF"/>
            <w:noWrap/>
            <w:vAlign w:val="bottom"/>
            <w:hideMark/>
          </w:tcPr>
          <w:p w:rsidR="00321511" w:rsidRPr="002F17B5" w:rsidRDefault="00321511" w:rsidP="00081800">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w:t>
            </w:r>
            <w:r w:rsidR="00F24A0D">
              <w:rPr>
                <w:rFonts w:eastAsia="Times New Roman" w:cs="Arial"/>
                <w:sz w:val="20"/>
                <w:szCs w:val="20"/>
                <w:lang w:eastAsia="en-GB"/>
              </w:rPr>
              <w:t>2</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260A00" w:rsidP="005A56D4">
            <w:pPr>
              <w:autoSpaceDE/>
              <w:autoSpaceDN/>
              <w:adjustRightInd/>
              <w:spacing w:before="0" w:after="0"/>
              <w:jc w:val="left"/>
              <w:rPr>
                <w:rFonts w:eastAsia="Times New Roman" w:cs="Arial"/>
                <w:sz w:val="20"/>
                <w:szCs w:val="20"/>
                <w:lang w:eastAsia="en-GB"/>
              </w:rPr>
            </w:pPr>
            <w:r w:rsidRPr="006A6598">
              <w:rPr>
                <w:rFonts w:eastAsia="Times New Roman" w:cs="Arial"/>
                <w:sz w:val="20"/>
                <w:szCs w:val="20"/>
                <w:lang w:eastAsia="en-GB"/>
              </w:rPr>
              <w:t xml:space="preserve">Actuarial (gains)/losses arising </w:t>
            </w:r>
            <w:r w:rsidR="00147DA5">
              <w:rPr>
                <w:rFonts w:eastAsia="Times New Roman" w:cs="Arial"/>
                <w:sz w:val="20"/>
                <w:szCs w:val="20"/>
                <w:lang w:eastAsia="en-GB"/>
              </w:rPr>
              <w:t>from</w:t>
            </w:r>
            <w:r w:rsidRPr="006A6598">
              <w:rPr>
                <w:rFonts w:eastAsia="Times New Roman" w:cs="Arial"/>
                <w:sz w:val="20"/>
                <w:szCs w:val="20"/>
                <w:lang w:eastAsia="en-GB"/>
              </w:rPr>
              <w:t xml:space="preserve"> changes in financial assumptions</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(232.</w:t>
            </w:r>
            <w:r w:rsidR="00F5435A">
              <w:rPr>
                <w:rFonts w:eastAsia="Times New Roman" w:cs="Arial"/>
                <w:sz w:val="20"/>
                <w:szCs w:val="20"/>
                <w:lang w:eastAsia="en-GB"/>
              </w:rPr>
              <w:t>8</w:t>
            </w:r>
            <w:r w:rsidRPr="002F17B5">
              <w:rPr>
                <w:rFonts w:eastAsia="Times New Roman" w:cs="Arial"/>
                <w:sz w:val="20"/>
                <w:szCs w:val="20"/>
                <w:lang w:eastAsia="en-GB"/>
              </w:rPr>
              <w:t>)</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292.4</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(7.9)</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15.9</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260A00" w:rsidP="005A56D4">
            <w:pPr>
              <w:autoSpaceDE/>
              <w:autoSpaceDN/>
              <w:adjustRightInd/>
              <w:spacing w:before="0" w:after="0"/>
              <w:jc w:val="left"/>
              <w:rPr>
                <w:rFonts w:eastAsia="Times New Roman" w:cs="Arial"/>
                <w:sz w:val="20"/>
                <w:szCs w:val="20"/>
                <w:lang w:eastAsia="en-GB"/>
              </w:rPr>
            </w:pPr>
            <w:r w:rsidRPr="006A6598">
              <w:rPr>
                <w:rFonts w:eastAsia="Times New Roman" w:cs="Arial"/>
                <w:sz w:val="20"/>
                <w:szCs w:val="20"/>
                <w:lang w:eastAsia="en-GB"/>
              </w:rPr>
              <w:t xml:space="preserve">Actuarial </w:t>
            </w:r>
            <w:r w:rsidR="00B4527F">
              <w:rPr>
                <w:rFonts w:eastAsia="Times New Roman" w:cs="Arial"/>
                <w:sz w:val="20"/>
                <w:szCs w:val="20"/>
                <w:lang w:eastAsia="en-GB"/>
              </w:rPr>
              <w:t>(gains)/</w:t>
            </w:r>
            <w:r w:rsidRPr="006A6598">
              <w:rPr>
                <w:rFonts w:eastAsia="Times New Roman" w:cs="Arial"/>
                <w:sz w:val="20"/>
                <w:szCs w:val="20"/>
                <w:lang w:eastAsia="en-GB"/>
              </w:rPr>
              <w:t xml:space="preserve">losses arising </w:t>
            </w:r>
            <w:r w:rsidR="00147DA5">
              <w:rPr>
                <w:rFonts w:eastAsia="Times New Roman" w:cs="Arial"/>
                <w:sz w:val="20"/>
                <w:szCs w:val="20"/>
                <w:lang w:eastAsia="en-GB"/>
              </w:rPr>
              <w:t>from</w:t>
            </w:r>
            <w:r w:rsidRPr="006A6598">
              <w:rPr>
                <w:rFonts w:eastAsia="Times New Roman" w:cs="Arial"/>
                <w:sz w:val="20"/>
                <w:szCs w:val="20"/>
                <w:lang w:eastAsia="en-GB"/>
              </w:rPr>
              <w:t xml:space="preserve"> changes in demographic assumptions</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13.1</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29.0</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2.6</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1.9</w:t>
            </w:r>
          </w:p>
        </w:tc>
      </w:tr>
      <w:tr w:rsidR="00321511" w:rsidRPr="002F17B5" w:rsidTr="00321511">
        <w:trPr>
          <w:trHeight w:val="624"/>
        </w:trPr>
        <w:tc>
          <w:tcPr>
            <w:tcW w:w="5495" w:type="dxa"/>
            <w:tcBorders>
              <w:top w:val="nil"/>
              <w:left w:val="single" w:sz="4" w:space="0" w:color="auto"/>
              <w:bottom w:val="nil"/>
              <w:right w:val="nil"/>
            </w:tcBorders>
            <w:shd w:val="clear" w:color="000000" w:fill="FFFFFF"/>
            <w:vAlign w:val="bottom"/>
            <w:hideMark/>
          </w:tcPr>
          <w:p w:rsidR="00321511" w:rsidRPr="002F17B5" w:rsidRDefault="00321511" w:rsidP="00321511">
            <w:pPr>
              <w:autoSpaceDE/>
              <w:autoSpaceDN/>
              <w:adjustRightInd/>
              <w:spacing w:before="0" w:after="0"/>
              <w:jc w:val="left"/>
              <w:rPr>
                <w:rFonts w:eastAsia="Times New Roman" w:cs="Arial"/>
                <w:b/>
                <w:bCs/>
                <w:color w:val="auto"/>
                <w:sz w:val="20"/>
                <w:szCs w:val="20"/>
                <w:lang w:eastAsia="en-GB"/>
              </w:rPr>
            </w:pPr>
            <w:r w:rsidRPr="002F17B5">
              <w:rPr>
                <w:rFonts w:eastAsia="Times New Roman" w:cs="Arial"/>
                <w:b/>
                <w:bCs/>
                <w:color w:val="auto"/>
                <w:sz w:val="20"/>
                <w:szCs w:val="20"/>
                <w:lang w:eastAsia="en-GB"/>
              </w:rPr>
              <w:t>Total Post Employment Benefit Charged to the Comprehensive Income and Expenditure Statement</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(140.1)</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240.7</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1.2</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b/>
                <w:bCs/>
                <w:sz w:val="20"/>
                <w:szCs w:val="20"/>
                <w:lang w:eastAsia="en-GB"/>
              </w:rPr>
            </w:pPr>
            <w:r w:rsidRPr="002F17B5">
              <w:rPr>
                <w:rFonts w:eastAsia="Times New Roman" w:cs="Arial"/>
                <w:b/>
                <w:bCs/>
                <w:sz w:val="20"/>
                <w:szCs w:val="20"/>
                <w:lang w:eastAsia="en-GB"/>
              </w:rPr>
              <w:t>23.8</w:t>
            </w:r>
          </w:p>
        </w:tc>
      </w:tr>
      <w:tr w:rsidR="00321511" w:rsidRPr="002F17B5" w:rsidTr="00321511">
        <w:trPr>
          <w:trHeight w:val="300"/>
        </w:trPr>
        <w:tc>
          <w:tcPr>
            <w:tcW w:w="5495" w:type="dxa"/>
            <w:tcBorders>
              <w:top w:val="nil"/>
              <w:left w:val="single" w:sz="4" w:space="0" w:color="auto"/>
              <w:bottom w:val="nil"/>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b/>
                <w:bCs/>
                <w:color w:val="auto"/>
                <w:sz w:val="20"/>
                <w:szCs w:val="20"/>
                <w:lang w:eastAsia="en-GB"/>
              </w:rPr>
            </w:pPr>
            <w:r w:rsidRPr="002F17B5">
              <w:rPr>
                <w:rFonts w:eastAsia="Times New Roman" w:cs="Arial"/>
                <w:b/>
                <w:bCs/>
                <w:color w:val="auto"/>
                <w:sz w:val="20"/>
                <w:szCs w:val="20"/>
                <w:lang w:eastAsia="en-GB"/>
              </w:rPr>
              <w:t>Movement in Reserves Statement</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r>
      <w:tr w:rsidR="00321511" w:rsidRPr="002F17B5" w:rsidTr="00321511">
        <w:trPr>
          <w:trHeight w:val="510"/>
        </w:trPr>
        <w:tc>
          <w:tcPr>
            <w:tcW w:w="5495" w:type="dxa"/>
            <w:tcBorders>
              <w:top w:val="nil"/>
              <w:left w:val="single" w:sz="4" w:space="0" w:color="auto"/>
              <w:bottom w:val="nil"/>
              <w:right w:val="nil"/>
            </w:tcBorders>
            <w:shd w:val="clear" w:color="000000" w:fill="FFFFFF"/>
            <w:vAlign w:val="bottom"/>
            <w:hideMark/>
          </w:tcPr>
          <w:p w:rsidR="00321511" w:rsidRPr="002F17B5" w:rsidRDefault="00260A00" w:rsidP="00321511">
            <w:pPr>
              <w:autoSpaceDE/>
              <w:autoSpaceDN/>
              <w:adjustRightInd/>
              <w:spacing w:before="0" w:after="0"/>
              <w:jc w:val="left"/>
              <w:rPr>
                <w:rFonts w:eastAsia="Times New Roman" w:cs="Arial"/>
                <w:sz w:val="20"/>
                <w:szCs w:val="20"/>
                <w:lang w:eastAsia="en-GB"/>
              </w:rPr>
            </w:pPr>
            <w:r w:rsidRPr="006A6598">
              <w:rPr>
                <w:rFonts w:eastAsia="Times New Roman" w:cs="Arial"/>
                <w:sz w:val="20"/>
                <w:szCs w:val="20"/>
                <w:lang w:eastAsia="en-GB"/>
              </w:rPr>
              <w:t>Reversal of net charges made to the (Surplus)/Deficit on the Provision of Services for post employment benefits in accordance with the Code</w:t>
            </w:r>
          </w:p>
        </w:tc>
        <w:tc>
          <w:tcPr>
            <w:tcW w:w="1417"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129.6</w:t>
            </w:r>
          </w:p>
        </w:tc>
        <w:tc>
          <w:tcPr>
            <w:tcW w:w="1418"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85.1</w:t>
            </w:r>
          </w:p>
        </w:tc>
        <w:tc>
          <w:tcPr>
            <w:tcW w:w="1134" w:type="dxa"/>
            <w:tcBorders>
              <w:top w:val="nil"/>
              <w:left w:val="nil"/>
              <w:bottom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5.3</w:t>
            </w:r>
          </w:p>
        </w:tc>
        <w:tc>
          <w:tcPr>
            <w:tcW w:w="1276" w:type="dxa"/>
            <w:tcBorders>
              <w:top w:val="nil"/>
              <w:left w:val="nil"/>
              <w:bottom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6.1</w:t>
            </w:r>
          </w:p>
        </w:tc>
      </w:tr>
      <w:tr w:rsidR="00321511" w:rsidRPr="002F17B5" w:rsidTr="00321511">
        <w:trPr>
          <w:trHeight w:val="510"/>
        </w:trPr>
        <w:tc>
          <w:tcPr>
            <w:tcW w:w="5495" w:type="dxa"/>
            <w:tcBorders>
              <w:top w:val="nil"/>
              <w:left w:val="single" w:sz="4" w:space="0" w:color="auto"/>
              <w:right w:val="nil"/>
            </w:tcBorders>
            <w:shd w:val="clear" w:color="000000" w:fill="FFFFFF"/>
            <w:vAlign w:val="bottom"/>
            <w:hideMark/>
          </w:tcPr>
          <w:p w:rsidR="00321511" w:rsidRPr="002F17B5" w:rsidRDefault="00321511" w:rsidP="00321511">
            <w:pPr>
              <w:autoSpaceDE/>
              <w:autoSpaceDN/>
              <w:adjustRightInd/>
              <w:spacing w:before="0" w:after="0"/>
              <w:jc w:val="left"/>
              <w:rPr>
                <w:rFonts w:eastAsia="Times New Roman" w:cs="Arial"/>
                <w:b/>
                <w:bCs/>
                <w:color w:val="auto"/>
                <w:sz w:val="20"/>
                <w:szCs w:val="20"/>
                <w:lang w:eastAsia="en-GB"/>
              </w:rPr>
            </w:pPr>
            <w:r w:rsidRPr="002F17B5">
              <w:rPr>
                <w:rFonts w:eastAsia="Times New Roman" w:cs="Arial"/>
                <w:b/>
                <w:bCs/>
                <w:color w:val="auto"/>
                <w:sz w:val="20"/>
                <w:szCs w:val="20"/>
                <w:lang w:eastAsia="en-GB"/>
              </w:rPr>
              <w:t xml:space="preserve">Actual amount charged against the general fund balance for pensions in </w:t>
            </w:r>
            <w:r w:rsidR="00260A00">
              <w:rPr>
                <w:rFonts w:eastAsia="Times New Roman" w:cs="Arial"/>
                <w:b/>
                <w:bCs/>
                <w:color w:val="auto"/>
                <w:sz w:val="20"/>
                <w:szCs w:val="20"/>
                <w:lang w:eastAsia="en-GB"/>
              </w:rPr>
              <w:t xml:space="preserve">the </w:t>
            </w:r>
            <w:r w:rsidRPr="002F17B5">
              <w:rPr>
                <w:rFonts w:eastAsia="Times New Roman" w:cs="Arial"/>
                <w:b/>
                <w:bCs/>
                <w:color w:val="auto"/>
                <w:sz w:val="20"/>
                <w:szCs w:val="20"/>
                <w:lang w:eastAsia="en-GB"/>
              </w:rPr>
              <w:t>year</w:t>
            </w:r>
          </w:p>
        </w:tc>
        <w:tc>
          <w:tcPr>
            <w:tcW w:w="1417" w:type="dxa"/>
            <w:tcBorders>
              <w:top w:val="nil"/>
              <w:left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418" w:type="dxa"/>
            <w:tcBorders>
              <w:top w:val="nil"/>
              <w:left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134" w:type="dxa"/>
            <w:tcBorders>
              <w:top w:val="nil"/>
              <w:left w:val="nil"/>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 </w:t>
            </w:r>
          </w:p>
        </w:tc>
        <w:tc>
          <w:tcPr>
            <w:tcW w:w="1276" w:type="dxa"/>
            <w:tcBorders>
              <w:top w:val="nil"/>
              <w:left w:val="nil"/>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 </w:t>
            </w:r>
          </w:p>
        </w:tc>
      </w:tr>
      <w:tr w:rsidR="00321511" w:rsidRPr="002F17B5" w:rsidTr="00321511">
        <w:trPr>
          <w:trHeight w:val="300"/>
        </w:trPr>
        <w:tc>
          <w:tcPr>
            <w:tcW w:w="5495" w:type="dxa"/>
            <w:tcBorders>
              <w:top w:val="nil"/>
              <w:left w:val="single" w:sz="4" w:space="0" w:color="auto"/>
              <w:bottom w:val="single" w:sz="4" w:space="0" w:color="auto"/>
              <w:right w:val="nil"/>
            </w:tcBorders>
            <w:shd w:val="clear" w:color="000000" w:fill="FFFFFF"/>
            <w:noWrap/>
            <w:vAlign w:val="bottom"/>
            <w:hideMark/>
          </w:tcPr>
          <w:p w:rsidR="00321511" w:rsidRPr="002F17B5" w:rsidRDefault="00321511" w:rsidP="00321511">
            <w:pPr>
              <w:autoSpaceDE/>
              <w:autoSpaceDN/>
              <w:adjustRightInd/>
              <w:spacing w:before="0" w:after="0"/>
              <w:jc w:val="left"/>
              <w:rPr>
                <w:rFonts w:eastAsia="Times New Roman" w:cs="Arial"/>
                <w:sz w:val="20"/>
                <w:szCs w:val="20"/>
                <w:lang w:eastAsia="en-GB"/>
              </w:rPr>
            </w:pPr>
            <w:r w:rsidRPr="002F17B5">
              <w:rPr>
                <w:rFonts w:eastAsia="Times New Roman" w:cs="Arial"/>
                <w:sz w:val="20"/>
                <w:szCs w:val="20"/>
                <w:lang w:eastAsia="en-GB"/>
              </w:rPr>
              <w:t>Employers contributions payable to the scheme</w:t>
            </w:r>
          </w:p>
        </w:tc>
        <w:tc>
          <w:tcPr>
            <w:tcW w:w="1417" w:type="dxa"/>
            <w:tcBorders>
              <w:top w:val="nil"/>
              <w:left w:val="nil"/>
              <w:bottom w:val="single" w:sz="4" w:space="0" w:color="auto"/>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71.9</w:t>
            </w:r>
          </w:p>
        </w:tc>
        <w:tc>
          <w:tcPr>
            <w:tcW w:w="1418" w:type="dxa"/>
            <w:tcBorders>
              <w:top w:val="nil"/>
              <w:left w:val="nil"/>
              <w:bottom w:val="single" w:sz="4" w:space="0" w:color="auto"/>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65.9</w:t>
            </w:r>
          </w:p>
        </w:tc>
        <w:tc>
          <w:tcPr>
            <w:tcW w:w="1134" w:type="dxa"/>
            <w:tcBorders>
              <w:top w:val="nil"/>
              <w:left w:val="nil"/>
              <w:bottom w:val="single" w:sz="4" w:space="0" w:color="auto"/>
              <w:right w:val="nil"/>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11.2</w:t>
            </w:r>
          </w:p>
        </w:tc>
        <w:tc>
          <w:tcPr>
            <w:tcW w:w="1276" w:type="dxa"/>
            <w:tcBorders>
              <w:top w:val="nil"/>
              <w:left w:val="nil"/>
              <w:bottom w:val="single" w:sz="4" w:space="0" w:color="auto"/>
              <w:right w:val="single" w:sz="4" w:space="0" w:color="auto"/>
            </w:tcBorders>
            <w:shd w:val="clear" w:color="000000" w:fill="FFFFFF"/>
            <w:noWrap/>
            <w:vAlign w:val="bottom"/>
            <w:hideMark/>
          </w:tcPr>
          <w:p w:rsidR="00321511" w:rsidRPr="002F17B5" w:rsidRDefault="00321511" w:rsidP="00321511">
            <w:pPr>
              <w:autoSpaceDE/>
              <w:autoSpaceDN/>
              <w:adjustRightInd/>
              <w:spacing w:before="0" w:after="0"/>
              <w:jc w:val="right"/>
              <w:rPr>
                <w:rFonts w:eastAsia="Times New Roman" w:cs="Arial"/>
                <w:sz w:val="20"/>
                <w:szCs w:val="20"/>
                <w:lang w:eastAsia="en-GB"/>
              </w:rPr>
            </w:pPr>
            <w:r w:rsidRPr="002F17B5">
              <w:rPr>
                <w:rFonts w:eastAsia="Times New Roman" w:cs="Arial"/>
                <w:sz w:val="20"/>
                <w:szCs w:val="20"/>
                <w:lang w:eastAsia="en-GB"/>
              </w:rPr>
              <w:t>11.1</w:t>
            </w:r>
          </w:p>
        </w:tc>
      </w:tr>
    </w:tbl>
    <w:p w:rsidR="006516BF" w:rsidRDefault="006516BF" w:rsidP="00F24A0D">
      <w:pPr>
        <w:spacing w:after="240"/>
        <w:ind w:left="720" w:hanging="720"/>
        <w:rPr>
          <w:sz w:val="22"/>
          <w:szCs w:val="22"/>
        </w:rPr>
      </w:pPr>
    </w:p>
    <w:p w:rsidR="00F24A0D" w:rsidRPr="00DB314D" w:rsidRDefault="00F24A0D" w:rsidP="00F24A0D">
      <w:pPr>
        <w:spacing w:after="240"/>
        <w:ind w:left="720" w:hanging="720"/>
        <w:rPr>
          <w:sz w:val="22"/>
          <w:szCs w:val="22"/>
        </w:rPr>
      </w:pPr>
      <w:r w:rsidRPr="006A6598">
        <w:rPr>
          <w:sz w:val="22"/>
          <w:szCs w:val="22"/>
        </w:rPr>
        <w:t>* The above table has been amended in light of the revised reporting requirements</w:t>
      </w:r>
    </w:p>
    <w:p w:rsidR="002359B6" w:rsidRPr="002F17B5" w:rsidRDefault="002359B6" w:rsidP="002359B6">
      <w:pPr>
        <w:rPr>
          <w:rFonts w:cs="Arial"/>
          <w:b/>
          <w:lang w:eastAsia="en-GB"/>
        </w:rPr>
      </w:pPr>
      <w:r w:rsidRPr="002F17B5">
        <w:rPr>
          <w:rFonts w:cs="Arial"/>
          <w:b/>
          <w:lang w:eastAsia="en-GB"/>
        </w:rPr>
        <w:t xml:space="preserve">Investment Risks </w:t>
      </w:r>
    </w:p>
    <w:p w:rsidR="00F167C1" w:rsidRPr="00321511" w:rsidRDefault="00F167C1" w:rsidP="002359B6">
      <w:pPr>
        <w:rPr>
          <w:rFonts w:cs="Arial"/>
          <w:sz w:val="2"/>
          <w:lang w:eastAsia="en-GB"/>
        </w:rPr>
      </w:pPr>
    </w:p>
    <w:p w:rsidR="002359B6" w:rsidRPr="002F17B5" w:rsidRDefault="002359B6" w:rsidP="002359B6">
      <w:pPr>
        <w:rPr>
          <w:rFonts w:cs="Arial"/>
          <w:lang w:eastAsia="en-GB"/>
        </w:rPr>
      </w:pPr>
      <w:r w:rsidRPr="002F17B5">
        <w:rPr>
          <w:rFonts w:cs="Arial"/>
          <w:lang w:eastAsia="en-GB"/>
        </w:rPr>
        <w:t xml:space="preserve">There are no investment risks in relation to these arrangements, given their unfunded nature.  The greatest single risk is that the government could change the funding standards relating to them, which could increase the authority’s contributions to them. </w:t>
      </w:r>
    </w:p>
    <w:p w:rsidR="008950FD" w:rsidRPr="002F17B5" w:rsidRDefault="008950FD" w:rsidP="002359B6">
      <w:pPr>
        <w:rPr>
          <w:rFonts w:cs="Arial"/>
          <w:b/>
          <w:lang w:eastAsia="en-GB"/>
        </w:rPr>
      </w:pPr>
    </w:p>
    <w:p w:rsidR="002359B6" w:rsidRPr="002F17B5" w:rsidRDefault="002359B6" w:rsidP="002359B6">
      <w:pPr>
        <w:rPr>
          <w:rFonts w:cs="Arial"/>
          <w:b/>
          <w:lang w:eastAsia="en-GB"/>
        </w:rPr>
      </w:pPr>
      <w:r w:rsidRPr="002F17B5">
        <w:rPr>
          <w:rFonts w:cs="Arial"/>
          <w:b/>
          <w:lang w:eastAsia="en-GB"/>
        </w:rPr>
        <w:lastRenderedPageBreak/>
        <w:t>Other risks</w:t>
      </w:r>
    </w:p>
    <w:p w:rsidR="002359B6" w:rsidRPr="002F17B5" w:rsidRDefault="002359B6" w:rsidP="000F3545">
      <w:pPr>
        <w:rPr>
          <w:b/>
        </w:rPr>
      </w:pPr>
      <w:r w:rsidRPr="002F17B5">
        <w:rPr>
          <w:rFonts w:cs="Arial"/>
          <w:lang w:eastAsia="en-GB"/>
        </w:rPr>
        <w:t>There is a risk that changes in the assumptions (e.g. life expectancy, price inflation, discount rate) could increase the defined benefit obligation. Other assumptions used to value the defined benefit obligation are also uncertain, although their effect is less material.  The sensitivity analysis above indicates the change in the defined benefit obligation for changes in the key assumptions.</w:t>
      </w:r>
    </w:p>
    <w:p w:rsidR="002359B6" w:rsidRPr="002F17B5" w:rsidRDefault="002359B6" w:rsidP="002359B6">
      <w:pPr>
        <w:spacing w:after="240"/>
        <w:rPr>
          <w:b/>
        </w:rPr>
      </w:pPr>
      <w:bookmarkStart w:id="3" w:name="OLE_LINK2"/>
      <w:r w:rsidRPr="002F17B5">
        <w:rPr>
          <w:b/>
        </w:rPr>
        <w:t>Transactions relating to retirement benefits</w:t>
      </w:r>
      <w:r w:rsidR="00293B06">
        <w:rPr>
          <w:b/>
        </w:rPr>
        <w:t xml:space="preserve"> </w:t>
      </w:r>
    </w:p>
    <w:p w:rsidR="002359B6" w:rsidRPr="002F17B5" w:rsidRDefault="002359B6" w:rsidP="002359B6">
      <w:pPr>
        <w:spacing w:after="320"/>
      </w:pPr>
      <w:r w:rsidRPr="002F17B5">
        <w:t>We recognised the cost of retirement benefits in the surplus/deficit on continuing operations in the Comprehensive Income and Expenditure Statement, when they are earned by employees, rather than when the benefits are eventually paid as pensions.</w:t>
      </w:r>
    </w:p>
    <w:p w:rsidR="002359B6" w:rsidRPr="002F17B5" w:rsidRDefault="002359B6" w:rsidP="002359B6">
      <w:pPr>
        <w:spacing w:after="320"/>
      </w:pPr>
      <w:r w:rsidRPr="002F17B5">
        <w:t xml:space="preserve">However, the charge we are required to make against council tax is based on the cash payable in the year, so the International Accounting Standard 19 (IAS 19) cost of retirement benefits is reversed out in the Movement in Reserve Statement against the County Fund balance. </w:t>
      </w:r>
    </w:p>
    <w:p w:rsidR="002359B6" w:rsidRPr="002F17B5" w:rsidRDefault="002359B6" w:rsidP="002359B6">
      <w:pPr>
        <w:spacing w:after="320"/>
      </w:pPr>
      <w:r w:rsidRPr="002F17B5">
        <w:t>The following transactions have been made in the Comprehensive Income and Expenditure Statement and Movement in Reserves Statement during the year:</w:t>
      </w:r>
    </w:p>
    <w:p w:rsidR="002359B6" w:rsidRPr="002F17B5" w:rsidRDefault="002359B6" w:rsidP="002359B6">
      <w:pPr>
        <w:spacing w:after="320"/>
      </w:pPr>
      <w:r w:rsidRPr="002F17B5">
        <w:t>In 2013/14 we paid £45.9 million to the Department for Education for teachers' pension costs. This represents 14.1% of teachers' pensionable pay (£46.1 million and 14.1% in 2012/13). We also paid £0.5m in 2013/14 for NHS Public Health Staff transferred across from NHS from 1 April 2013 which represents 14% of pensionable pay.</w:t>
      </w:r>
    </w:p>
    <w:p w:rsidR="002359B6" w:rsidRPr="002F17B5" w:rsidRDefault="002359B6" w:rsidP="002359B6">
      <w:pPr>
        <w:spacing w:after="320"/>
      </w:pPr>
      <w:r w:rsidRPr="002F17B5">
        <w:t>We are also responsible for all discretionary pension payments we have awarded to teachers, together with related increases. In 2013/14 these amounted to £8.5 million, representing 2.6% of pensionable pay (£8.6 million and 2.6% in 2012/13).</w:t>
      </w:r>
    </w:p>
    <w:p w:rsidR="002359B6" w:rsidRPr="002F17B5" w:rsidRDefault="002359B6" w:rsidP="000F3545">
      <w:pPr>
        <w:spacing w:after="320" w:line="216" w:lineRule="auto"/>
      </w:pPr>
      <w:r w:rsidRPr="002F17B5">
        <w:t>In addition to the recognised gains and losses included in the Comprehensive Income and Expenditure Statement</w:t>
      </w:r>
      <w:r w:rsidRPr="005A56D4">
        <w:t xml:space="preserve">, </w:t>
      </w:r>
      <w:r w:rsidR="00AA33A9" w:rsidRPr="005A56D4">
        <w:t>a</w:t>
      </w:r>
      <w:r w:rsidR="00AA33A9" w:rsidRPr="006A6598">
        <w:t xml:space="preserve"> </w:t>
      </w:r>
      <w:proofErr w:type="spellStart"/>
      <w:r w:rsidR="00AA33A9" w:rsidRPr="006A6598">
        <w:t>remeasurement</w:t>
      </w:r>
      <w:proofErr w:type="spellEnd"/>
      <w:r w:rsidR="00AA33A9" w:rsidRPr="006A6598">
        <w:t xml:space="preserve"> of the net defined liability</w:t>
      </w:r>
      <w:r w:rsidR="00AA33A9" w:rsidRPr="005A56D4">
        <w:t xml:space="preserve"> gain </w:t>
      </w:r>
      <w:r w:rsidRPr="005A56D4">
        <w:t xml:space="preserve">of £273.8 million (£173.3 million loss in 2012/13) </w:t>
      </w:r>
      <w:r w:rsidR="007A2D31" w:rsidRPr="005A56D4">
        <w:t>w</w:t>
      </w:r>
      <w:r w:rsidR="007A2D31" w:rsidRPr="006A6598">
        <w:t>ere</w:t>
      </w:r>
      <w:r w:rsidR="007A2D31" w:rsidRPr="005A56D4">
        <w:t xml:space="preserve"> </w:t>
      </w:r>
      <w:r w:rsidRPr="005A56D4">
        <w:t>included. The cumulative amount of actuarial gains and losses recognised in the Comprehensive Income and Expenditure Statement</w:t>
      </w:r>
      <w:r w:rsidRPr="006A6598" w:rsidDel="00505318">
        <w:t xml:space="preserve"> </w:t>
      </w:r>
      <w:r w:rsidRPr="006A6598">
        <w:t>is a loss of £176.3</w:t>
      </w:r>
      <w:r w:rsidRPr="002F17B5">
        <w:t xml:space="preserve"> million.</w:t>
      </w:r>
      <w:r w:rsidR="00AA33A9" w:rsidRPr="00AA33A9">
        <w:rPr>
          <w:rFonts w:eastAsia="Times New Roman" w:cs="Arial"/>
          <w:sz w:val="20"/>
          <w:szCs w:val="20"/>
          <w:lang w:eastAsia="en-GB"/>
        </w:rPr>
        <w:t xml:space="preserve"> </w:t>
      </w:r>
    </w:p>
    <w:bookmarkEnd w:id="3"/>
    <w:p w:rsidR="002359B6" w:rsidRPr="002F17B5" w:rsidRDefault="002359B6" w:rsidP="000F3545">
      <w:pPr>
        <w:spacing w:after="240" w:line="216" w:lineRule="auto"/>
        <w:rPr>
          <w:b/>
        </w:rPr>
      </w:pPr>
      <w:r w:rsidRPr="002F17B5">
        <w:rPr>
          <w:b/>
        </w:rPr>
        <w:t>Assets and liabilities in relation to retirement benefits</w:t>
      </w:r>
    </w:p>
    <w:tbl>
      <w:tblPr>
        <w:tblW w:w="10298" w:type="dxa"/>
        <w:tblInd w:w="108" w:type="dxa"/>
        <w:tblLook w:val="04A0" w:firstRow="1" w:lastRow="0" w:firstColumn="1" w:lastColumn="0" w:noHBand="0" w:noVBand="1"/>
      </w:tblPr>
      <w:tblGrid>
        <w:gridCol w:w="5387"/>
        <w:gridCol w:w="1701"/>
        <w:gridCol w:w="1559"/>
        <w:gridCol w:w="567"/>
        <w:gridCol w:w="1084"/>
      </w:tblGrid>
      <w:tr w:rsidR="002359B6" w:rsidRPr="002F17B5" w:rsidTr="008950FD">
        <w:trPr>
          <w:trHeight w:val="330"/>
        </w:trPr>
        <w:tc>
          <w:tcPr>
            <w:tcW w:w="9214" w:type="dxa"/>
            <w:gridSpan w:val="4"/>
            <w:shd w:val="clear" w:color="auto" w:fill="auto"/>
            <w:noWrap/>
            <w:vAlign w:val="bottom"/>
            <w:hideMark/>
          </w:tcPr>
          <w:p w:rsidR="002359B6" w:rsidRPr="002F17B5" w:rsidRDefault="002359B6" w:rsidP="002359B6">
            <w:pPr>
              <w:autoSpaceDE/>
              <w:autoSpaceDN/>
              <w:adjustRightInd/>
              <w:spacing w:before="0" w:after="0"/>
              <w:rPr>
                <w:rFonts w:eastAsia="Times New Roman" w:cs="Arial"/>
                <w:b/>
                <w:bCs/>
                <w:sz w:val="12"/>
                <w:lang w:eastAsia="en-GB"/>
              </w:rPr>
            </w:pPr>
          </w:p>
          <w:p w:rsidR="002359B6" w:rsidRPr="002F17B5" w:rsidRDefault="002359B6" w:rsidP="002359B6">
            <w:pPr>
              <w:autoSpaceDE/>
              <w:autoSpaceDN/>
              <w:adjustRightInd/>
              <w:spacing w:before="0" w:after="0"/>
              <w:rPr>
                <w:rFonts w:eastAsia="Times New Roman" w:cs="Arial"/>
                <w:b/>
                <w:bCs/>
                <w:lang w:eastAsia="en-GB"/>
              </w:rPr>
            </w:pPr>
            <w:r w:rsidRPr="002F17B5">
              <w:rPr>
                <w:rFonts w:eastAsia="Times New Roman" w:cs="Arial"/>
                <w:b/>
                <w:bCs/>
                <w:lang w:eastAsia="en-GB"/>
              </w:rPr>
              <w:t xml:space="preserve">Reconciliation of </w:t>
            </w:r>
            <w:r w:rsidR="00260A00">
              <w:rPr>
                <w:rFonts w:eastAsia="Times New Roman" w:cs="Arial"/>
                <w:b/>
                <w:bCs/>
                <w:lang w:eastAsia="en-GB"/>
              </w:rPr>
              <w:t xml:space="preserve">the movements in </w:t>
            </w:r>
            <w:r w:rsidRPr="002F17B5">
              <w:rPr>
                <w:rFonts w:eastAsia="Times New Roman" w:cs="Arial"/>
                <w:b/>
                <w:bCs/>
                <w:lang w:eastAsia="en-GB"/>
              </w:rPr>
              <w:t>fair value of the scheme assets:</w:t>
            </w:r>
          </w:p>
          <w:p w:rsidR="002359B6" w:rsidRPr="002F17B5" w:rsidRDefault="002359B6" w:rsidP="002359B6">
            <w:pPr>
              <w:autoSpaceDE/>
              <w:autoSpaceDN/>
              <w:adjustRightInd/>
              <w:spacing w:before="0" w:after="0"/>
              <w:rPr>
                <w:rFonts w:eastAsia="Times New Roman" w:cs="Arial"/>
                <w:b/>
                <w:bCs/>
                <w:lang w:eastAsia="en-GB"/>
              </w:rPr>
            </w:pPr>
          </w:p>
          <w:p w:rsidR="002359B6" w:rsidRPr="002F17B5" w:rsidRDefault="002359B6" w:rsidP="002359B6">
            <w:pPr>
              <w:autoSpaceDE/>
              <w:autoSpaceDN/>
              <w:adjustRightInd/>
              <w:spacing w:before="0" w:after="0"/>
              <w:rPr>
                <w:rFonts w:eastAsia="Times New Roman" w:cs="Arial"/>
                <w:b/>
                <w:bCs/>
                <w:lang w:eastAsia="en-GB"/>
              </w:rPr>
            </w:pPr>
            <w:r w:rsidRPr="002F17B5">
              <w:rPr>
                <w:rFonts w:eastAsia="Times New Roman" w:cs="Arial"/>
                <w:b/>
                <w:bCs/>
                <w:lang w:eastAsia="en-GB"/>
              </w:rPr>
              <w:t>Lancashire County Pension Fund</w:t>
            </w:r>
          </w:p>
          <w:p w:rsidR="002359B6" w:rsidRPr="002F17B5" w:rsidRDefault="002359B6" w:rsidP="002359B6">
            <w:pPr>
              <w:autoSpaceDE/>
              <w:autoSpaceDN/>
              <w:adjustRightInd/>
              <w:spacing w:before="0" w:after="0"/>
              <w:rPr>
                <w:rFonts w:eastAsia="Times New Roman" w:cs="Arial"/>
                <w:b/>
                <w:bCs/>
                <w:lang w:eastAsia="en-GB"/>
              </w:rPr>
            </w:pPr>
          </w:p>
        </w:tc>
        <w:tc>
          <w:tcPr>
            <w:tcW w:w="1084" w:type="dxa"/>
            <w:shd w:val="clear" w:color="auto" w:fill="auto"/>
            <w:noWrap/>
            <w:vAlign w:val="bottom"/>
            <w:hideMark/>
          </w:tcPr>
          <w:p w:rsidR="002359B6" w:rsidRPr="002F17B5" w:rsidRDefault="002359B6" w:rsidP="002359B6">
            <w:pPr>
              <w:autoSpaceDE/>
              <w:autoSpaceDN/>
              <w:adjustRightInd/>
              <w:spacing w:before="0" w:after="0"/>
              <w:jc w:val="left"/>
              <w:rPr>
                <w:rFonts w:ascii="Calibri" w:eastAsia="Times New Roman" w:hAnsi="Calibri" w:cs="Arial"/>
                <w:color w:val="auto"/>
                <w:sz w:val="22"/>
                <w:lang w:eastAsia="en-GB"/>
              </w:rPr>
            </w:pPr>
            <w:r w:rsidRPr="002F17B5">
              <w:rPr>
                <w:rFonts w:ascii="Calibri" w:eastAsia="Times New Roman" w:hAnsi="Calibri" w:cs="Arial"/>
                <w:color w:val="auto"/>
                <w:sz w:val="22"/>
                <w:szCs w:val="22"/>
                <w:lang w:eastAsia="en-GB"/>
              </w:rPr>
              <w:t> </w:t>
            </w:r>
          </w:p>
        </w:tc>
      </w:tr>
      <w:tr w:rsidR="002359B6" w:rsidRPr="002F17B5" w:rsidTr="008950FD">
        <w:trPr>
          <w:gridAfter w:val="2"/>
          <w:wAfter w:w="1651" w:type="dxa"/>
          <w:trHeight w:val="315"/>
        </w:trPr>
        <w:tc>
          <w:tcPr>
            <w:tcW w:w="5387" w:type="dxa"/>
            <w:shd w:val="clear" w:color="000000" w:fill="FFFFFF"/>
            <w:noWrap/>
            <w:vAlign w:val="bottom"/>
            <w:hideMark/>
          </w:tcPr>
          <w:p w:rsidR="002359B6" w:rsidRPr="002F17B5" w:rsidRDefault="002359B6" w:rsidP="002359B6">
            <w:pPr>
              <w:autoSpaceDE/>
              <w:autoSpaceDN/>
              <w:adjustRightInd/>
              <w:spacing w:before="0" w:after="0"/>
              <w:jc w:val="left"/>
              <w:rPr>
                <w:rFonts w:ascii="Calibri" w:eastAsia="Times New Roman" w:hAnsi="Calibri" w:cs="Arial"/>
                <w:color w:val="auto"/>
                <w:sz w:val="22"/>
                <w:lang w:eastAsia="en-GB"/>
              </w:rPr>
            </w:pPr>
            <w:r w:rsidRPr="002F17B5">
              <w:rPr>
                <w:rFonts w:ascii="Calibri" w:eastAsia="Times New Roman" w:hAnsi="Calibri" w:cs="Arial"/>
                <w:color w:val="auto"/>
                <w:sz w:val="22"/>
                <w:szCs w:val="22"/>
                <w:lang w:eastAsia="en-GB"/>
              </w:rPr>
              <w:t> </w:t>
            </w:r>
          </w:p>
        </w:tc>
        <w:tc>
          <w:tcPr>
            <w:tcW w:w="1701"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b/>
                <w:bCs/>
                <w:lang w:eastAsia="en-GB"/>
              </w:rPr>
            </w:pPr>
            <w:r w:rsidRPr="002F17B5">
              <w:rPr>
                <w:rFonts w:eastAsia="Times New Roman" w:cs="Arial"/>
                <w:b/>
                <w:bCs/>
                <w:lang w:eastAsia="en-GB"/>
              </w:rPr>
              <w:t>2013/14</w:t>
            </w:r>
          </w:p>
        </w:tc>
        <w:tc>
          <w:tcPr>
            <w:tcW w:w="1559"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b/>
                <w:bCs/>
                <w:lang w:eastAsia="en-GB"/>
              </w:rPr>
            </w:pPr>
            <w:r w:rsidRPr="002F17B5">
              <w:rPr>
                <w:rFonts w:eastAsia="Times New Roman" w:cs="Arial"/>
                <w:b/>
                <w:bCs/>
                <w:lang w:eastAsia="en-GB"/>
              </w:rPr>
              <w:t>2012/13</w:t>
            </w:r>
          </w:p>
        </w:tc>
      </w:tr>
      <w:tr w:rsidR="002359B6" w:rsidRPr="002F17B5" w:rsidTr="008950FD">
        <w:trPr>
          <w:gridAfter w:val="2"/>
          <w:wAfter w:w="1651" w:type="dxa"/>
          <w:trHeight w:val="315"/>
        </w:trPr>
        <w:tc>
          <w:tcPr>
            <w:tcW w:w="5387" w:type="dxa"/>
            <w:shd w:val="clear" w:color="000000" w:fill="FFFFFF"/>
            <w:noWrap/>
            <w:vAlign w:val="bottom"/>
            <w:hideMark/>
          </w:tcPr>
          <w:p w:rsidR="002359B6" w:rsidRPr="002F17B5" w:rsidRDefault="002359B6" w:rsidP="002359B6">
            <w:pPr>
              <w:autoSpaceDE/>
              <w:autoSpaceDN/>
              <w:adjustRightInd/>
              <w:spacing w:before="0" w:after="0"/>
              <w:jc w:val="left"/>
              <w:rPr>
                <w:rFonts w:ascii="Calibri" w:eastAsia="Times New Roman" w:hAnsi="Calibri" w:cs="Arial"/>
                <w:color w:val="auto"/>
                <w:sz w:val="22"/>
                <w:lang w:eastAsia="en-GB"/>
              </w:rPr>
            </w:pPr>
            <w:r w:rsidRPr="002F17B5">
              <w:rPr>
                <w:rFonts w:ascii="Calibri" w:eastAsia="Times New Roman" w:hAnsi="Calibri" w:cs="Arial"/>
                <w:color w:val="auto"/>
                <w:sz w:val="22"/>
                <w:szCs w:val="22"/>
                <w:lang w:eastAsia="en-GB"/>
              </w:rPr>
              <w:t> </w:t>
            </w:r>
          </w:p>
        </w:tc>
        <w:tc>
          <w:tcPr>
            <w:tcW w:w="1701"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c>
          <w:tcPr>
            <w:tcW w:w="1559"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b/>
                <w:bCs/>
                <w:lang w:eastAsia="en-GB"/>
              </w:rPr>
            </w:pPr>
            <w:r w:rsidRPr="002F17B5">
              <w:rPr>
                <w:rFonts w:eastAsia="Times New Roman" w:cs="Arial"/>
                <w:b/>
                <w:bCs/>
                <w:lang w:eastAsia="en-GB"/>
              </w:rPr>
              <w:t>£m</w:t>
            </w:r>
          </w:p>
        </w:tc>
      </w:tr>
      <w:tr w:rsidR="002359B6" w:rsidRPr="002F17B5" w:rsidTr="008950FD">
        <w:trPr>
          <w:gridAfter w:val="2"/>
          <w:wAfter w:w="1651" w:type="dxa"/>
          <w:trHeight w:val="315"/>
        </w:trPr>
        <w:tc>
          <w:tcPr>
            <w:tcW w:w="5387" w:type="dxa"/>
            <w:shd w:val="clear" w:color="000000" w:fill="FFFFFF"/>
            <w:noWrap/>
            <w:vAlign w:val="bottom"/>
            <w:hideMark/>
          </w:tcPr>
          <w:p w:rsidR="002359B6" w:rsidRPr="002F17B5" w:rsidRDefault="00F342AF">
            <w:pPr>
              <w:autoSpaceDE/>
              <w:autoSpaceDN/>
              <w:adjustRightInd/>
              <w:spacing w:before="0" w:after="0"/>
              <w:rPr>
                <w:rFonts w:eastAsia="Times New Roman" w:cs="Arial"/>
                <w:b/>
                <w:bCs/>
                <w:lang w:eastAsia="en-GB"/>
              </w:rPr>
            </w:pPr>
            <w:r>
              <w:rPr>
                <w:rFonts w:eastAsia="Times New Roman" w:cs="Arial"/>
                <w:b/>
                <w:bCs/>
                <w:lang w:eastAsia="en-GB"/>
              </w:rPr>
              <w:t xml:space="preserve">Opening </w:t>
            </w:r>
            <w:r w:rsidR="008600DD">
              <w:rPr>
                <w:rFonts w:eastAsia="Times New Roman" w:cs="Arial"/>
                <w:b/>
                <w:bCs/>
                <w:lang w:eastAsia="en-GB"/>
              </w:rPr>
              <w:t>balance at 1 April</w:t>
            </w:r>
            <w:r w:rsidRPr="002F17B5" w:rsidDel="00F342AF">
              <w:rPr>
                <w:rFonts w:eastAsia="Times New Roman" w:cs="Arial"/>
                <w:b/>
                <w:bCs/>
                <w:lang w:eastAsia="en-GB"/>
              </w:rPr>
              <w:t xml:space="preserve"> </w:t>
            </w:r>
          </w:p>
        </w:tc>
        <w:tc>
          <w:tcPr>
            <w:tcW w:w="1701"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lang w:eastAsia="en-GB"/>
              </w:rPr>
            </w:pPr>
            <w:r w:rsidRPr="002F17B5">
              <w:rPr>
                <w:rFonts w:eastAsia="Times New Roman" w:cs="Arial"/>
                <w:lang w:eastAsia="en-GB"/>
              </w:rPr>
              <w:t>2,009.1</w:t>
            </w:r>
          </w:p>
        </w:tc>
        <w:tc>
          <w:tcPr>
            <w:tcW w:w="1559"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lang w:eastAsia="en-GB"/>
              </w:rPr>
            </w:pPr>
            <w:r w:rsidRPr="002F17B5">
              <w:rPr>
                <w:rFonts w:eastAsia="Times New Roman" w:cs="Arial"/>
                <w:lang w:eastAsia="en-GB"/>
              </w:rPr>
              <w:t>1,753.2</w:t>
            </w:r>
          </w:p>
        </w:tc>
      </w:tr>
      <w:tr w:rsidR="002359B6" w:rsidRPr="002F17B5" w:rsidTr="008950FD">
        <w:trPr>
          <w:gridAfter w:val="2"/>
          <w:wAfter w:w="1651" w:type="dxa"/>
          <w:trHeight w:val="300"/>
        </w:trPr>
        <w:tc>
          <w:tcPr>
            <w:tcW w:w="5387"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lang w:eastAsia="en-GB"/>
              </w:rPr>
            </w:pPr>
            <w:proofErr w:type="spellStart"/>
            <w:r w:rsidRPr="002F17B5">
              <w:rPr>
                <w:rFonts w:eastAsia="Times New Roman" w:cs="Arial"/>
                <w:lang w:eastAsia="en-GB"/>
              </w:rPr>
              <w:t>Remeasurement</w:t>
            </w:r>
            <w:proofErr w:type="spellEnd"/>
            <w:r w:rsidRPr="002F17B5">
              <w:rPr>
                <w:rFonts w:eastAsia="Times New Roman" w:cs="Arial"/>
                <w:lang w:eastAsia="en-GB"/>
              </w:rPr>
              <w:t xml:space="preserve"> (assets)</w:t>
            </w:r>
          </w:p>
        </w:tc>
        <w:tc>
          <w:tcPr>
            <w:tcW w:w="1701"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lang w:eastAsia="en-GB"/>
              </w:rPr>
            </w:pPr>
            <w:r w:rsidRPr="002F17B5">
              <w:rPr>
                <w:rFonts w:eastAsia="Times New Roman" w:cs="Arial"/>
                <w:lang w:eastAsia="en-GB"/>
              </w:rPr>
              <w:t>4.5</w:t>
            </w:r>
          </w:p>
        </w:tc>
        <w:tc>
          <w:tcPr>
            <w:tcW w:w="1559"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lang w:eastAsia="en-GB"/>
              </w:rPr>
            </w:pPr>
            <w:r w:rsidRPr="002F17B5">
              <w:rPr>
                <w:rFonts w:eastAsia="Times New Roman" w:cs="Arial"/>
                <w:lang w:eastAsia="en-GB"/>
              </w:rPr>
              <w:t>165.8</w:t>
            </w:r>
          </w:p>
        </w:tc>
      </w:tr>
      <w:tr w:rsidR="00BD3170" w:rsidRPr="002F17B5" w:rsidTr="008950FD">
        <w:trPr>
          <w:gridAfter w:val="2"/>
          <w:wAfter w:w="1651" w:type="dxa"/>
          <w:trHeight w:val="300"/>
        </w:trPr>
        <w:tc>
          <w:tcPr>
            <w:tcW w:w="5387" w:type="dxa"/>
            <w:shd w:val="clear" w:color="000000" w:fill="FFFFFF"/>
            <w:noWrap/>
            <w:vAlign w:val="bottom"/>
          </w:tcPr>
          <w:p w:rsidR="00BD3170" w:rsidRPr="002F17B5" w:rsidRDefault="00BD3170" w:rsidP="002359B6">
            <w:pPr>
              <w:autoSpaceDE/>
              <w:autoSpaceDN/>
              <w:adjustRightInd/>
              <w:spacing w:before="0" w:after="0"/>
              <w:jc w:val="left"/>
              <w:rPr>
                <w:rFonts w:eastAsia="Times New Roman" w:cs="Arial"/>
                <w:lang w:eastAsia="en-GB"/>
              </w:rPr>
            </w:pPr>
            <w:r>
              <w:rPr>
                <w:rFonts w:eastAsia="Times New Roman" w:cs="Arial"/>
                <w:lang w:eastAsia="en-GB"/>
              </w:rPr>
              <w:t>Interest on plan assets</w:t>
            </w:r>
          </w:p>
        </w:tc>
        <w:tc>
          <w:tcPr>
            <w:tcW w:w="1701" w:type="dxa"/>
            <w:shd w:val="clear" w:color="000000" w:fill="FFFFFF"/>
            <w:noWrap/>
            <w:vAlign w:val="bottom"/>
          </w:tcPr>
          <w:p w:rsidR="00BD3170" w:rsidRPr="002F17B5" w:rsidRDefault="00BD3170">
            <w:pPr>
              <w:autoSpaceDE/>
              <w:autoSpaceDN/>
              <w:adjustRightInd/>
              <w:spacing w:before="0" w:after="0"/>
              <w:jc w:val="right"/>
              <w:rPr>
                <w:rFonts w:eastAsia="Times New Roman" w:cs="Arial"/>
                <w:lang w:eastAsia="en-GB"/>
              </w:rPr>
            </w:pPr>
            <w:r>
              <w:rPr>
                <w:rFonts w:eastAsia="Times New Roman" w:cs="Arial"/>
                <w:lang w:eastAsia="en-GB"/>
              </w:rPr>
              <w:t>84.3</w:t>
            </w:r>
          </w:p>
        </w:tc>
        <w:tc>
          <w:tcPr>
            <w:tcW w:w="1559" w:type="dxa"/>
            <w:shd w:val="clear" w:color="000000" w:fill="FFFFFF"/>
            <w:noWrap/>
            <w:vAlign w:val="bottom"/>
          </w:tcPr>
          <w:p w:rsidR="00BD3170" w:rsidRPr="002F17B5" w:rsidRDefault="00BD3170" w:rsidP="002359B6">
            <w:pPr>
              <w:autoSpaceDE/>
              <w:autoSpaceDN/>
              <w:adjustRightInd/>
              <w:spacing w:before="0" w:after="0"/>
              <w:jc w:val="right"/>
              <w:rPr>
                <w:rFonts w:eastAsia="Times New Roman" w:cs="Arial"/>
                <w:lang w:eastAsia="en-GB"/>
              </w:rPr>
            </w:pPr>
            <w:r>
              <w:rPr>
                <w:rFonts w:eastAsia="Times New Roman" w:cs="Arial"/>
                <w:lang w:eastAsia="en-GB"/>
              </w:rPr>
              <w:t>99.4</w:t>
            </w:r>
          </w:p>
        </w:tc>
      </w:tr>
      <w:tr w:rsidR="002359B6" w:rsidRPr="002F17B5" w:rsidTr="008950FD">
        <w:trPr>
          <w:gridAfter w:val="2"/>
          <w:wAfter w:w="1651" w:type="dxa"/>
          <w:trHeight w:val="300"/>
        </w:trPr>
        <w:tc>
          <w:tcPr>
            <w:tcW w:w="5387"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Admin expenses</w:t>
            </w:r>
          </w:p>
        </w:tc>
        <w:tc>
          <w:tcPr>
            <w:tcW w:w="1701" w:type="dxa"/>
            <w:shd w:val="clear" w:color="000000" w:fill="FFFFFF"/>
            <w:noWrap/>
            <w:vAlign w:val="bottom"/>
            <w:hideMark/>
          </w:tcPr>
          <w:p w:rsidR="002359B6" w:rsidRPr="002F17B5" w:rsidRDefault="00F167C1" w:rsidP="002359B6">
            <w:pPr>
              <w:autoSpaceDE/>
              <w:autoSpaceDN/>
              <w:adjustRightInd/>
              <w:spacing w:before="0" w:after="0"/>
              <w:jc w:val="right"/>
              <w:rPr>
                <w:rFonts w:eastAsia="Times New Roman" w:cs="Arial"/>
                <w:lang w:eastAsia="en-GB"/>
              </w:rPr>
            </w:pPr>
            <w:r w:rsidRPr="002F17B5">
              <w:rPr>
                <w:rFonts w:eastAsia="Times New Roman" w:cs="Arial"/>
                <w:lang w:eastAsia="en-GB"/>
              </w:rPr>
              <w:t>(</w:t>
            </w:r>
            <w:r w:rsidR="002359B6" w:rsidRPr="002F17B5">
              <w:rPr>
                <w:rFonts w:eastAsia="Times New Roman" w:cs="Arial"/>
                <w:lang w:eastAsia="en-GB"/>
              </w:rPr>
              <w:t>1.4</w:t>
            </w:r>
            <w:r w:rsidRPr="002F17B5">
              <w:rPr>
                <w:rFonts w:eastAsia="Times New Roman" w:cs="Arial"/>
                <w:lang w:eastAsia="en-GB"/>
              </w:rPr>
              <w:t>)</w:t>
            </w:r>
          </w:p>
        </w:tc>
        <w:tc>
          <w:tcPr>
            <w:tcW w:w="1559" w:type="dxa"/>
            <w:shd w:val="clear" w:color="000000" w:fill="FFFFFF"/>
            <w:noWrap/>
            <w:vAlign w:val="bottom"/>
            <w:hideMark/>
          </w:tcPr>
          <w:p w:rsidR="002359B6" w:rsidRPr="002F17B5" w:rsidRDefault="00F167C1" w:rsidP="002359B6">
            <w:pPr>
              <w:autoSpaceDE/>
              <w:autoSpaceDN/>
              <w:adjustRightInd/>
              <w:spacing w:before="0" w:after="0"/>
              <w:jc w:val="right"/>
              <w:rPr>
                <w:rFonts w:eastAsia="Times New Roman" w:cs="Arial"/>
                <w:lang w:eastAsia="en-GB"/>
              </w:rPr>
            </w:pPr>
            <w:r w:rsidRPr="002F17B5">
              <w:rPr>
                <w:rFonts w:eastAsia="Times New Roman" w:cs="Arial"/>
                <w:lang w:eastAsia="en-GB"/>
              </w:rPr>
              <w:t>-</w:t>
            </w:r>
          </w:p>
        </w:tc>
      </w:tr>
      <w:tr w:rsidR="002359B6" w:rsidRPr="002F17B5" w:rsidTr="008950FD">
        <w:trPr>
          <w:gridAfter w:val="2"/>
          <w:wAfter w:w="1651" w:type="dxa"/>
          <w:trHeight w:val="300"/>
        </w:trPr>
        <w:tc>
          <w:tcPr>
            <w:tcW w:w="5387"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Settlements</w:t>
            </w:r>
          </w:p>
        </w:tc>
        <w:tc>
          <w:tcPr>
            <w:tcW w:w="1701" w:type="dxa"/>
            <w:shd w:val="clear" w:color="000000" w:fill="FFFFFF"/>
            <w:noWrap/>
            <w:vAlign w:val="bottom"/>
            <w:hideMark/>
          </w:tcPr>
          <w:p w:rsidR="002359B6" w:rsidRPr="002F17B5" w:rsidRDefault="00F167C1" w:rsidP="002359B6">
            <w:pPr>
              <w:autoSpaceDE/>
              <w:autoSpaceDN/>
              <w:adjustRightInd/>
              <w:spacing w:before="0" w:after="0"/>
              <w:jc w:val="right"/>
              <w:rPr>
                <w:rFonts w:eastAsia="Times New Roman" w:cs="Arial"/>
                <w:lang w:eastAsia="en-GB"/>
              </w:rPr>
            </w:pPr>
            <w:r w:rsidRPr="002F17B5">
              <w:rPr>
                <w:rFonts w:eastAsia="Times New Roman" w:cs="Arial"/>
                <w:lang w:eastAsia="en-GB"/>
              </w:rPr>
              <w:t>-</w:t>
            </w:r>
          </w:p>
        </w:tc>
        <w:tc>
          <w:tcPr>
            <w:tcW w:w="1559" w:type="dxa"/>
            <w:shd w:val="clear" w:color="000000" w:fill="FFFFFF"/>
            <w:noWrap/>
            <w:vAlign w:val="bottom"/>
            <w:hideMark/>
          </w:tcPr>
          <w:p w:rsidR="002359B6" w:rsidRPr="002F17B5" w:rsidRDefault="00F167C1" w:rsidP="002359B6">
            <w:pPr>
              <w:autoSpaceDE/>
              <w:autoSpaceDN/>
              <w:adjustRightInd/>
              <w:spacing w:before="0" w:after="0"/>
              <w:jc w:val="right"/>
              <w:rPr>
                <w:rFonts w:eastAsia="Times New Roman" w:cs="Arial"/>
                <w:lang w:eastAsia="en-GB"/>
              </w:rPr>
            </w:pPr>
            <w:r w:rsidRPr="002F17B5">
              <w:rPr>
                <w:rFonts w:eastAsia="Times New Roman" w:cs="Arial"/>
                <w:lang w:eastAsia="en-GB"/>
              </w:rPr>
              <w:t>(</w:t>
            </w:r>
            <w:r w:rsidR="002359B6" w:rsidRPr="002F17B5">
              <w:rPr>
                <w:rFonts w:eastAsia="Times New Roman" w:cs="Arial"/>
                <w:lang w:eastAsia="en-GB"/>
              </w:rPr>
              <w:t>1.9</w:t>
            </w:r>
            <w:r w:rsidRPr="002F17B5">
              <w:rPr>
                <w:rFonts w:eastAsia="Times New Roman" w:cs="Arial"/>
                <w:lang w:eastAsia="en-GB"/>
              </w:rPr>
              <w:t>)</w:t>
            </w:r>
          </w:p>
        </w:tc>
      </w:tr>
      <w:tr w:rsidR="002359B6" w:rsidRPr="002F17B5" w:rsidTr="008950FD">
        <w:trPr>
          <w:gridAfter w:val="2"/>
          <w:wAfter w:w="1651" w:type="dxa"/>
          <w:trHeight w:val="300"/>
        </w:trPr>
        <w:tc>
          <w:tcPr>
            <w:tcW w:w="5387"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Employer Contributions</w:t>
            </w:r>
          </w:p>
        </w:tc>
        <w:tc>
          <w:tcPr>
            <w:tcW w:w="1701"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lang w:eastAsia="en-GB"/>
              </w:rPr>
            </w:pPr>
            <w:r w:rsidRPr="002F17B5">
              <w:rPr>
                <w:rFonts w:eastAsia="Times New Roman" w:cs="Arial"/>
                <w:lang w:eastAsia="en-GB"/>
              </w:rPr>
              <w:t>71.9</w:t>
            </w:r>
          </w:p>
        </w:tc>
        <w:tc>
          <w:tcPr>
            <w:tcW w:w="1559"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lang w:eastAsia="en-GB"/>
              </w:rPr>
            </w:pPr>
            <w:r w:rsidRPr="002F17B5">
              <w:rPr>
                <w:rFonts w:eastAsia="Times New Roman" w:cs="Arial"/>
                <w:lang w:eastAsia="en-GB"/>
              </w:rPr>
              <w:t>65.9</w:t>
            </w:r>
          </w:p>
        </w:tc>
      </w:tr>
      <w:tr w:rsidR="002359B6" w:rsidRPr="002F17B5" w:rsidTr="008950FD">
        <w:trPr>
          <w:gridAfter w:val="2"/>
          <w:wAfter w:w="1651" w:type="dxa"/>
          <w:trHeight w:val="300"/>
        </w:trPr>
        <w:tc>
          <w:tcPr>
            <w:tcW w:w="5387"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lastRenderedPageBreak/>
              <w:t>Contributions</w:t>
            </w:r>
            <w:r w:rsidR="0090683B">
              <w:rPr>
                <w:rFonts w:eastAsia="Times New Roman" w:cs="Arial"/>
                <w:lang w:eastAsia="en-GB"/>
              </w:rPr>
              <w:t xml:space="preserve"> from scheme participants</w:t>
            </w:r>
          </w:p>
        </w:tc>
        <w:tc>
          <w:tcPr>
            <w:tcW w:w="1701"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lang w:eastAsia="en-GB"/>
              </w:rPr>
            </w:pPr>
            <w:r w:rsidRPr="002F17B5">
              <w:rPr>
                <w:rFonts w:eastAsia="Times New Roman" w:cs="Arial"/>
                <w:lang w:eastAsia="en-GB"/>
              </w:rPr>
              <w:t>22.2</w:t>
            </w:r>
          </w:p>
        </w:tc>
        <w:tc>
          <w:tcPr>
            <w:tcW w:w="1559"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lang w:eastAsia="en-GB"/>
              </w:rPr>
            </w:pPr>
            <w:r w:rsidRPr="002F17B5">
              <w:rPr>
                <w:rFonts w:eastAsia="Times New Roman" w:cs="Arial"/>
                <w:lang w:eastAsia="en-GB"/>
              </w:rPr>
              <w:t>20.5</w:t>
            </w:r>
          </w:p>
        </w:tc>
      </w:tr>
      <w:tr w:rsidR="002359B6" w:rsidRPr="002F17B5" w:rsidTr="008950FD">
        <w:trPr>
          <w:gridAfter w:val="2"/>
          <w:wAfter w:w="1651" w:type="dxa"/>
          <w:trHeight w:val="300"/>
        </w:trPr>
        <w:tc>
          <w:tcPr>
            <w:tcW w:w="5387"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Benefits/Transfers paid</w:t>
            </w:r>
          </w:p>
        </w:tc>
        <w:tc>
          <w:tcPr>
            <w:tcW w:w="1701" w:type="dxa"/>
            <w:shd w:val="clear" w:color="000000" w:fill="FFFFFF"/>
            <w:noWrap/>
            <w:vAlign w:val="bottom"/>
            <w:hideMark/>
          </w:tcPr>
          <w:p w:rsidR="002359B6" w:rsidRPr="002F17B5" w:rsidRDefault="00F167C1" w:rsidP="002359B6">
            <w:pPr>
              <w:autoSpaceDE/>
              <w:autoSpaceDN/>
              <w:adjustRightInd/>
              <w:spacing w:before="0" w:after="0"/>
              <w:jc w:val="right"/>
              <w:rPr>
                <w:rFonts w:eastAsia="Times New Roman" w:cs="Arial"/>
                <w:lang w:eastAsia="en-GB"/>
              </w:rPr>
            </w:pPr>
            <w:r w:rsidRPr="002F17B5">
              <w:rPr>
                <w:rFonts w:eastAsia="Times New Roman" w:cs="Arial"/>
                <w:lang w:eastAsia="en-GB"/>
              </w:rPr>
              <w:t>(</w:t>
            </w:r>
            <w:r w:rsidR="002359B6" w:rsidRPr="002F17B5">
              <w:rPr>
                <w:rFonts w:eastAsia="Times New Roman" w:cs="Arial"/>
                <w:lang w:eastAsia="en-GB"/>
              </w:rPr>
              <w:t>97.</w:t>
            </w:r>
            <w:r w:rsidR="00D57BD6">
              <w:rPr>
                <w:rFonts w:eastAsia="Times New Roman" w:cs="Arial"/>
                <w:lang w:eastAsia="en-GB"/>
              </w:rPr>
              <w:t>6</w:t>
            </w:r>
            <w:r w:rsidRPr="002F17B5">
              <w:rPr>
                <w:rFonts w:eastAsia="Times New Roman" w:cs="Arial"/>
                <w:lang w:eastAsia="en-GB"/>
              </w:rPr>
              <w:t>)</w:t>
            </w:r>
          </w:p>
        </w:tc>
        <w:tc>
          <w:tcPr>
            <w:tcW w:w="1559" w:type="dxa"/>
            <w:shd w:val="clear" w:color="000000" w:fill="FFFFFF"/>
            <w:noWrap/>
            <w:vAlign w:val="bottom"/>
            <w:hideMark/>
          </w:tcPr>
          <w:p w:rsidR="002359B6" w:rsidRPr="002F17B5" w:rsidRDefault="00F167C1" w:rsidP="002359B6">
            <w:pPr>
              <w:autoSpaceDE/>
              <w:autoSpaceDN/>
              <w:adjustRightInd/>
              <w:spacing w:before="0" w:after="0"/>
              <w:jc w:val="right"/>
              <w:rPr>
                <w:rFonts w:eastAsia="Times New Roman" w:cs="Arial"/>
                <w:lang w:eastAsia="en-GB"/>
              </w:rPr>
            </w:pPr>
            <w:r w:rsidRPr="002F17B5">
              <w:rPr>
                <w:rFonts w:eastAsia="Times New Roman" w:cs="Arial"/>
                <w:lang w:eastAsia="en-GB"/>
              </w:rPr>
              <w:t>(</w:t>
            </w:r>
            <w:r w:rsidR="002359B6" w:rsidRPr="002F17B5">
              <w:rPr>
                <w:rFonts w:eastAsia="Times New Roman" w:cs="Arial"/>
                <w:lang w:eastAsia="en-GB"/>
              </w:rPr>
              <w:t>93.</w:t>
            </w:r>
            <w:r w:rsidR="00B94672">
              <w:rPr>
                <w:rFonts w:eastAsia="Times New Roman" w:cs="Arial"/>
                <w:lang w:eastAsia="en-GB"/>
              </w:rPr>
              <w:t>8</w:t>
            </w:r>
            <w:r w:rsidRPr="002F17B5">
              <w:rPr>
                <w:rFonts w:eastAsia="Times New Roman" w:cs="Arial"/>
                <w:lang w:eastAsia="en-GB"/>
              </w:rPr>
              <w:t>)</w:t>
            </w:r>
          </w:p>
        </w:tc>
      </w:tr>
      <w:tr w:rsidR="002359B6" w:rsidRPr="002F17B5" w:rsidTr="008950FD">
        <w:trPr>
          <w:gridAfter w:val="2"/>
          <w:wAfter w:w="1651" w:type="dxa"/>
          <w:trHeight w:val="330"/>
        </w:trPr>
        <w:tc>
          <w:tcPr>
            <w:tcW w:w="5387" w:type="dxa"/>
            <w:shd w:val="clear" w:color="000000" w:fill="FFFFFF"/>
            <w:noWrap/>
            <w:vAlign w:val="bottom"/>
            <w:hideMark/>
          </w:tcPr>
          <w:p w:rsidR="002359B6" w:rsidRPr="002F17B5" w:rsidRDefault="00F342AF">
            <w:pPr>
              <w:autoSpaceDE/>
              <w:autoSpaceDN/>
              <w:adjustRightInd/>
              <w:spacing w:before="0" w:after="0"/>
              <w:jc w:val="left"/>
              <w:rPr>
                <w:rFonts w:eastAsia="Times New Roman" w:cs="Arial"/>
                <w:b/>
                <w:bCs/>
                <w:lang w:eastAsia="en-GB"/>
              </w:rPr>
            </w:pPr>
            <w:r>
              <w:rPr>
                <w:rFonts w:eastAsia="Times New Roman" w:cs="Arial"/>
                <w:b/>
                <w:bCs/>
                <w:lang w:eastAsia="en-GB"/>
              </w:rPr>
              <w:t>Closing</w:t>
            </w:r>
            <w:r w:rsidR="008600DD">
              <w:rPr>
                <w:rFonts w:eastAsia="Times New Roman" w:cs="Arial"/>
                <w:b/>
                <w:bCs/>
                <w:lang w:eastAsia="en-GB"/>
              </w:rPr>
              <w:t xml:space="preserve"> balance at 31 March</w:t>
            </w:r>
          </w:p>
        </w:tc>
        <w:tc>
          <w:tcPr>
            <w:tcW w:w="1701"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b/>
                <w:bCs/>
                <w:lang w:eastAsia="en-GB"/>
              </w:rPr>
            </w:pPr>
            <w:r w:rsidRPr="002F17B5">
              <w:rPr>
                <w:rFonts w:eastAsia="Times New Roman" w:cs="Arial"/>
                <w:b/>
                <w:bCs/>
                <w:lang w:eastAsia="en-GB"/>
              </w:rPr>
              <w:t>2,093.0</w:t>
            </w:r>
          </w:p>
        </w:tc>
        <w:tc>
          <w:tcPr>
            <w:tcW w:w="1559" w:type="dxa"/>
            <w:shd w:val="clear" w:color="000000" w:fill="FFFFFF"/>
            <w:noWrap/>
            <w:vAlign w:val="bottom"/>
            <w:hideMark/>
          </w:tcPr>
          <w:p w:rsidR="002359B6" w:rsidRPr="002F17B5" w:rsidRDefault="002359B6" w:rsidP="002359B6">
            <w:pPr>
              <w:autoSpaceDE/>
              <w:autoSpaceDN/>
              <w:adjustRightInd/>
              <w:spacing w:before="0" w:after="0"/>
              <w:jc w:val="right"/>
              <w:rPr>
                <w:rFonts w:eastAsia="Times New Roman" w:cs="Arial"/>
                <w:b/>
                <w:bCs/>
                <w:lang w:eastAsia="en-GB"/>
              </w:rPr>
            </w:pPr>
            <w:r w:rsidRPr="002F17B5">
              <w:rPr>
                <w:rFonts w:eastAsia="Times New Roman" w:cs="Arial"/>
                <w:b/>
                <w:bCs/>
                <w:lang w:eastAsia="en-GB"/>
              </w:rPr>
              <w:t>2,009.1</w:t>
            </w:r>
          </w:p>
        </w:tc>
      </w:tr>
    </w:tbl>
    <w:p w:rsidR="008950FD" w:rsidRPr="002F17B5" w:rsidRDefault="008950FD"/>
    <w:tbl>
      <w:tblPr>
        <w:tblW w:w="13175" w:type="dxa"/>
        <w:tblInd w:w="108" w:type="dxa"/>
        <w:tblLook w:val="04A0" w:firstRow="1" w:lastRow="0" w:firstColumn="1" w:lastColumn="0" w:noHBand="0" w:noVBand="1"/>
      </w:tblPr>
      <w:tblGrid>
        <w:gridCol w:w="10456"/>
        <w:gridCol w:w="1793"/>
        <w:gridCol w:w="1084"/>
      </w:tblGrid>
      <w:tr w:rsidR="002359B6" w:rsidRPr="002F17B5" w:rsidTr="000F59A8">
        <w:trPr>
          <w:trHeight w:val="630"/>
        </w:trPr>
        <w:tc>
          <w:tcPr>
            <w:tcW w:w="10298" w:type="dxa"/>
            <w:shd w:val="clear" w:color="auto" w:fill="auto"/>
            <w:noWrap/>
            <w:vAlign w:val="bottom"/>
            <w:hideMark/>
          </w:tcPr>
          <w:p w:rsidR="008950FD" w:rsidRPr="002F17B5" w:rsidRDefault="008950FD" w:rsidP="002359B6">
            <w:pPr>
              <w:spacing w:after="240"/>
            </w:pPr>
            <w:r w:rsidRPr="002F17B5">
              <w:br w:type="page"/>
            </w:r>
            <w:r w:rsidR="002359B6" w:rsidRPr="002F17B5">
              <w:rPr>
                <w:b/>
              </w:rPr>
              <w:t>Reconciliation of present value of the scheme liabilities:</w:t>
            </w:r>
          </w:p>
          <w:tbl>
            <w:tblPr>
              <w:tblW w:w="10240" w:type="dxa"/>
              <w:tblLook w:val="04A0" w:firstRow="1" w:lastRow="0" w:firstColumn="1" w:lastColumn="0" w:noHBand="0" w:noVBand="1"/>
            </w:tblPr>
            <w:tblGrid>
              <w:gridCol w:w="4287"/>
              <w:gridCol w:w="1871"/>
              <w:gridCol w:w="1389"/>
              <w:gridCol w:w="1343"/>
              <w:gridCol w:w="1350"/>
            </w:tblGrid>
            <w:tr w:rsidR="002359B6" w:rsidRPr="002F17B5" w:rsidTr="00C2701D">
              <w:trPr>
                <w:trHeight w:val="315"/>
              </w:trPr>
              <w:tc>
                <w:tcPr>
                  <w:tcW w:w="4287" w:type="dxa"/>
                  <w:vMerge w:val="restart"/>
                  <w:shd w:val="clear" w:color="000000" w:fill="FFFFFF"/>
                  <w:noWrap/>
                  <w:vAlign w:val="bottom"/>
                  <w:hideMark/>
                </w:tcPr>
                <w:p w:rsidR="002359B6" w:rsidRPr="002F17B5" w:rsidRDefault="002359B6" w:rsidP="008950FD">
                  <w:pPr>
                    <w:autoSpaceDE/>
                    <w:autoSpaceDN/>
                    <w:adjustRightInd/>
                    <w:spacing w:before="0"/>
                    <w:rPr>
                      <w:rFonts w:eastAsia="Times New Roman" w:cs="Arial"/>
                      <w:lang w:eastAsia="en-GB"/>
                    </w:rPr>
                  </w:pPr>
                  <w:r w:rsidRPr="002F17B5">
                    <w:rPr>
                      <w:rFonts w:eastAsia="Times New Roman" w:cs="Arial"/>
                      <w:lang w:eastAsia="en-GB"/>
                    </w:rPr>
                    <w:t> </w:t>
                  </w:r>
                </w:p>
              </w:tc>
              <w:tc>
                <w:tcPr>
                  <w:tcW w:w="3260" w:type="dxa"/>
                  <w:gridSpan w:val="2"/>
                  <w:shd w:val="clear" w:color="000000" w:fill="FFFFFF"/>
                  <w:vAlign w:val="bottom"/>
                  <w:hideMark/>
                </w:tcPr>
                <w:p w:rsidR="002359B6" w:rsidRPr="002F17B5" w:rsidRDefault="002359B6" w:rsidP="008950FD">
                  <w:pPr>
                    <w:autoSpaceDE/>
                    <w:autoSpaceDN/>
                    <w:adjustRightInd/>
                    <w:spacing w:before="0"/>
                    <w:jc w:val="center"/>
                    <w:rPr>
                      <w:rFonts w:eastAsia="Times New Roman" w:cs="Arial"/>
                      <w:b/>
                      <w:bCs/>
                      <w:lang w:eastAsia="en-GB"/>
                    </w:rPr>
                  </w:pPr>
                  <w:r w:rsidRPr="002F17B5">
                    <w:rPr>
                      <w:rFonts w:eastAsia="Times New Roman" w:cs="Arial"/>
                      <w:b/>
                      <w:bCs/>
                      <w:lang w:eastAsia="en-GB"/>
                    </w:rPr>
                    <w:t>Funded liabilities:</w:t>
                  </w:r>
                </w:p>
              </w:tc>
              <w:tc>
                <w:tcPr>
                  <w:tcW w:w="2693" w:type="dxa"/>
                  <w:gridSpan w:val="2"/>
                  <w:shd w:val="clear" w:color="000000" w:fill="FFFFFF"/>
                  <w:vAlign w:val="bottom"/>
                  <w:hideMark/>
                </w:tcPr>
                <w:p w:rsidR="002359B6" w:rsidRPr="002F17B5" w:rsidRDefault="002359B6" w:rsidP="008950FD">
                  <w:pPr>
                    <w:autoSpaceDE/>
                    <w:autoSpaceDN/>
                    <w:adjustRightInd/>
                    <w:spacing w:before="0"/>
                    <w:jc w:val="center"/>
                    <w:rPr>
                      <w:rFonts w:eastAsia="Times New Roman" w:cs="Arial"/>
                      <w:b/>
                      <w:bCs/>
                      <w:lang w:eastAsia="en-GB"/>
                    </w:rPr>
                  </w:pPr>
                  <w:r w:rsidRPr="002F17B5">
                    <w:rPr>
                      <w:rFonts w:eastAsia="Times New Roman" w:cs="Arial"/>
                      <w:b/>
                      <w:bCs/>
                      <w:lang w:eastAsia="en-GB"/>
                    </w:rPr>
                    <w:t>Unfunded liabilities:</w:t>
                  </w:r>
                </w:p>
              </w:tc>
            </w:tr>
            <w:tr w:rsidR="002359B6" w:rsidRPr="002F17B5" w:rsidTr="00C2701D">
              <w:trPr>
                <w:trHeight w:val="600"/>
              </w:trPr>
              <w:tc>
                <w:tcPr>
                  <w:tcW w:w="4287" w:type="dxa"/>
                  <w:vMerge/>
                  <w:vAlign w:val="center"/>
                  <w:hideMark/>
                </w:tcPr>
                <w:p w:rsidR="002359B6" w:rsidRPr="002F17B5" w:rsidRDefault="002359B6" w:rsidP="008950FD">
                  <w:pPr>
                    <w:autoSpaceDE/>
                    <w:autoSpaceDN/>
                    <w:adjustRightInd/>
                    <w:spacing w:before="0"/>
                    <w:jc w:val="left"/>
                    <w:rPr>
                      <w:rFonts w:eastAsia="Times New Roman" w:cs="Arial"/>
                      <w:lang w:eastAsia="en-GB"/>
                    </w:rPr>
                  </w:pPr>
                </w:p>
              </w:tc>
              <w:tc>
                <w:tcPr>
                  <w:tcW w:w="3260" w:type="dxa"/>
                  <w:gridSpan w:val="2"/>
                  <w:shd w:val="clear" w:color="000000" w:fill="FFFFFF"/>
                  <w:vAlign w:val="bottom"/>
                  <w:hideMark/>
                </w:tcPr>
                <w:p w:rsidR="002359B6" w:rsidRPr="002F17B5" w:rsidRDefault="002359B6" w:rsidP="008950FD">
                  <w:pPr>
                    <w:autoSpaceDE/>
                    <w:autoSpaceDN/>
                    <w:adjustRightInd/>
                    <w:spacing w:before="0"/>
                    <w:jc w:val="center"/>
                    <w:rPr>
                      <w:rFonts w:eastAsia="Times New Roman" w:cs="Arial"/>
                      <w:b/>
                      <w:bCs/>
                      <w:lang w:eastAsia="en-GB"/>
                    </w:rPr>
                  </w:pPr>
                  <w:r w:rsidRPr="002F17B5">
                    <w:rPr>
                      <w:rFonts w:eastAsia="Times New Roman" w:cs="Arial"/>
                      <w:b/>
                      <w:bCs/>
                      <w:lang w:eastAsia="en-GB"/>
                    </w:rPr>
                    <w:t>Lancashire County Pension Fund</w:t>
                  </w:r>
                </w:p>
              </w:tc>
              <w:tc>
                <w:tcPr>
                  <w:tcW w:w="2693" w:type="dxa"/>
                  <w:gridSpan w:val="2"/>
                  <w:shd w:val="clear" w:color="000000" w:fill="FFFFFF"/>
                  <w:vAlign w:val="bottom"/>
                  <w:hideMark/>
                </w:tcPr>
                <w:p w:rsidR="002359B6" w:rsidRPr="002F17B5" w:rsidRDefault="002359B6" w:rsidP="008950FD">
                  <w:pPr>
                    <w:autoSpaceDE/>
                    <w:autoSpaceDN/>
                    <w:adjustRightInd/>
                    <w:spacing w:before="0"/>
                    <w:jc w:val="center"/>
                    <w:rPr>
                      <w:rFonts w:eastAsia="Times New Roman" w:cs="Arial"/>
                      <w:b/>
                      <w:bCs/>
                      <w:lang w:eastAsia="en-GB"/>
                    </w:rPr>
                  </w:pPr>
                  <w:r w:rsidRPr="002F17B5">
                    <w:rPr>
                      <w:rFonts w:eastAsia="Times New Roman" w:cs="Arial"/>
                      <w:b/>
                      <w:bCs/>
                      <w:lang w:eastAsia="en-GB"/>
                    </w:rPr>
                    <w:t>Teachers Pension Scheme</w:t>
                  </w:r>
                </w:p>
              </w:tc>
            </w:tr>
            <w:tr w:rsidR="002359B6" w:rsidRPr="002F17B5" w:rsidTr="00C2701D">
              <w:trPr>
                <w:trHeight w:val="315"/>
              </w:trPr>
              <w:tc>
                <w:tcPr>
                  <w:tcW w:w="4287" w:type="dxa"/>
                  <w:shd w:val="clear" w:color="000000" w:fill="FFFFFF"/>
                  <w:noWrap/>
                  <w:vAlign w:val="bottom"/>
                  <w:hideMark/>
                </w:tcPr>
                <w:p w:rsidR="002359B6" w:rsidRPr="002F17B5" w:rsidRDefault="002359B6" w:rsidP="008950FD">
                  <w:pPr>
                    <w:autoSpaceDE/>
                    <w:autoSpaceDN/>
                    <w:adjustRightInd/>
                    <w:spacing w:before="0"/>
                    <w:rPr>
                      <w:rFonts w:eastAsia="Times New Roman" w:cs="Arial"/>
                      <w:lang w:eastAsia="en-GB"/>
                    </w:rPr>
                  </w:pPr>
                  <w:r w:rsidRPr="002F17B5">
                    <w:rPr>
                      <w:rFonts w:eastAsia="Times New Roman" w:cs="Arial"/>
                      <w:lang w:eastAsia="en-GB"/>
                    </w:rPr>
                    <w:t> </w:t>
                  </w:r>
                </w:p>
              </w:tc>
              <w:tc>
                <w:tcPr>
                  <w:tcW w:w="1871"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2013/14</w:t>
                  </w:r>
                </w:p>
              </w:tc>
              <w:tc>
                <w:tcPr>
                  <w:tcW w:w="1389"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2012/13</w:t>
                  </w:r>
                </w:p>
              </w:tc>
              <w:tc>
                <w:tcPr>
                  <w:tcW w:w="1343"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2013/14</w:t>
                  </w:r>
                </w:p>
              </w:tc>
              <w:tc>
                <w:tcPr>
                  <w:tcW w:w="1350"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2012/13</w:t>
                  </w:r>
                </w:p>
              </w:tc>
            </w:tr>
            <w:tr w:rsidR="002359B6" w:rsidRPr="002F17B5" w:rsidTr="00C2701D">
              <w:trPr>
                <w:trHeight w:val="565"/>
              </w:trPr>
              <w:tc>
                <w:tcPr>
                  <w:tcW w:w="4287" w:type="dxa"/>
                  <w:shd w:val="clear" w:color="000000" w:fill="FFFFFF"/>
                  <w:noWrap/>
                  <w:vAlign w:val="bottom"/>
                  <w:hideMark/>
                </w:tcPr>
                <w:p w:rsidR="002359B6" w:rsidRPr="002F17B5" w:rsidRDefault="002359B6" w:rsidP="008950FD">
                  <w:pPr>
                    <w:autoSpaceDE/>
                    <w:autoSpaceDN/>
                    <w:adjustRightInd/>
                    <w:spacing w:before="0"/>
                    <w:rPr>
                      <w:rFonts w:eastAsia="Times New Roman" w:cs="Arial"/>
                      <w:lang w:eastAsia="en-GB"/>
                    </w:rPr>
                  </w:pPr>
                  <w:r w:rsidRPr="002F17B5">
                    <w:rPr>
                      <w:rFonts w:eastAsia="Times New Roman" w:cs="Arial"/>
                      <w:lang w:eastAsia="en-GB"/>
                    </w:rPr>
                    <w:t> </w:t>
                  </w:r>
                </w:p>
              </w:tc>
              <w:tc>
                <w:tcPr>
                  <w:tcW w:w="1871"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£m</w:t>
                  </w:r>
                </w:p>
              </w:tc>
              <w:tc>
                <w:tcPr>
                  <w:tcW w:w="1389"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£m</w:t>
                  </w:r>
                </w:p>
              </w:tc>
              <w:tc>
                <w:tcPr>
                  <w:tcW w:w="1343"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£m</w:t>
                  </w:r>
                </w:p>
              </w:tc>
              <w:tc>
                <w:tcPr>
                  <w:tcW w:w="1350"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£m</w:t>
                  </w:r>
                </w:p>
              </w:tc>
            </w:tr>
            <w:tr w:rsidR="002359B6" w:rsidRPr="002F17B5" w:rsidTr="00C2701D">
              <w:trPr>
                <w:trHeight w:val="315"/>
              </w:trPr>
              <w:tc>
                <w:tcPr>
                  <w:tcW w:w="4287" w:type="dxa"/>
                  <w:shd w:val="clear" w:color="000000" w:fill="FFFFFF"/>
                  <w:noWrap/>
                  <w:vAlign w:val="bottom"/>
                  <w:hideMark/>
                </w:tcPr>
                <w:p w:rsidR="002359B6" w:rsidRPr="002F17B5" w:rsidRDefault="008600DD" w:rsidP="008950FD">
                  <w:pPr>
                    <w:autoSpaceDE/>
                    <w:autoSpaceDN/>
                    <w:adjustRightInd/>
                    <w:spacing w:before="0"/>
                    <w:rPr>
                      <w:rFonts w:eastAsia="Times New Roman" w:cs="Arial"/>
                      <w:b/>
                      <w:bCs/>
                      <w:lang w:eastAsia="en-GB"/>
                    </w:rPr>
                  </w:pPr>
                  <w:r>
                    <w:rPr>
                      <w:rFonts w:eastAsia="Times New Roman" w:cs="Arial"/>
                      <w:b/>
                      <w:bCs/>
                      <w:lang w:eastAsia="en-GB"/>
                    </w:rPr>
                    <w:t>Opening balance at 1 April</w:t>
                  </w:r>
                </w:p>
              </w:tc>
              <w:tc>
                <w:tcPr>
                  <w:tcW w:w="1871" w:type="dxa"/>
                  <w:shd w:val="clear" w:color="000000" w:fill="FFFFFF"/>
                  <w:noWrap/>
                  <w:vAlign w:val="bottom"/>
                  <w:hideMark/>
                </w:tcPr>
                <w:p w:rsidR="002359B6" w:rsidRPr="002F17B5" w:rsidRDefault="002359B6" w:rsidP="008950FD">
                  <w:pPr>
                    <w:autoSpaceDE/>
                    <w:autoSpaceDN/>
                    <w:adjustRightInd/>
                    <w:spacing w:before="0"/>
                    <w:ind w:left="-739" w:firstLine="739"/>
                    <w:jc w:val="right"/>
                    <w:rPr>
                      <w:rFonts w:eastAsia="Times New Roman" w:cs="Arial"/>
                      <w:lang w:eastAsia="en-GB"/>
                    </w:rPr>
                  </w:pPr>
                  <w:r w:rsidRPr="002F17B5">
                    <w:rPr>
                      <w:rFonts w:eastAsia="Times New Roman" w:cs="Arial"/>
                      <w:lang w:eastAsia="en-GB"/>
                    </w:rPr>
                    <w:t>2,986.1</w:t>
                  </w:r>
                </w:p>
              </w:tc>
              <w:tc>
                <w:tcPr>
                  <w:tcW w:w="1389"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2,555.4</w:t>
                  </w:r>
                </w:p>
              </w:tc>
              <w:tc>
                <w:tcPr>
                  <w:tcW w:w="1343"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150.1</w:t>
                  </w:r>
                </w:p>
              </w:tc>
              <w:tc>
                <w:tcPr>
                  <w:tcW w:w="1350"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137.4</w:t>
                  </w:r>
                </w:p>
              </w:tc>
            </w:tr>
            <w:tr w:rsidR="002359B6" w:rsidRPr="002F17B5" w:rsidTr="00C2701D">
              <w:trPr>
                <w:trHeight w:val="300"/>
              </w:trPr>
              <w:tc>
                <w:tcPr>
                  <w:tcW w:w="4287" w:type="dxa"/>
                  <w:shd w:val="clear" w:color="000000" w:fill="FFFFFF"/>
                  <w:noWrap/>
                  <w:vAlign w:val="bottom"/>
                  <w:hideMark/>
                </w:tcPr>
                <w:p w:rsidR="002359B6" w:rsidRPr="002F17B5" w:rsidRDefault="002359B6" w:rsidP="005E0813">
                  <w:pPr>
                    <w:autoSpaceDE/>
                    <w:autoSpaceDN/>
                    <w:adjustRightInd/>
                    <w:spacing w:before="0"/>
                    <w:jc w:val="left"/>
                    <w:rPr>
                      <w:rFonts w:eastAsia="Times New Roman" w:cs="Arial"/>
                      <w:lang w:eastAsia="en-GB"/>
                    </w:rPr>
                  </w:pPr>
                  <w:r w:rsidRPr="002F17B5">
                    <w:rPr>
                      <w:rFonts w:eastAsia="Times New Roman" w:cs="Arial"/>
                      <w:lang w:eastAsia="en-GB"/>
                    </w:rPr>
                    <w:t>Current service cost</w:t>
                  </w:r>
                </w:p>
              </w:tc>
              <w:tc>
                <w:tcPr>
                  <w:tcW w:w="1871"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87.7</w:t>
                  </w:r>
                </w:p>
              </w:tc>
              <w:tc>
                <w:tcPr>
                  <w:tcW w:w="1389"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63.5</w:t>
                  </w:r>
                </w:p>
              </w:tc>
              <w:tc>
                <w:tcPr>
                  <w:tcW w:w="1343"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0.0</w:t>
                  </w:r>
                </w:p>
              </w:tc>
              <w:tc>
                <w:tcPr>
                  <w:tcW w:w="1350"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0.0</w:t>
                  </w:r>
                </w:p>
              </w:tc>
            </w:tr>
            <w:tr w:rsidR="002359B6" w:rsidRPr="002F17B5" w:rsidTr="00C2701D">
              <w:trPr>
                <w:trHeight w:val="300"/>
              </w:trPr>
              <w:tc>
                <w:tcPr>
                  <w:tcW w:w="4287" w:type="dxa"/>
                  <w:shd w:val="clear" w:color="000000" w:fill="FFFFFF"/>
                  <w:noWrap/>
                  <w:vAlign w:val="bottom"/>
                  <w:hideMark/>
                </w:tcPr>
                <w:p w:rsidR="002359B6" w:rsidRPr="002F17B5" w:rsidRDefault="002359B6" w:rsidP="005E0813">
                  <w:pPr>
                    <w:autoSpaceDE/>
                    <w:autoSpaceDN/>
                    <w:adjustRightInd/>
                    <w:spacing w:before="0"/>
                    <w:jc w:val="left"/>
                    <w:rPr>
                      <w:rFonts w:eastAsia="Times New Roman" w:cs="Arial"/>
                      <w:lang w:eastAsia="en-GB"/>
                    </w:rPr>
                  </w:pPr>
                  <w:r w:rsidRPr="002F17B5">
                    <w:rPr>
                      <w:rFonts w:eastAsia="Times New Roman" w:cs="Arial"/>
                      <w:lang w:eastAsia="en-GB"/>
                    </w:rPr>
                    <w:t>Interest on pension liabilities</w:t>
                  </w:r>
                </w:p>
              </w:tc>
              <w:tc>
                <w:tcPr>
                  <w:tcW w:w="1871"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123.8</w:t>
                  </w:r>
                </w:p>
              </w:tc>
              <w:tc>
                <w:tcPr>
                  <w:tcW w:w="1389"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124.8</w:t>
                  </w:r>
                </w:p>
              </w:tc>
              <w:tc>
                <w:tcPr>
                  <w:tcW w:w="1343"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5.3</w:t>
                  </w:r>
                </w:p>
              </w:tc>
              <w:tc>
                <w:tcPr>
                  <w:tcW w:w="1350"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6.1</w:t>
                  </w:r>
                </w:p>
              </w:tc>
            </w:tr>
            <w:tr w:rsidR="002359B6" w:rsidRPr="002F17B5" w:rsidTr="00C2701D">
              <w:trPr>
                <w:trHeight w:val="300"/>
              </w:trPr>
              <w:tc>
                <w:tcPr>
                  <w:tcW w:w="4287" w:type="dxa"/>
                  <w:shd w:val="clear" w:color="000000" w:fill="FFFFFF"/>
                  <w:vAlign w:val="bottom"/>
                  <w:hideMark/>
                </w:tcPr>
                <w:p w:rsidR="002359B6" w:rsidRPr="002F17B5" w:rsidRDefault="0090683B" w:rsidP="005E0813">
                  <w:pPr>
                    <w:autoSpaceDE/>
                    <w:autoSpaceDN/>
                    <w:adjustRightInd/>
                    <w:spacing w:before="0"/>
                    <w:jc w:val="left"/>
                    <w:rPr>
                      <w:rFonts w:eastAsia="Times New Roman" w:cs="Arial"/>
                      <w:lang w:eastAsia="en-GB"/>
                    </w:rPr>
                  </w:pPr>
                  <w:r w:rsidRPr="002F17B5">
                    <w:rPr>
                      <w:rFonts w:eastAsia="Times New Roman" w:cs="Arial"/>
                      <w:lang w:eastAsia="en-GB"/>
                    </w:rPr>
                    <w:t>Contributions</w:t>
                  </w:r>
                  <w:r>
                    <w:rPr>
                      <w:rFonts w:eastAsia="Times New Roman" w:cs="Arial"/>
                      <w:lang w:eastAsia="en-GB"/>
                    </w:rPr>
                    <w:t xml:space="preserve"> from scheme participants</w:t>
                  </w:r>
                </w:p>
              </w:tc>
              <w:tc>
                <w:tcPr>
                  <w:tcW w:w="1871"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22.2</w:t>
                  </w:r>
                </w:p>
              </w:tc>
              <w:tc>
                <w:tcPr>
                  <w:tcW w:w="1389"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20.5</w:t>
                  </w:r>
                </w:p>
              </w:tc>
              <w:tc>
                <w:tcPr>
                  <w:tcW w:w="1343" w:type="dxa"/>
                  <w:shd w:val="clear" w:color="000000" w:fill="FFFFFF"/>
                  <w:noWrap/>
                  <w:vAlign w:val="bottom"/>
                  <w:hideMark/>
                </w:tcPr>
                <w:p w:rsidR="002359B6" w:rsidRPr="002F17B5" w:rsidRDefault="000F59A8" w:rsidP="008950FD">
                  <w:pPr>
                    <w:autoSpaceDE/>
                    <w:autoSpaceDN/>
                    <w:adjustRightInd/>
                    <w:spacing w:before="0"/>
                    <w:jc w:val="right"/>
                    <w:rPr>
                      <w:rFonts w:eastAsia="Times New Roman" w:cs="Arial"/>
                      <w:lang w:eastAsia="en-GB"/>
                    </w:rPr>
                  </w:pPr>
                  <w:r w:rsidRPr="002F17B5">
                    <w:rPr>
                      <w:rFonts w:eastAsia="Times New Roman" w:cs="Arial"/>
                      <w:lang w:eastAsia="en-GB"/>
                    </w:rPr>
                    <w:t>-</w:t>
                  </w:r>
                </w:p>
              </w:tc>
              <w:tc>
                <w:tcPr>
                  <w:tcW w:w="1350" w:type="dxa"/>
                  <w:shd w:val="clear" w:color="000000" w:fill="FFFFFF"/>
                  <w:noWrap/>
                  <w:vAlign w:val="bottom"/>
                  <w:hideMark/>
                </w:tcPr>
                <w:p w:rsidR="002359B6" w:rsidRPr="002F17B5" w:rsidRDefault="000F59A8" w:rsidP="008950FD">
                  <w:pPr>
                    <w:autoSpaceDE/>
                    <w:autoSpaceDN/>
                    <w:adjustRightInd/>
                    <w:spacing w:before="0"/>
                    <w:jc w:val="right"/>
                    <w:rPr>
                      <w:rFonts w:eastAsia="Times New Roman" w:cs="Arial"/>
                      <w:lang w:eastAsia="en-GB"/>
                    </w:rPr>
                  </w:pPr>
                  <w:r w:rsidRPr="002F17B5">
                    <w:rPr>
                      <w:rFonts w:eastAsia="Times New Roman" w:cs="Arial"/>
                      <w:lang w:eastAsia="en-GB"/>
                    </w:rPr>
                    <w:t>-</w:t>
                  </w:r>
                </w:p>
              </w:tc>
            </w:tr>
            <w:tr w:rsidR="0090683B" w:rsidRPr="002F17B5" w:rsidTr="00C2701D">
              <w:trPr>
                <w:trHeight w:val="300"/>
              </w:trPr>
              <w:tc>
                <w:tcPr>
                  <w:tcW w:w="4287" w:type="dxa"/>
                  <w:shd w:val="clear" w:color="000000" w:fill="FFFFFF"/>
                  <w:noWrap/>
                  <w:vAlign w:val="bottom"/>
                </w:tcPr>
                <w:p w:rsidR="0090683B" w:rsidRPr="0090683B" w:rsidRDefault="0090683B" w:rsidP="00C2701D">
                  <w:pPr>
                    <w:autoSpaceDE/>
                    <w:autoSpaceDN/>
                    <w:adjustRightInd/>
                    <w:spacing w:before="0"/>
                    <w:jc w:val="left"/>
                    <w:rPr>
                      <w:rFonts w:eastAsia="Times New Roman" w:cs="Arial"/>
                      <w:u w:val="single"/>
                      <w:lang w:eastAsia="en-GB"/>
                    </w:rPr>
                  </w:pPr>
                  <w:r w:rsidRPr="002F17B5">
                    <w:rPr>
                      <w:rFonts w:eastAsia="Times New Roman" w:cs="Arial"/>
                      <w:lang w:eastAsia="en-GB"/>
                    </w:rPr>
                    <w:t>Benefits/Transfers paid</w:t>
                  </w:r>
                </w:p>
              </w:tc>
              <w:tc>
                <w:tcPr>
                  <w:tcW w:w="1871" w:type="dxa"/>
                  <w:shd w:val="clear" w:color="000000" w:fill="FFFFFF"/>
                  <w:noWrap/>
                  <w:vAlign w:val="bottom"/>
                </w:tcPr>
                <w:p w:rsidR="0090683B" w:rsidRPr="002F17B5" w:rsidRDefault="0090683B" w:rsidP="00C2701D">
                  <w:pPr>
                    <w:autoSpaceDE/>
                    <w:autoSpaceDN/>
                    <w:adjustRightInd/>
                    <w:spacing w:before="0"/>
                    <w:jc w:val="right"/>
                    <w:rPr>
                      <w:rFonts w:eastAsia="Times New Roman" w:cs="Arial"/>
                      <w:lang w:eastAsia="en-GB"/>
                    </w:rPr>
                  </w:pPr>
                  <w:r>
                    <w:rPr>
                      <w:rFonts w:eastAsia="Times New Roman" w:cs="Arial"/>
                      <w:lang w:eastAsia="en-GB"/>
                    </w:rPr>
                    <w:t>(97.6)</w:t>
                  </w:r>
                </w:p>
              </w:tc>
              <w:tc>
                <w:tcPr>
                  <w:tcW w:w="1389" w:type="dxa"/>
                  <w:shd w:val="clear" w:color="000000" w:fill="FFFFFF"/>
                  <w:noWrap/>
                  <w:vAlign w:val="bottom"/>
                </w:tcPr>
                <w:p w:rsidR="0090683B" w:rsidRPr="002F17B5" w:rsidRDefault="0090683B" w:rsidP="00C2701D">
                  <w:pPr>
                    <w:autoSpaceDE/>
                    <w:autoSpaceDN/>
                    <w:adjustRightInd/>
                    <w:spacing w:before="0"/>
                    <w:jc w:val="right"/>
                    <w:rPr>
                      <w:rFonts w:eastAsia="Times New Roman" w:cs="Arial"/>
                      <w:lang w:eastAsia="en-GB"/>
                    </w:rPr>
                  </w:pPr>
                  <w:r>
                    <w:rPr>
                      <w:rFonts w:eastAsia="Times New Roman" w:cs="Arial"/>
                      <w:lang w:eastAsia="en-GB"/>
                    </w:rPr>
                    <w:t>(93.9)</w:t>
                  </w:r>
                </w:p>
              </w:tc>
              <w:tc>
                <w:tcPr>
                  <w:tcW w:w="1343" w:type="dxa"/>
                  <w:shd w:val="clear" w:color="000000" w:fill="FFFFFF"/>
                  <w:noWrap/>
                  <w:vAlign w:val="bottom"/>
                </w:tcPr>
                <w:p w:rsidR="0090683B" w:rsidRPr="002F17B5" w:rsidRDefault="0090683B" w:rsidP="00C2701D">
                  <w:pPr>
                    <w:autoSpaceDE/>
                    <w:autoSpaceDN/>
                    <w:adjustRightInd/>
                    <w:spacing w:before="0"/>
                    <w:jc w:val="right"/>
                    <w:rPr>
                      <w:rFonts w:eastAsia="Times New Roman" w:cs="Arial"/>
                      <w:lang w:eastAsia="en-GB"/>
                    </w:rPr>
                  </w:pPr>
                  <w:r>
                    <w:rPr>
                      <w:rFonts w:eastAsia="Times New Roman" w:cs="Arial"/>
                      <w:lang w:eastAsia="en-GB"/>
                    </w:rPr>
                    <w:t>(11.2)</w:t>
                  </w:r>
                </w:p>
              </w:tc>
              <w:tc>
                <w:tcPr>
                  <w:tcW w:w="1350" w:type="dxa"/>
                  <w:shd w:val="clear" w:color="000000" w:fill="FFFFFF"/>
                  <w:noWrap/>
                  <w:vAlign w:val="bottom"/>
                </w:tcPr>
                <w:p w:rsidR="0090683B" w:rsidRPr="002F17B5" w:rsidRDefault="0090683B" w:rsidP="00C2701D">
                  <w:pPr>
                    <w:autoSpaceDE/>
                    <w:autoSpaceDN/>
                    <w:adjustRightInd/>
                    <w:spacing w:before="0"/>
                    <w:jc w:val="right"/>
                    <w:rPr>
                      <w:rFonts w:eastAsia="Times New Roman" w:cs="Arial"/>
                      <w:lang w:eastAsia="en-GB"/>
                    </w:rPr>
                  </w:pPr>
                  <w:r>
                    <w:rPr>
                      <w:rFonts w:eastAsia="Times New Roman" w:cs="Arial"/>
                      <w:lang w:eastAsia="en-GB"/>
                    </w:rPr>
                    <w:t>(11.1)</w:t>
                  </w:r>
                </w:p>
              </w:tc>
            </w:tr>
            <w:tr w:rsidR="0090683B" w:rsidRPr="002F17B5" w:rsidTr="00C2701D">
              <w:trPr>
                <w:trHeight w:val="300"/>
              </w:trPr>
              <w:tc>
                <w:tcPr>
                  <w:tcW w:w="4287" w:type="dxa"/>
                  <w:shd w:val="clear" w:color="000000" w:fill="FFFFFF"/>
                  <w:noWrap/>
                  <w:vAlign w:val="bottom"/>
                </w:tcPr>
                <w:p w:rsidR="0090683B" w:rsidRPr="0090683B" w:rsidRDefault="0090683B" w:rsidP="00C2701D">
                  <w:pPr>
                    <w:autoSpaceDE/>
                    <w:autoSpaceDN/>
                    <w:adjustRightInd/>
                    <w:spacing w:before="0"/>
                    <w:jc w:val="left"/>
                    <w:rPr>
                      <w:rFonts w:eastAsia="Times New Roman" w:cs="Arial"/>
                      <w:u w:val="single"/>
                      <w:lang w:eastAsia="en-GB"/>
                    </w:rPr>
                  </w:pPr>
                  <w:r w:rsidRPr="002F17B5">
                    <w:rPr>
                      <w:rFonts w:eastAsia="Times New Roman" w:cs="Arial"/>
                      <w:lang w:eastAsia="en-GB"/>
                    </w:rPr>
                    <w:t>Curtailment</w:t>
                  </w:r>
                  <w:r w:rsidR="00293B06">
                    <w:rPr>
                      <w:rFonts w:eastAsia="Times New Roman" w:cs="Arial"/>
                      <w:lang w:eastAsia="en-GB"/>
                    </w:rPr>
                    <w:t xml:space="preserve"> cost</w:t>
                  </w:r>
                </w:p>
              </w:tc>
              <w:tc>
                <w:tcPr>
                  <w:tcW w:w="1871" w:type="dxa"/>
                  <w:shd w:val="clear" w:color="000000" w:fill="FFFFFF"/>
                  <w:noWrap/>
                  <w:vAlign w:val="bottom"/>
                </w:tcPr>
                <w:p w:rsidR="0090683B" w:rsidRPr="002F17B5" w:rsidRDefault="0090683B" w:rsidP="00C2701D">
                  <w:pPr>
                    <w:autoSpaceDE/>
                    <w:autoSpaceDN/>
                    <w:adjustRightInd/>
                    <w:spacing w:before="0"/>
                    <w:jc w:val="right"/>
                    <w:rPr>
                      <w:rFonts w:eastAsia="Times New Roman" w:cs="Arial"/>
                      <w:lang w:eastAsia="en-GB"/>
                    </w:rPr>
                  </w:pPr>
                  <w:r>
                    <w:rPr>
                      <w:rFonts w:eastAsia="Times New Roman" w:cs="Arial"/>
                      <w:lang w:eastAsia="en-GB"/>
                    </w:rPr>
                    <w:t>1.3</w:t>
                  </w:r>
                </w:p>
              </w:tc>
              <w:tc>
                <w:tcPr>
                  <w:tcW w:w="1389" w:type="dxa"/>
                  <w:shd w:val="clear" w:color="000000" w:fill="FFFFFF"/>
                  <w:noWrap/>
                  <w:vAlign w:val="bottom"/>
                </w:tcPr>
                <w:p w:rsidR="0090683B" w:rsidRPr="002F17B5" w:rsidRDefault="0090683B" w:rsidP="00C2701D">
                  <w:pPr>
                    <w:autoSpaceDE/>
                    <w:autoSpaceDN/>
                    <w:adjustRightInd/>
                    <w:spacing w:before="0"/>
                    <w:jc w:val="right"/>
                    <w:rPr>
                      <w:rFonts w:eastAsia="Times New Roman" w:cs="Arial"/>
                      <w:lang w:eastAsia="en-GB"/>
                    </w:rPr>
                  </w:pPr>
                  <w:r>
                    <w:rPr>
                      <w:rFonts w:eastAsia="Times New Roman" w:cs="Arial"/>
                      <w:lang w:eastAsia="en-GB"/>
                    </w:rPr>
                    <w:t>1.3</w:t>
                  </w:r>
                </w:p>
              </w:tc>
              <w:tc>
                <w:tcPr>
                  <w:tcW w:w="1343" w:type="dxa"/>
                  <w:shd w:val="clear" w:color="000000" w:fill="FFFFFF"/>
                  <w:noWrap/>
                  <w:vAlign w:val="bottom"/>
                </w:tcPr>
                <w:p w:rsidR="0090683B" w:rsidRPr="002F17B5" w:rsidRDefault="0090683B" w:rsidP="00C2701D">
                  <w:pPr>
                    <w:autoSpaceDE/>
                    <w:autoSpaceDN/>
                    <w:adjustRightInd/>
                    <w:spacing w:before="0"/>
                    <w:jc w:val="right"/>
                    <w:rPr>
                      <w:rFonts w:eastAsia="Times New Roman" w:cs="Arial"/>
                      <w:lang w:eastAsia="en-GB"/>
                    </w:rPr>
                  </w:pPr>
                  <w:r>
                    <w:rPr>
                      <w:rFonts w:eastAsia="Times New Roman" w:cs="Arial"/>
                      <w:lang w:eastAsia="en-GB"/>
                    </w:rPr>
                    <w:t>-</w:t>
                  </w:r>
                </w:p>
              </w:tc>
              <w:tc>
                <w:tcPr>
                  <w:tcW w:w="1350" w:type="dxa"/>
                  <w:shd w:val="clear" w:color="000000" w:fill="FFFFFF"/>
                  <w:noWrap/>
                  <w:vAlign w:val="bottom"/>
                </w:tcPr>
                <w:p w:rsidR="0090683B" w:rsidRPr="002F17B5" w:rsidRDefault="0090683B" w:rsidP="00C2701D">
                  <w:pPr>
                    <w:autoSpaceDE/>
                    <w:autoSpaceDN/>
                    <w:adjustRightInd/>
                    <w:spacing w:before="0"/>
                    <w:jc w:val="right"/>
                    <w:rPr>
                      <w:rFonts w:eastAsia="Times New Roman" w:cs="Arial"/>
                      <w:lang w:eastAsia="en-GB"/>
                    </w:rPr>
                  </w:pPr>
                  <w:r>
                    <w:rPr>
                      <w:rFonts w:eastAsia="Times New Roman" w:cs="Arial"/>
                      <w:lang w:eastAsia="en-GB"/>
                    </w:rPr>
                    <w:t>-</w:t>
                  </w:r>
                </w:p>
              </w:tc>
            </w:tr>
            <w:tr w:rsidR="0090683B" w:rsidRPr="002F17B5" w:rsidTr="00C2701D">
              <w:trPr>
                <w:trHeight w:val="300"/>
              </w:trPr>
              <w:tc>
                <w:tcPr>
                  <w:tcW w:w="4287" w:type="dxa"/>
                  <w:shd w:val="clear" w:color="000000" w:fill="FFFFFF"/>
                  <w:noWrap/>
                  <w:vAlign w:val="bottom"/>
                </w:tcPr>
                <w:p w:rsidR="0090683B" w:rsidRPr="0090683B" w:rsidRDefault="00293B06" w:rsidP="00293B06">
                  <w:pPr>
                    <w:autoSpaceDE/>
                    <w:autoSpaceDN/>
                    <w:adjustRightInd/>
                    <w:spacing w:before="0"/>
                    <w:jc w:val="left"/>
                    <w:rPr>
                      <w:rFonts w:eastAsia="Times New Roman" w:cs="Arial"/>
                      <w:u w:val="single"/>
                      <w:lang w:eastAsia="en-GB"/>
                    </w:rPr>
                  </w:pPr>
                  <w:r>
                    <w:rPr>
                      <w:rFonts w:eastAsia="Times New Roman" w:cs="Arial"/>
                      <w:lang w:eastAsia="en-GB"/>
                    </w:rPr>
                    <w:t>Gain/loss from s</w:t>
                  </w:r>
                  <w:r w:rsidR="0090683B" w:rsidRPr="002F17B5">
                    <w:rPr>
                      <w:rFonts w:eastAsia="Times New Roman" w:cs="Arial"/>
                      <w:lang w:eastAsia="en-GB"/>
                    </w:rPr>
                    <w:t>ettlements</w:t>
                  </w:r>
                </w:p>
              </w:tc>
              <w:tc>
                <w:tcPr>
                  <w:tcW w:w="1871" w:type="dxa"/>
                  <w:shd w:val="clear" w:color="000000" w:fill="FFFFFF"/>
                  <w:noWrap/>
                  <w:vAlign w:val="bottom"/>
                </w:tcPr>
                <w:p w:rsidR="0090683B" w:rsidRPr="002F17B5" w:rsidRDefault="00F342AF" w:rsidP="00C2701D">
                  <w:pPr>
                    <w:autoSpaceDE/>
                    <w:autoSpaceDN/>
                    <w:adjustRightInd/>
                    <w:spacing w:before="0"/>
                    <w:jc w:val="right"/>
                    <w:rPr>
                      <w:rFonts w:eastAsia="Times New Roman" w:cs="Arial"/>
                      <w:lang w:eastAsia="en-GB"/>
                    </w:rPr>
                  </w:pPr>
                  <w:r>
                    <w:rPr>
                      <w:rFonts w:eastAsia="Times New Roman" w:cs="Arial"/>
                      <w:lang w:eastAsia="en-GB"/>
                    </w:rPr>
                    <w:t>(0.5)</w:t>
                  </w:r>
                </w:p>
              </w:tc>
              <w:tc>
                <w:tcPr>
                  <w:tcW w:w="1389" w:type="dxa"/>
                  <w:shd w:val="clear" w:color="000000" w:fill="FFFFFF"/>
                  <w:noWrap/>
                  <w:vAlign w:val="bottom"/>
                </w:tcPr>
                <w:p w:rsidR="0090683B" w:rsidRPr="002F17B5" w:rsidRDefault="00F342AF" w:rsidP="00C2701D">
                  <w:pPr>
                    <w:autoSpaceDE/>
                    <w:autoSpaceDN/>
                    <w:adjustRightInd/>
                    <w:spacing w:before="0"/>
                    <w:jc w:val="right"/>
                    <w:rPr>
                      <w:rFonts w:eastAsia="Times New Roman" w:cs="Arial"/>
                      <w:lang w:eastAsia="en-GB"/>
                    </w:rPr>
                  </w:pPr>
                  <w:r>
                    <w:rPr>
                      <w:rFonts w:eastAsia="Times New Roman" w:cs="Arial"/>
                      <w:lang w:eastAsia="en-GB"/>
                    </w:rPr>
                    <w:t>(7.0)</w:t>
                  </w:r>
                </w:p>
              </w:tc>
              <w:tc>
                <w:tcPr>
                  <w:tcW w:w="1343" w:type="dxa"/>
                  <w:shd w:val="clear" w:color="000000" w:fill="FFFFFF"/>
                  <w:noWrap/>
                  <w:vAlign w:val="bottom"/>
                </w:tcPr>
                <w:p w:rsidR="0090683B" w:rsidRPr="002F17B5" w:rsidRDefault="00F342AF" w:rsidP="00C2701D">
                  <w:pPr>
                    <w:autoSpaceDE/>
                    <w:autoSpaceDN/>
                    <w:adjustRightInd/>
                    <w:spacing w:before="0"/>
                    <w:jc w:val="right"/>
                    <w:rPr>
                      <w:rFonts w:eastAsia="Times New Roman" w:cs="Arial"/>
                      <w:lang w:eastAsia="en-GB"/>
                    </w:rPr>
                  </w:pPr>
                  <w:r>
                    <w:rPr>
                      <w:rFonts w:eastAsia="Times New Roman" w:cs="Arial"/>
                      <w:lang w:eastAsia="en-GB"/>
                    </w:rPr>
                    <w:t>-</w:t>
                  </w:r>
                </w:p>
              </w:tc>
              <w:tc>
                <w:tcPr>
                  <w:tcW w:w="1350" w:type="dxa"/>
                  <w:shd w:val="clear" w:color="000000" w:fill="FFFFFF"/>
                  <w:noWrap/>
                  <w:vAlign w:val="bottom"/>
                </w:tcPr>
                <w:p w:rsidR="0090683B" w:rsidRPr="002F17B5" w:rsidRDefault="00F342AF" w:rsidP="00C2701D">
                  <w:pPr>
                    <w:autoSpaceDE/>
                    <w:autoSpaceDN/>
                    <w:adjustRightInd/>
                    <w:spacing w:before="0"/>
                    <w:jc w:val="right"/>
                    <w:rPr>
                      <w:rFonts w:eastAsia="Times New Roman" w:cs="Arial"/>
                      <w:lang w:eastAsia="en-GB"/>
                    </w:rPr>
                  </w:pPr>
                  <w:r>
                    <w:rPr>
                      <w:rFonts w:eastAsia="Times New Roman" w:cs="Arial"/>
                      <w:lang w:eastAsia="en-GB"/>
                    </w:rPr>
                    <w:t>-</w:t>
                  </w:r>
                </w:p>
              </w:tc>
            </w:tr>
            <w:tr w:rsidR="0090683B" w:rsidRPr="002F17B5" w:rsidTr="00C2701D">
              <w:trPr>
                <w:trHeight w:val="300"/>
              </w:trPr>
              <w:tc>
                <w:tcPr>
                  <w:tcW w:w="4287" w:type="dxa"/>
                  <w:shd w:val="clear" w:color="000000" w:fill="FFFFFF"/>
                  <w:noWrap/>
                  <w:vAlign w:val="bottom"/>
                </w:tcPr>
                <w:p w:rsidR="0090683B" w:rsidRPr="0090683B" w:rsidRDefault="0090683B" w:rsidP="005A56D4">
                  <w:pPr>
                    <w:autoSpaceDE/>
                    <w:autoSpaceDN/>
                    <w:adjustRightInd/>
                    <w:spacing w:before="0"/>
                    <w:jc w:val="left"/>
                    <w:rPr>
                      <w:rFonts w:eastAsia="Times New Roman" w:cs="Arial"/>
                      <w:u w:val="single"/>
                      <w:lang w:eastAsia="en-GB"/>
                    </w:rPr>
                  </w:pPr>
                  <w:r w:rsidRPr="002F17B5">
                    <w:rPr>
                      <w:rFonts w:eastAsia="Times New Roman" w:cs="Arial"/>
                      <w:lang w:eastAsia="en-GB"/>
                    </w:rPr>
                    <w:t xml:space="preserve">Past service cost </w:t>
                  </w:r>
                </w:p>
              </w:tc>
              <w:tc>
                <w:tcPr>
                  <w:tcW w:w="1871" w:type="dxa"/>
                  <w:shd w:val="clear" w:color="000000" w:fill="FFFFFF"/>
                  <w:noWrap/>
                  <w:vAlign w:val="bottom"/>
                </w:tcPr>
                <w:p w:rsidR="0090683B" w:rsidRPr="002F17B5" w:rsidRDefault="00F342AF" w:rsidP="00C2701D">
                  <w:pPr>
                    <w:autoSpaceDE/>
                    <w:autoSpaceDN/>
                    <w:adjustRightInd/>
                    <w:spacing w:before="0"/>
                    <w:jc w:val="right"/>
                    <w:rPr>
                      <w:rFonts w:eastAsia="Times New Roman" w:cs="Arial"/>
                      <w:lang w:eastAsia="en-GB"/>
                    </w:rPr>
                  </w:pPr>
                  <w:r>
                    <w:rPr>
                      <w:rFonts w:eastAsia="Times New Roman" w:cs="Arial"/>
                      <w:lang w:eastAsia="en-GB"/>
                    </w:rPr>
                    <w:t>0.2</w:t>
                  </w:r>
                </w:p>
              </w:tc>
              <w:tc>
                <w:tcPr>
                  <w:tcW w:w="1389" w:type="dxa"/>
                  <w:shd w:val="clear" w:color="000000" w:fill="FFFFFF"/>
                  <w:noWrap/>
                  <w:vAlign w:val="bottom"/>
                </w:tcPr>
                <w:p w:rsidR="0090683B" w:rsidRPr="002F17B5" w:rsidRDefault="00F342AF" w:rsidP="00C2701D">
                  <w:pPr>
                    <w:autoSpaceDE/>
                    <w:autoSpaceDN/>
                    <w:adjustRightInd/>
                    <w:spacing w:before="0"/>
                    <w:jc w:val="right"/>
                    <w:rPr>
                      <w:rFonts w:eastAsia="Times New Roman" w:cs="Arial"/>
                      <w:lang w:eastAsia="en-GB"/>
                    </w:rPr>
                  </w:pPr>
                  <w:r>
                    <w:rPr>
                      <w:rFonts w:eastAsia="Times New Roman" w:cs="Arial"/>
                      <w:lang w:eastAsia="en-GB"/>
                    </w:rPr>
                    <w:t>0.1</w:t>
                  </w:r>
                </w:p>
              </w:tc>
              <w:tc>
                <w:tcPr>
                  <w:tcW w:w="1343" w:type="dxa"/>
                  <w:shd w:val="clear" w:color="000000" w:fill="FFFFFF"/>
                  <w:noWrap/>
                  <w:vAlign w:val="bottom"/>
                </w:tcPr>
                <w:p w:rsidR="0090683B" w:rsidRPr="002F17B5" w:rsidRDefault="00F342AF" w:rsidP="00C2701D">
                  <w:pPr>
                    <w:autoSpaceDE/>
                    <w:autoSpaceDN/>
                    <w:adjustRightInd/>
                    <w:spacing w:before="0"/>
                    <w:jc w:val="right"/>
                    <w:rPr>
                      <w:rFonts w:eastAsia="Times New Roman" w:cs="Arial"/>
                      <w:lang w:eastAsia="en-GB"/>
                    </w:rPr>
                  </w:pPr>
                  <w:r>
                    <w:rPr>
                      <w:rFonts w:eastAsia="Times New Roman" w:cs="Arial"/>
                      <w:lang w:eastAsia="en-GB"/>
                    </w:rPr>
                    <w:t>-</w:t>
                  </w:r>
                </w:p>
              </w:tc>
              <w:tc>
                <w:tcPr>
                  <w:tcW w:w="1350" w:type="dxa"/>
                  <w:shd w:val="clear" w:color="000000" w:fill="FFFFFF"/>
                  <w:noWrap/>
                  <w:vAlign w:val="bottom"/>
                </w:tcPr>
                <w:p w:rsidR="0090683B" w:rsidRPr="002F17B5" w:rsidRDefault="00F342AF" w:rsidP="00C2701D">
                  <w:pPr>
                    <w:autoSpaceDE/>
                    <w:autoSpaceDN/>
                    <w:adjustRightInd/>
                    <w:spacing w:before="0"/>
                    <w:jc w:val="right"/>
                    <w:rPr>
                      <w:rFonts w:eastAsia="Times New Roman" w:cs="Arial"/>
                      <w:lang w:eastAsia="en-GB"/>
                    </w:rPr>
                  </w:pPr>
                  <w:r>
                    <w:rPr>
                      <w:rFonts w:eastAsia="Times New Roman" w:cs="Arial"/>
                      <w:lang w:eastAsia="en-GB"/>
                    </w:rPr>
                    <w:t>-</w:t>
                  </w:r>
                </w:p>
              </w:tc>
            </w:tr>
            <w:tr w:rsidR="00BD3170" w:rsidRPr="002F17B5" w:rsidTr="00C2701D">
              <w:trPr>
                <w:trHeight w:val="300"/>
              </w:trPr>
              <w:tc>
                <w:tcPr>
                  <w:tcW w:w="4287" w:type="dxa"/>
                  <w:shd w:val="clear" w:color="000000" w:fill="FFFFFF"/>
                  <w:noWrap/>
                  <w:vAlign w:val="bottom"/>
                </w:tcPr>
                <w:p w:rsidR="00BD3170" w:rsidRPr="006A6598" w:rsidRDefault="0090683B" w:rsidP="005A56D4">
                  <w:pPr>
                    <w:autoSpaceDE/>
                    <w:autoSpaceDN/>
                    <w:adjustRightInd/>
                    <w:spacing w:before="0"/>
                    <w:jc w:val="left"/>
                    <w:rPr>
                      <w:rFonts w:eastAsia="Times New Roman" w:cs="Arial"/>
                      <w:u w:val="single"/>
                      <w:lang w:eastAsia="en-GB"/>
                    </w:rPr>
                  </w:pPr>
                  <w:proofErr w:type="spellStart"/>
                  <w:r w:rsidRPr="006A6598">
                    <w:rPr>
                      <w:rFonts w:eastAsia="Times New Roman" w:cs="Arial"/>
                      <w:u w:val="single"/>
                      <w:lang w:eastAsia="en-GB"/>
                    </w:rPr>
                    <w:t>Remeasurement</w:t>
                  </w:r>
                  <w:proofErr w:type="spellEnd"/>
                  <w:r w:rsidRPr="006A6598">
                    <w:rPr>
                      <w:rFonts w:eastAsia="Times New Roman" w:cs="Arial"/>
                      <w:u w:val="single"/>
                      <w:lang w:eastAsia="en-GB"/>
                    </w:rPr>
                    <w:t xml:space="preserve"> </w:t>
                  </w:r>
                  <w:r w:rsidR="00B4527F">
                    <w:rPr>
                      <w:rFonts w:eastAsia="Times New Roman" w:cs="Arial"/>
                      <w:u w:val="single"/>
                      <w:lang w:eastAsia="en-GB"/>
                    </w:rPr>
                    <w:t>(</w:t>
                  </w:r>
                  <w:r w:rsidR="00147DA5">
                    <w:rPr>
                      <w:rFonts w:eastAsia="Times New Roman" w:cs="Arial"/>
                      <w:u w:val="single"/>
                      <w:lang w:eastAsia="en-GB"/>
                    </w:rPr>
                    <w:t>gains</w:t>
                  </w:r>
                  <w:r w:rsidR="00B4527F">
                    <w:rPr>
                      <w:rFonts w:eastAsia="Times New Roman" w:cs="Arial"/>
                      <w:u w:val="single"/>
                      <w:lang w:eastAsia="en-GB"/>
                    </w:rPr>
                    <w:t>)</w:t>
                  </w:r>
                  <w:r w:rsidR="00147DA5">
                    <w:rPr>
                      <w:rFonts w:eastAsia="Times New Roman" w:cs="Arial"/>
                      <w:u w:val="single"/>
                      <w:lang w:eastAsia="en-GB"/>
                    </w:rPr>
                    <w:t xml:space="preserve"> and losses</w:t>
                  </w:r>
                </w:p>
              </w:tc>
              <w:tc>
                <w:tcPr>
                  <w:tcW w:w="1871" w:type="dxa"/>
                  <w:shd w:val="clear" w:color="000000" w:fill="FFFFFF"/>
                  <w:noWrap/>
                  <w:vAlign w:val="bottom"/>
                </w:tcPr>
                <w:p w:rsidR="00BD3170" w:rsidRPr="002F17B5" w:rsidRDefault="00BD3170" w:rsidP="00C2701D">
                  <w:pPr>
                    <w:autoSpaceDE/>
                    <w:autoSpaceDN/>
                    <w:adjustRightInd/>
                    <w:spacing w:before="0"/>
                    <w:jc w:val="right"/>
                    <w:rPr>
                      <w:rFonts w:eastAsia="Times New Roman" w:cs="Arial"/>
                      <w:lang w:eastAsia="en-GB"/>
                    </w:rPr>
                  </w:pPr>
                </w:p>
              </w:tc>
              <w:tc>
                <w:tcPr>
                  <w:tcW w:w="1389" w:type="dxa"/>
                  <w:shd w:val="clear" w:color="000000" w:fill="FFFFFF"/>
                  <w:noWrap/>
                  <w:vAlign w:val="bottom"/>
                </w:tcPr>
                <w:p w:rsidR="00BD3170" w:rsidRPr="002F17B5" w:rsidRDefault="00BD3170" w:rsidP="00C2701D">
                  <w:pPr>
                    <w:autoSpaceDE/>
                    <w:autoSpaceDN/>
                    <w:adjustRightInd/>
                    <w:spacing w:before="0"/>
                    <w:jc w:val="right"/>
                    <w:rPr>
                      <w:rFonts w:eastAsia="Times New Roman" w:cs="Arial"/>
                      <w:lang w:eastAsia="en-GB"/>
                    </w:rPr>
                  </w:pPr>
                </w:p>
              </w:tc>
              <w:tc>
                <w:tcPr>
                  <w:tcW w:w="1343" w:type="dxa"/>
                  <w:shd w:val="clear" w:color="000000" w:fill="FFFFFF"/>
                  <w:noWrap/>
                  <w:vAlign w:val="bottom"/>
                </w:tcPr>
                <w:p w:rsidR="00BD3170" w:rsidRPr="002F17B5" w:rsidRDefault="00BD3170" w:rsidP="00C2701D">
                  <w:pPr>
                    <w:autoSpaceDE/>
                    <w:autoSpaceDN/>
                    <w:adjustRightInd/>
                    <w:spacing w:before="0"/>
                    <w:jc w:val="right"/>
                    <w:rPr>
                      <w:rFonts w:eastAsia="Times New Roman" w:cs="Arial"/>
                      <w:lang w:eastAsia="en-GB"/>
                    </w:rPr>
                  </w:pPr>
                </w:p>
              </w:tc>
              <w:tc>
                <w:tcPr>
                  <w:tcW w:w="1350" w:type="dxa"/>
                  <w:shd w:val="clear" w:color="000000" w:fill="FFFFFF"/>
                  <w:noWrap/>
                  <w:vAlign w:val="bottom"/>
                </w:tcPr>
                <w:p w:rsidR="00BD3170" w:rsidRPr="002F17B5" w:rsidRDefault="00BD3170" w:rsidP="00C2701D">
                  <w:pPr>
                    <w:autoSpaceDE/>
                    <w:autoSpaceDN/>
                    <w:adjustRightInd/>
                    <w:spacing w:before="0"/>
                    <w:jc w:val="right"/>
                    <w:rPr>
                      <w:rFonts w:eastAsia="Times New Roman" w:cs="Arial"/>
                      <w:lang w:eastAsia="en-GB"/>
                    </w:rPr>
                  </w:pPr>
                </w:p>
              </w:tc>
            </w:tr>
            <w:tr w:rsidR="00C2701D" w:rsidRPr="002F17B5" w:rsidTr="00C2701D">
              <w:trPr>
                <w:trHeight w:val="300"/>
              </w:trPr>
              <w:tc>
                <w:tcPr>
                  <w:tcW w:w="4287" w:type="dxa"/>
                  <w:shd w:val="clear" w:color="000000" w:fill="FFFFFF"/>
                  <w:noWrap/>
                  <w:vAlign w:val="bottom"/>
                  <w:hideMark/>
                </w:tcPr>
                <w:p w:rsidR="00C2701D" w:rsidRPr="002F17B5" w:rsidRDefault="00C2701D">
                  <w:pPr>
                    <w:autoSpaceDE/>
                    <w:autoSpaceDN/>
                    <w:adjustRightInd/>
                    <w:spacing w:before="0"/>
                    <w:jc w:val="left"/>
                    <w:rPr>
                      <w:rFonts w:eastAsia="Times New Roman" w:cs="Arial"/>
                      <w:lang w:eastAsia="en-GB"/>
                    </w:rPr>
                  </w:pPr>
                  <w:r w:rsidRPr="002F17B5">
                    <w:rPr>
                      <w:rFonts w:eastAsia="Times New Roman" w:cs="Arial"/>
                      <w:lang w:eastAsia="en-GB"/>
                    </w:rPr>
                    <w:t xml:space="preserve">Experience </w:t>
                  </w:r>
                  <w:r w:rsidR="00F342AF">
                    <w:rPr>
                      <w:rFonts w:eastAsia="Times New Roman" w:cs="Arial"/>
                      <w:lang w:eastAsia="en-GB"/>
                    </w:rPr>
                    <w:t>(</w:t>
                  </w:r>
                  <w:r w:rsidRPr="002F17B5">
                    <w:rPr>
                      <w:rFonts w:eastAsia="Times New Roman" w:cs="Arial"/>
                      <w:lang w:eastAsia="en-GB"/>
                    </w:rPr>
                    <w:t>gain</w:t>
                  </w:r>
                  <w:r w:rsidR="00147DA5">
                    <w:rPr>
                      <w:rFonts w:eastAsia="Times New Roman" w:cs="Arial"/>
                      <w:lang w:eastAsia="en-GB"/>
                    </w:rPr>
                    <w:t>s</w:t>
                  </w:r>
                  <w:r w:rsidR="00F342AF">
                    <w:rPr>
                      <w:rFonts w:eastAsia="Times New Roman" w:cs="Arial"/>
                      <w:lang w:eastAsia="en-GB"/>
                    </w:rPr>
                    <w:t>)</w:t>
                  </w:r>
                  <w:r w:rsidRPr="002F17B5">
                    <w:rPr>
                      <w:rFonts w:eastAsia="Times New Roman" w:cs="Arial"/>
                      <w:lang w:eastAsia="en-GB"/>
                    </w:rPr>
                    <w:t>/loss</w:t>
                  </w:r>
                  <w:r w:rsidR="00147DA5">
                    <w:rPr>
                      <w:rFonts w:eastAsia="Times New Roman" w:cs="Arial"/>
                      <w:lang w:eastAsia="en-GB"/>
                    </w:rPr>
                    <w:t>es</w:t>
                  </w:r>
                  <w:r w:rsidRPr="002F17B5">
                    <w:rPr>
                      <w:rFonts w:eastAsia="Times New Roman" w:cs="Arial"/>
                      <w:lang w:eastAsia="en-GB"/>
                    </w:rPr>
                    <w:t xml:space="preserve"> on liabilities</w:t>
                  </w:r>
                </w:p>
              </w:tc>
              <w:tc>
                <w:tcPr>
                  <w:tcW w:w="1871" w:type="dxa"/>
                  <w:shd w:val="clear" w:color="000000" w:fill="FFFFFF"/>
                  <w:noWrap/>
                  <w:vAlign w:val="bottom"/>
                  <w:hideMark/>
                </w:tcPr>
                <w:p w:rsidR="00C2701D" w:rsidRPr="002F17B5" w:rsidRDefault="00C2701D" w:rsidP="00C2701D">
                  <w:pPr>
                    <w:autoSpaceDE/>
                    <w:autoSpaceDN/>
                    <w:adjustRightInd/>
                    <w:spacing w:before="0"/>
                    <w:jc w:val="right"/>
                    <w:rPr>
                      <w:rFonts w:eastAsia="Times New Roman" w:cs="Arial"/>
                      <w:lang w:eastAsia="en-GB"/>
                    </w:rPr>
                  </w:pPr>
                  <w:r w:rsidRPr="002F17B5">
                    <w:rPr>
                      <w:rFonts w:eastAsia="Times New Roman" w:cs="Arial"/>
                      <w:lang w:eastAsia="en-GB"/>
                    </w:rPr>
                    <w:t>(45.5)</w:t>
                  </w:r>
                </w:p>
              </w:tc>
              <w:tc>
                <w:tcPr>
                  <w:tcW w:w="1389" w:type="dxa"/>
                  <w:shd w:val="clear" w:color="000000" w:fill="FFFFFF"/>
                  <w:noWrap/>
                  <w:vAlign w:val="bottom"/>
                  <w:hideMark/>
                </w:tcPr>
                <w:p w:rsidR="00C2701D" w:rsidRPr="002F17B5" w:rsidRDefault="00C2701D" w:rsidP="00C2701D">
                  <w:pPr>
                    <w:autoSpaceDE/>
                    <w:autoSpaceDN/>
                    <w:adjustRightInd/>
                    <w:spacing w:before="0"/>
                    <w:jc w:val="right"/>
                    <w:rPr>
                      <w:rFonts w:eastAsia="Times New Roman" w:cs="Arial"/>
                      <w:lang w:eastAsia="en-GB"/>
                    </w:rPr>
                  </w:pPr>
                  <w:r w:rsidRPr="002F17B5">
                    <w:rPr>
                      <w:rFonts w:eastAsia="Times New Roman" w:cs="Arial"/>
                      <w:lang w:eastAsia="en-GB"/>
                    </w:rPr>
                    <w:t>-</w:t>
                  </w:r>
                </w:p>
              </w:tc>
              <w:tc>
                <w:tcPr>
                  <w:tcW w:w="1343" w:type="dxa"/>
                  <w:shd w:val="clear" w:color="000000" w:fill="FFFFFF"/>
                  <w:noWrap/>
                  <w:vAlign w:val="bottom"/>
                  <w:hideMark/>
                </w:tcPr>
                <w:p w:rsidR="00C2701D" w:rsidRPr="002F17B5" w:rsidRDefault="00C2701D" w:rsidP="00C2701D">
                  <w:pPr>
                    <w:autoSpaceDE/>
                    <w:autoSpaceDN/>
                    <w:adjustRightInd/>
                    <w:spacing w:before="0"/>
                    <w:jc w:val="right"/>
                    <w:rPr>
                      <w:rFonts w:eastAsia="Times New Roman" w:cs="Arial"/>
                      <w:lang w:eastAsia="en-GB"/>
                    </w:rPr>
                  </w:pPr>
                  <w:r w:rsidRPr="002F17B5">
                    <w:rPr>
                      <w:rFonts w:eastAsia="Times New Roman" w:cs="Arial"/>
                      <w:lang w:eastAsia="en-GB"/>
                    </w:rPr>
                    <w:t>1.</w:t>
                  </w:r>
                  <w:r w:rsidR="00F24A0D">
                    <w:rPr>
                      <w:rFonts w:eastAsia="Times New Roman" w:cs="Arial"/>
                      <w:lang w:eastAsia="en-GB"/>
                    </w:rPr>
                    <w:t>2</w:t>
                  </w:r>
                </w:p>
              </w:tc>
              <w:tc>
                <w:tcPr>
                  <w:tcW w:w="1350" w:type="dxa"/>
                  <w:shd w:val="clear" w:color="000000" w:fill="FFFFFF"/>
                  <w:noWrap/>
                  <w:vAlign w:val="bottom"/>
                  <w:hideMark/>
                </w:tcPr>
                <w:p w:rsidR="00C2701D" w:rsidRPr="002F17B5" w:rsidRDefault="00C2701D" w:rsidP="00C2701D">
                  <w:pPr>
                    <w:autoSpaceDE/>
                    <w:autoSpaceDN/>
                    <w:adjustRightInd/>
                    <w:spacing w:before="0"/>
                    <w:jc w:val="right"/>
                    <w:rPr>
                      <w:rFonts w:eastAsia="Times New Roman" w:cs="Arial"/>
                      <w:lang w:eastAsia="en-GB"/>
                    </w:rPr>
                  </w:pPr>
                  <w:r w:rsidRPr="002F17B5">
                    <w:rPr>
                      <w:rFonts w:eastAsia="Times New Roman" w:cs="Arial"/>
                      <w:lang w:eastAsia="en-GB"/>
                    </w:rPr>
                    <w:t>-</w:t>
                  </w:r>
                </w:p>
              </w:tc>
            </w:tr>
            <w:tr w:rsidR="00C2701D" w:rsidRPr="002F17B5" w:rsidTr="00C2701D">
              <w:trPr>
                <w:trHeight w:val="300"/>
              </w:trPr>
              <w:tc>
                <w:tcPr>
                  <w:tcW w:w="4287" w:type="dxa"/>
                  <w:shd w:val="clear" w:color="000000" w:fill="FFFFFF"/>
                  <w:noWrap/>
                  <w:vAlign w:val="bottom"/>
                  <w:hideMark/>
                </w:tcPr>
                <w:p w:rsidR="00C2701D" w:rsidRPr="002F17B5" w:rsidRDefault="00147DA5" w:rsidP="005A56D4">
                  <w:pPr>
                    <w:autoSpaceDE/>
                    <w:autoSpaceDN/>
                    <w:adjustRightInd/>
                    <w:spacing w:before="0"/>
                    <w:jc w:val="left"/>
                    <w:rPr>
                      <w:rFonts w:eastAsia="Times New Roman" w:cs="Arial"/>
                      <w:lang w:eastAsia="en-GB"/>
                    </w:rPr>
                  </w:pPr>
                  <w:r>
                    <w:rPr>
                      <w:rFonts w:cs="Arial"/>
                    </w:rPr>
                    <w:t>Actuarial (gains)/losses arising from changes in financial assumptions</w:t>
                  </w:r>
                </w:p>
              </w:tc>
              <w:tc>
                <w:tcPr>
                  <w:tcW w:w="1871" w:type="dxa"/>
                  <w:shd w:val="clear" w:color="000000" w:fill="FFFFFF"/>
                  <w:noWrap/>
                  <w:vAlign w:val="bottom"/>
                  <w:hideMark/>
                </w:tcPr>
                <w:p w:rsidR="00C2701D" w:rsidRPr="002F17B5" w:rsidRDefault="00C2701D" w:rsidP="00C2701D">
                  <w:pPr>
                    <w:autoSpaceDE/>
                    <w:autoSpaceDN/>
                    <w:adjustRightInd/>
                    <w:spacing w:before="0"/>
                    <w:jc w:val="right"/>
                    <w:rPr>
                      <w:rFonts w:eastAsia="Times New Roman" w:cs="Arial"/>
                      <w:lang w:eastAsia="en-GB"/>
                    </w:rPr>
                  </w:pPr>
                  <w:r w:rsidRPr="002F17B5">
                    <w:rPr>
                      <w:rFonts w:eastAsia="Times New Roman" w:cs="Arial"/>
                      <w:lang w:eastAsia="en-GB"/>
                    </w:rPr>
                    <w:t>(232.</w:t>
                  </w:r>
                  <w:r w:rsidR="002F7251">
                    <w:rPr>
                      <w:rFonts w:eastAsia="Times New Roman" w:cs="Arial"/>
                      <w:lang w:eastAsia="en-GB"/>
                    </w:rPr>
                    <w:t>8</w:t>
                  </w:r>
                  <w:r w:rsidRPr="002F17B5">
                    <w:rPr>
                      <w:rFonts w:eastAsia="Times New Roman" w:cs="Arial"/>
                      <w:lang w:eastAsia="en-GB"/>
                    </w:rPr>
                    <w:t>)</w:t>
                  </w:r>
                </w:p>
              </w:tc>
              <w:tc>
                <w:tcPr>
                  <w:tcW w:w="1389" w:type="dxa"/>
                  <w:shd w:val="clear" w:color="000000" w:fill="FFFFFF"/>
                  <w:noWrap/>
                  <w:vAlign w:val="bottom"/>
                  <w:hideMark/>
                </w:tcPr>
                <w:p w:rsidR="00C2701D" w:rsidRPr="002F17B5" w:rsidRDefault="00C2701D" w:rsidP="00C2701D">
                  <w:pPr>
                    <w:autoSpaceDE/>
                    <w:autoSpaceDN/>
                    <w:adjustRightInd/>
                    <w:spacing w:before="0"/>
                    <w:jc w:val="right"/>
                    <w:rPr>
                      <w:rFonts w:eastAsia="Times New Roman" w:cs="Arial"/>
                      <w:lang w:eastAsia="en-GB"/>
                    </w:rPr>
                  </w:pPr>
                  <w:r w:rsidRPr="002F17B5">
                    <w:rPr>
                      <w:rFonts w:eastAsia="Times New Roman" w:cs="Arial"/>
                      <w:lang w:eastAsia="en-GB"/>
                    </w:rPr>
                    <w:t>292.</w:t>
                  </w:r>
                  <w:r w:rsidR="00F5435A">
                    <w:rPr>
                      <w:rFonts w:eastAsia="Times New Roman" w:cs="Arial"/>
                      <w:lang w:eastAsia="en-GB"/>
                    </w:rPr>
                    <w:t>4</w:t>
                  </w:r>
                </w:p>
              </w:tc>
              <w:tc>
                <w:tcPr>
                  <w:tcW w:w="1343" w:type="dxa"/>
                  <w:shd w:val="clear" w:color="000000" w:fill="FFFFFF"/>
                  <w:noWrap/>
                  <w:vAlign w:val="bottom"/>
                </w:tcPr>
                <w:p w:rsidR="00C2701D" w:rsidRPr="002F17B5" w:rsidRDefault="00C2701D" w:rsidP="00C2701D">
                  <w:pPr>
                    <w:autoSpaceDE/>
                    <w:autoSpaceDN/>
                    <w:adjustRightInd/>
                    <w:spacing w:before="0"/>
                    <w:jc w:val="right"/>
                    <w:rPr>
                      <w:rFonts w:eastAsia="Times New Roman" w:cs="Arial"/>
                      <w:lang w:eastAsia="en-GB"/>
                    </w:rPr>
                  </w:pPr>
                  <w:r w:rsidRPr="002F17B5">
                    <w:rPr>
                      <w:rFonts w:eastAsia="Times New Roman" w:cs="Arial"/>
                      <w:lang w:eastAsia="en-GB"/>
                    </w:rPr>
                    <w:t>(7.9)</w:t>
                  </w:r>
                </w:p>
              </w:tc>
              <w:tc>
                <w:tcPr>
                  <w:tcW w:w="1350" w:type="dxa"/>
                  <w:shd w:val="clear" w:color="000000" w:fill="FFFFFF"/>
                  <w:noWrap/>
                  <w:vAlign w:val="bottom"/>
                  <w:hideMark/>
                </w:tcPr>
                <w:p w:rsidR="00C2701D" w:rsidRPr="002F17B5" w:rsidRDefault="00FE7555" w:rsidP="00C2701D">
                  <w:pPr>
                    <w:autoSpaceDE/>
                    <w:autoSpaceDN/>
                    <w:adjustRightInd/>
                    <w:spacing w:before="0"/>
                    <w:jc w:val="right"/>
                    <w:rPr>
                      <w:rFonts w:eastAsia="Times New Roman" w:cs="Arial"/>
                      <w:lang w:eastAsia="en-GB"/>
                    </w:rPr>
                  </w:pPr>
                  <w:r>
                    <w:rPr>
                      <w:rFonts w:eastAsia="Times New Roman" w:cs="Arial"/>
                      <w:lang w:eastAsia="en-GB"/>
                    </w:rPr>
                    <w:t>15.</w:t>
                  </w:r>
                  <w:r w:rsidR="00B94672">
                    <w:rPr>
                      <w:rFonts w:eastAsia="Times New Roman" w:cs="Arial"/>
                      <w:lang w:eastAsia="en-GB"/>
                    </w:rPr>
                    <w:t>8</w:t>
                  </w:r>
                </w:p>
              </w:tc>
            </w:tr>
            <w:tr w:rsidR="002359B6" w:rsidRPr="002F17B5" w:rsidTr="00C2701D">
              <w:trPr>
                <w:trHeight w:val="300"/>
              </w:trPr>
              <w:tc>
                <w:tcPr>
                  <w:tcW w:w="4287" w:type="dxa"/>
                  <w:shd w:val="clear" w:color="000000" w:fill="FFFFFF"/>
                  <w:noWrap/>
                  <w:vAlign w:val="bottom"/>
                  <w:hideMark/>
                </w:tcPr>
                <w:p w:rsidR="002359B6" w:rsidRPr="002F17B5" w:rsidRDefault="00147DA5" w:rsidP="005E0813">
                  <w:pPr>
                    <w:autoSpaceDE/>
                    <w:autoSpaceDN/>
                    <w:adjustRightInd/>
                    <w:spacing w:before="0"/>
                    <w:jc w:val="left"/>
                    <w:rPr>
                      <w:rFonts w:eastAsia="Times New Roman" w:cs="Arial"/>
                      <w:lang w:eastAsia="en-GB"/>
                    </w:rPr>
                  </w:pPr>
                  <w:r>
                    <w:rPr>
                      <w:rFonts w:cs="Arial"/>
                    </w:rPr>
                    <w:t xml:space="preserve">Actuarial (gains)/losses arising from changes in </w:t>
                  </w:r>
                  <w:r w:rsidR="002359B6" w:rsidRPr="002F17B5">
                    <w:rPr>
                      <w:rFonts w:eastAsia="Times New Roman" w:cs="Arial"/>
                      <w:lang w:eastAsia="en-GB"/>
                    </w:rPr>
                    <w:t>demographic assumptions</w:t>
                  </w:r>
                </w:p>
              </w:tc>
              <w:tc>
                <w:tcPr>
                  <w:tcW w:w="1871"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13.1</w:t>
                  </w:r>
                </w:p>
              </w:tc>
              <w:tc>
                <w:tcPr>
                  <w:tcW w:w="1389"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lang w:eastAsia="en-GB"/>
                    </w:rPr>
                  </w:pPr>
                  <w:r w:rsidRPr="002F17B5">
                    <w:rPr>
                      <w:rFonts w:eastAsia="Times New Roman" w:cs="Arial"/>
                      <w:lang w:eastAsia="en-GB"/>
                    </w:rPr>
                    <w:t>29.0</w:t>
                  </w:r>
                </w:p>
              </w:tc>
              <w:tc>
                <w:tcPr>
                  <w:tcW w:w="1343" w:type="dxa"/>
                  <w:shd w:val="clear" w:color="000000" w:fill="FFFFFF"/>
                  <w:noWrap/>
                  <w:vAlign w:val="bottom"/>
                </w:tcPr>
                <w:p w:rsidR="002359B6" w:rsidRPr="002F17B5" w:rsidRDefault="00C2701D" w:rsidP="008950FD">
                  <w:pPr>
                    <w:autoSpaceDE/>
                    <w:autoSpaceDN/>
                    <w:adjustRightInd/>
                    <w:spacing w:before="0"/>
                    <w:jc w:val="right"/>
                    <w:rPr>
                      <w:rFonts w:eastAsia="Times New Roman" w:cs="Arial"/>
                      <w:lang w:eastAsia="en-GB"/>
                    </w:rPr>
                  </w:pPr>
                  <w:r w:rsidRPr="002F17B5">
                    <w:rPr>
                      <w:rFonts w:eastAsia="Times New Roman" w:cs="Arial"/>
                      <w:lang w:eastAsia="en-GB"/>
                    </w:rPr>
                    <w:t>2.6</w:t>
                  </w:r>
                </w:p>
              </w:tc>
              <w:tc>
                <w:tcPr>
                  <w:tcW w:w="1350" w:type="dxa"/>
                  <w:shd w:val="clear" w:color="000000" w:fill="FFFFFF"/>
                  <w:noWrap/>
                  <w:vAlign w:val="bottom"/>
                  <w:hideMark/>
                </w:tcPr>
                <w:p w:rsidR="002359B6" w:rsidRPr="002F17B5" w:rsidRDefault="00FE7555" w:rsidP="008950FD">
                  <w:pPr>
                    <w:autoSpaceDE/>
                    <w:autoSpaceDN/>
                    <w:adjustRightInd/>
                    <w:spacing w:before="0"/>
                    <w:jc w:val="right"/>
                    <w:rPr>
                      <w:rFonts w:eastAsia="Times New Roman" w:cs="Arial"/>
                      <w:lang w:eastAsia="en-GB"/>
                    </w:rPr>
                  </w:pPr>
                  <w:r>
                    <w:rPr>
                      <w:rFonts w:eastAsia="Times New Roman" w:cs="Arial"/>
                      <w:lang w:eastAsia="en-GB"/>
                    </w:rPr>
                    <w:t>1.9</w:t>
                  </w:r>
                </w:p>
              </w:tc>
            </w:tr>
            <w:tr w:rsidR="002359B6" w:rsidRPr="002F17B5" w:rsidTr="00C2701D">
              <w:trPr>
                <w:trHeight w:val="422"/>
              </w:trPr>
              <w:tc>
                <w:tcPr>
                  <w:tcW w:w="4287" w:type="dxa"/>
                  <w:shd w:val="clear" w:color="000000" w:fill="FFFFFF"/>
                  <w:noWrap/>
                  <w:vAlign w:val="bottom"/>
                  <w:hideMark/>
                </w:tcPr>
                <w:p w:rsidR="002359B6" w:rsidRPr="002F17B5" w:rsidRDefault="008600DD" w:rsidP="008950FD">
                  <w:pPr>
                    <w:autoSpaceDE/>
                    <w:autoSpaceDN/>
                    <w:adjustRightInd/>
                    <w:spacing w:before="0"/>
                    <w:rPr>
                      <w:rFonts w:eastAsia="Times New Roman" w:cs="Arial"/>
                      <w:b/>
                      <w:bCs/>
                      <w:lang w:eastAsia="en-GB"/>
                    </w:rPr>
                  </w:pPr>
                  <w:r>
                    <w:rPr>
                      <w:rFonts w:eastAsia="Times New Roman" w:cs="Arial"/>
                      <w:b/>
                      <w:bCs/>
                      <w:lang w:eastAsia="en-GB"/>
                    </w:rPr>
                    <w:t>Closing balance at 31 March</w:t>
                  </w:r>
                </w:p>
              </w:tc>
              <w:tc>
                <w:tcPr>
                  <w:tcW w:w="1871"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2,858.0</w:t>
                  </w:r>
                </w:p>
              </w:tc>
              <w:tc>
                <w:tcPr>
                  <w:tcW w:w="1389"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2,986.1</w:t>
                  </w:r>
                </w:p>
              </w:tc>
              <w:tc>
                <w:tcPr>
                  <w:tcW w:w="1343"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140.1</w:t>
                  </w:r>
                </w:p>
              </w:tc>
              <w:tc>
                <w:tcPr>
                  <w:tcW w:w="1350" w:type="dxa"/>
                  <w:shd w:val="clear" w:color="000000" w:fill="FFFFFF"/>
                  <w:noWrap/>
                  <w:vAlign w:val="bottom"/>
                  <w:hideMark/>
                </w:tcPr>
                <w:p w:rsidR="002359B6" w:rsidRPr="002F17B5" w:rsidRDefault="002359B6" w:rsidP="008950FD">
                  <w:pPr>
                    <w:autoSpaceDE/>
                    <w:autoSpaceDN/>
                    <w:adjustRightInd/>
                    <w:spacing w:before="0"/>
                    <w:jc w:val="right"/>
                    <w:rPr>
                      <w:rFonts w:eastAsia="Times New Roman" w:cs="Arial"/>
                      <w:b/>
                      <w:bCs/>
                      <w:lang w:eastAsia="en-GB"/>
                    </w:rPr>
                  </w:pPr>
                  <w:r w:rsidRPr="002F17B5">
                    <w:rPr>
                      <w:rFonts w:eastAsia="Times New Roman" w:cs="Arial"/>
                      <w:b/>
                      <w:bCs/>
                      <w:lang w:eastAsia="en-GB"/>
                    </w:rPr>
                    <w:t>150.1</w:t>
                  </w:r>
                </w:p>
              </w:tc>
            </w:tr>
          </w:tbl>
          <w:p w:rsidR="002359B6" w:rsidRPr="002F17B5" w:rsidRDefault="002359B6" w:rsidP="008950FD">
            <w:pPr>
              <w:rPr>
                <w:b/>
              </w:rPr>
            </w:pPr>
          </w:p>
          <w:p w:rsidR="002359B6" w:rsidRPr="00630928" w:rsidRDefault="000519BC" w:rsidP="00630928">
            <w:pPr>
              <w:spacing w:after="240"/>
              <w:ind w:left="720" w:hanging="720"/>
            </w:pPr>
            <w:r>
              <w:t xml:space="preserve">* </w:t>
            </w:r>
            <w:r w:rsidRPr="00630928">
              <w:t xml:space="preserve">The above table has been amended in light of the </w:t>
            </w:r>
            <w:r w:rsidR="00BD143C">
              <w:t>revised reporting requirements</w:t>
            </w:r>
          </w:p>
          <w:p w:rsidR="000F3545" w:rsidRDefault="000F3545" w:rsidP="002359B6">
            <w:pPr>
              <w:spacing w:after="240"/>
              <w:rPr>
                <w:b/>
              </w:rPr>
            </w:pPr>
          </w:p>
          <w:p w:rsidR="000F3545" w:rsidRDefault="000F3545" w:rsidP="002359B6">
            <w:pPr>
              <w:spacing w:after="240"/>
              <w:rPr>
                <w:b/>
              </w:rPr>
            </w:pPr>
          </w:p>
          <w:p w:rsidR="000F3545" w:rsidRDefault="000F3545" w:rsidP="002359B6">
            <w:pPr>
              <w:spacing w:after="240"/>
              <w:rPr>
                <w:b/>
              </w:rPr>
            </w:pPr>
          </w:p>
          <w:p w:rsidR="00122637" w:rsidRDefault="00122637" w:rsidP="002359B6">
            <w:pPr>
              <w:spacing w:after="240"/>
              <w:rPr>
                <w:b/>
              </w:rPr>
            </w:pPr>
          </w:p>
          <w:p w:rsidR="000F3545" w:rsidRDefault="000F3545" w:rsidP="002359B6">
            <w:pPr>
              <w:spacing w:after="240"/>
              <w:rPr>
                <w:b/>
              </w:rPr>
            </w:pPr>
          </w:p>
          <w:p w:rsidR="00A91917" w:rsidRDefault="00A91917" w:rsidP="002359B6">
            <w:pPr>
              <w:spacing w:after="240"/>
              <w:rPr>
                <w:b/>
              </w:rPr>
            </w:pPr>
          </w:p>
          <w:p w:rsidR="002359B6" w:rsidRPr="002F17B5" w:rsidRDefault="002359B6" w:rsidP="002359B6">
            <w:pPr>
              <w:spacing w:after="240"/>
              <w:rPr>
                <w:b/>
              </w:rPr>
            </w:pPr>
            <w:r w:rsidRPr="002F17B5">
              <w:rPr>
                <w:b/>
              </w:rPr>
              <w:t>Local Government Pension Scheme assets comprised:-</w:t>
            </w:r>
          </w:p>
          <w:tbl>
            <w:tblPr>
              <w:tblW w:w="7297" w:type="dxa"/>
              <w:tblInd w:w="103" w:type="dxa"/>
              <w:tblLook w:val="04A0" w:firstRow="1" w:lastRow="0" w:firstColumn="1" w:lastColumn="0" w:noHBand="0" w:noVBand="1"/>
            </w:tblPr>
            <w:tblGrid>
              <w:gridCol w:w="4461"/>
              <w:gridCol w:w="1418"/>
              <w:gridCol w:w="1418"/>
            </w:tblGrid>
            <w:tr w:rsidR="002359B6" w:rsidRPr="002F17B5" w:rsidTr="00321511">
              <w:trPr>
                <w:trHeight w:val="465"/>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b/>
                      <w:bCs/>
                      <w:color w:val="auto"/>
                      <w:u w:val="single"/>
                      <w:lang w:eastAsia="en-GB"/>
                    </w:rPr>
                  </w:pPr>
                  <w:r w:rsidRPr="002F17B5">
                    <w:rPr>
                      <w:rFonts w:eastAsia="Times New Roman" w:cs="Arial"/>
                      <w:b/>
                      <w:bCs/>
                      <w:color w:val="auto"/>
                      <w:u w:val="single"/>
                      <w:lang w:eastAsia="en-GB"/>
                    </w:rPr>
                    <w:t>Fair value of scheme assets</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b/>
                      <w:bCs/>
                      <w:color w:val="auto"/>
                      <w:lang w:eastAsia="en-GB"/>
                    </w:rPr>
                  </w:pPr>
                  <w:r w:rsidRPr="002F17B5">
                    <w:rPr>
                      <w:rFonts w:eastAsia="Times New Roman" w:cs="Arial"/>
                      <w:b/>
                      <w:bCs/>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b/>
                      <w:color w:val="auto"/>
                      <w:lang w:eastAsia="en-GB"/>
                    </w:rPr>
                  </w:pPr>
                  <w:r w:rsidRPr="002F17B5">
                    <w:rPr>
                      <w:rFonts w:eastAsia="Times New Roman" w:cs="Arial"/>
                      <w:b/>
                      <w:color w:val="auto"/>
                      <w:lang w:eastAsia="en-GB"/>
                    </w:rPr>
                    <w:t> </w:t>
                  </w:r>
                </w:p>
              </w:tc>
            </w:tr>
            <w:tr w:rsidR="00BD611B" w:rsidRPr="002F17B5" w:rsidTr="00321511">
              <w:trPr>
                <w:trHeight w:val="315"/>
              </w:trPr>
              <w:tc>
                <w:tcPr>
                  <w:tcW w:w="4461" w:type="dxa"/>
                  <w:shd w:val="clear" w:color="000000" w:fill="FFFFFF"/>
                  <w:hideMark/>
                </w:tcPr>
                <w:p w:rsidR="00BD611B" w:rsidRPr="002F17B5" w:rsidRDefault="00BD611B" w:rsidP="00BD611B">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BD611B" w:rsidRPr="002F17B5" w:rsidRDefault="00BD611B" w:rsidP="00BD611B">
                  <w:pPr>
                    <w:spacing w:after="80"/>
                    <w:jc w:val="right"/>
                    <w:rPr>
                      <w:b/>
                    </w:rPr>
                  </w:pPr>
                  <w:r w:rsidRPr="002F17B5">
                    <w:rPr>
                      <w:b/>
                    </w:rPr>
                    <w:t>31/03/2014</w:t>
                  </w:r>
                </w:p>
              </w:tc>
              <w:tc>
                <w:tcPr>
                  <w:tcW w:w="1418" w:type="dxa"/>
                  <w:shd w:val="clear" w:color="000000" w:fill="FFFFFF"/>
                  <w:hideMark/>
                </w:tcPr>
                <w:p w:rsidR="00BD611B" w:rsidRPr="002F17B5" w:rsidRDefault="00BD611B" w:rsidP="00BD611B">
                  <w:pPr>
                    <w:spacing w:after="80"/>
                    <w:jc w:val="right"/>
                    <w:rPr>
                      <w:b/>
                    </w:rPr>
                  </w:pPr>
                  <w:r w:rsidRPr="002F17B5">
                    <w:rPr>
                      <w:b/>
                    </w:rPr>
                    <w:t xml:space="preserve">31/03/2013 </w:t>
                  </w:r>
                </w:p>
              </w:tc>
            </w:tr>
            <w:tr w:rsidR="002359B6" w:rsidRPr="002F17B5" w:rsidTr="00321511">
              <w:trPr>
                <w:trHeight w:val="315"/>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BD611B">
                  <w:pPr>
                    <w:autoSpaceDE/>
                    <w:autoSpaceDN/>
                    <w:adjustRightInd/>
                    <w:spacing w:before="0" w:after="0"/>
                    <w:jc w:val="right"/>
                    <w:rPr>
                      <w:rFonts w:eastAsia="Times New Roman" w:cs="Arial"/>
                      <w:b/>
                      <w:bCs/>
                      <w:color w:val="auto"/>
                      <w:lang w:eastAsia="en-GB"/>
                    </w:rPr>
                  </w:pPr>
                  <w:r w:rsidRPr="002F17B5">
                    <w:rPr>
                      <w:rFonts w:eastAsia="Times New Roman" w:cs="Arial"/>
                      <w:b/>
                      <w:bCs/>
                      <w:color w:val="auto"/>
                      <w:lang w:eastAsia="en-GB"/>
                    </w:rPr>
                    <w:t>£</w:t>
                  </w:r>
                  <w:r w:rsidR="00BD611B" w:rsidRPr="002F17B5">
                    <w:rPr>
                      <w:rFonts w:eastAsia="Times New Roman" w:cs="Arial"/>
                      <w:b/>
                      <w:bCs/>
                      <w:color w:val="auto"/>
                      <w:lang w:eastAsia="en-GB"/>
                    </w:rPr>
                    <w:t>m</w:t>
                  </w:r>
                </w:p>
              </w:tc>
              <w:tc>
                <w:tcPr>
                  <w:tcW w:w="1418" w:type="dxa"/>
                  <w:shd w:val="clear" w:color="000000" w:fill="FFFFFF"/>
                  <w:hideMark/>
                </w:tcPr>
                <w:p w:rsidR="002359B6" w:rsidRPr="002F17B5" w:rsidRDefault="002359B6" w:rsidP="00BD611B">
                  <w:pPr>
                    <w:autoSpaceDE/>
                    <w:autoSpaceDN/>
                    <w:adjustRightInd/>
                    <w:spacing w:before="0" w:after="0"/>
                    <w:jc w:val="right"/>
                    <w:rPr>
                      <w:rFonts w:eastAsia="Times New Roman" w:cs="Arial"/>
                      <w:b/>
                      <w:bCs/>
                      <w:color w:val="auto"/>
                      <w:lang w:eastAsia="en-GB"/>
                    </w:rPr>
                  </w:pPr>
                  <w:r w:rsidRPr="002F17B5">
                    <w:rPr>
                      <w:rFonts w:eastAsia="Times New Roman" w:cs="Arial"/>
                      <w:b/>
                      <w:bCs/>
                      <w:color w:val="auto"/>
                      <w:lang w:eastAsia="en-GB"/>
                    </w:rPr>
                    <w:t>£</w:t>
                  </w:r>
                  <w:r w:rsidR="00BD611B" w:rsidRPr="002F17B5">
                    <w:rPr>
                      <w:rFonts w:eastAsia="Times New Roman" w:cs="Arial"/>
                      <w:b/>
                      <w:bCs/>
                      <w:color w:val="auto"/>
                      <w:lang w:eastAsia="en-GB"/>
                    </w:rPr>
                    <w:t>m</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p>
              </w:tc>
            </w:tr>
            <w:tr w:rsidR="002359B6" w:rsidRPr="002F17B5" w:rsidTr="00321511">
              <w:trPr>
                <w:trHeight w:val="315"/>
              </w:trPr>
              <w:tc>
                <w:tcPr>
                  <w:tcW w:w="4461" w:type="dxa"/>
                  <w:shd w:val="clear" w:color="000000" w:fill="FFFFFF"/>
                  <w:hideMark/>
                </w:tcPr>
                <w:p w:rsidR="002359B6" w:rsidRPr="00630928" w:rsidRDefault="002359B6" w:rsidP="002359B6">
                  <w:pPr>
                    <w:autoSpaceDE/>
                    <w:autoSpaceDN/>
                    <w:adjustRightInd/>
                    <w:spacing w:before="0" w:after="0"/>
                    <w:jc w:val="left"/>
                    <w:rPr>
                      <w:rFonts w:eastAsia="Times New Roman" w:cs="Arial"/>
                      <w:b/>
                      <w:bCs/>
                      <w:color w:val="auto"/>
                      <w:lang w:eastAsia="en-GB"/>
                    </w:rPr>
                  </w:pPr>
                  <w:r w:rsidRPr="00630928">
                    <w:rPr>
                      <w:rFonts w:eastAsia="Times New Roman" w:cs="Arial"/>
                      <w:b/>
                      <w:bCs/>
                      <w:color w:val="auto"/>
                      <w:lang w:eastAsia="en-GB"/>
                    </w:rPr>
                    <w:t>Cash and cash equivalents</w:t>
                  </w:r>
                </w:p>
              </w:tc>
              <w:tc>
                <w:tcPr>
                  <w:tcW w:w="1418" w:type="dxa"/>
                  <w:shd w:val="clear" w:color="000000" w:fill="FFFFFF"/>
                  <w:hideMark/>
                </w:tcPr>
                <w:p w:rsidR="002359B6" w:rsidRPr="00630928" w:rsidRDefault="002359B6" w:rsidP="002359B6">
                  <w:pPr>
                    <w:autoSpaceDE/>
                    <w:autoSpaceDN/>
                    <w:adjustRightInd/>
                    <w:spacing w:before="0" w:after="0"/>
                    <w:jc w:val="right"/>
                    <w:rPr>
                      <w:rFonts w:eastAsia="Times New Roman" w:cs="Arial"/>
                      <w:b/>
                      <w:color w:val="auto"/>
                      <w:lang w:eastAsia="en-GB"/>
                    </w:rPr>
                  </w:pPr>
                  <w:r w:rsidRPr="00630928">
                    <w:rPr>
                      <w:rFonts w:eastAsia="Times New Roman" w:cs="Arial"/>
                      <w:b/>
                      <w:color w:val="auto"/>
                      <w:lang w:eastAsia="en-GB"/>
                    </w:rPr>
                    <w:t>36.4</w:t>
                  </w:r>
                </w:p>
              </w:tc>
              <w:tc>
                <w:tcPr>
                  <w:tcW w:w="1418" w:type="dxa"/>
                  <w:shd w:val="clear" w:color="000000" w:fill="FFFFFF"/>
                  <w:hideMark/>
                </w:tcPr>
                <w:p w:rsidR="002359B6" w:rsidRPr="00630928" w:rsidRDefault="002359B6" w:rsidP="002359B6">
                  <w:pPr>
                    <w:autoSpaceDE/>
                    <w:autoSpaceDN/>
                    <w:adjustRightInd/>
                    <w:spacing w:before="0" w:after="0"/>
                    <w:jc w:val="right"/>
                    <w:rPr>
                      <w:rFonts w:eastAsia="Times New Roman" w:cs="Arial"/>
                      <w:b/>
                      <w:color w:val="auto"/>
                      <w:lang w:eastAsia="en-GB"/>
                    </w:rPr>
                  </w:pPr>
                  <w:r w:rsidRPr="00630928">
                    <w:rPr>
                      <w:rFonts w:eastAsia="Times New Roman" w:cs="Arial"/>
                      <w:b/>
                      <w:color w:val="auto"/>
                      <w:lang w:eastAsia="en-GB"/>
                    </w:rPr>
                    <w:t>70.2</w:t>
                  </w:r>
                </w:p>
              </w:tc>
            </w:tr>
            <w:tr w:rsidR="002359B6" w:rsidRPr="002F17B5" w:rsidTr="00321511">
              <w:trPr>
                <w:trHeight w:val="153"/>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bCs/>
                      <w:color w:val="auto"/>
                      <w:sz w:val="10"/>
                      <w:lang w:eastAsia="en-GB"/>
                    </w:rPr>
                  </w:pPr>
                  <w:r w:rsidRPr="002F17B5">
                    <w:rPr>
                      <w:rFonts w:eastAsia="Times New Roman" w:cs="Arial"/>
                      <w:bCs/>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87"/>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bCs/>
                      <w:color w:val="auto"/>
                      <w:lang w:eastAsia="en-GB"/>
                    </w:rPr>
                  </w:pPr>
                  <w:r w:rsidRPr="002F17B5">
                    <w:rPr>
                      <w:rFonts w:eastAsia="Times New Roman" w:cs="Arial"/>
                      <w:bCs/>
                      <w:color w:val="auto"/>
                      <w:lang w:eastAsia="en-GB"/>
                    </w:rPr>
                    <w:t>Equity instruments:</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33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u w:val="single"/>
                      <w:lang w:eastAsia="en-GB"/>
                    </w:rPr>
                  </w:pPr>
                  <w:r w:rsidRPr="002F17B5">
                    <w:rPr>
                      <w:rFonts w:eastAsia="Times New Roman" w:cs="Arial"/>
                      <w:color w:val="auto"/>
                      <w:u w:val="single"/>
                      <w:lang w:eastAsia="en-GB"/>
                    </w:rPr>
                    <w:t>By Industry</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xml:space="preserve">Consumer </w:t>
                  </w:r>
                </w:p>
              </w:tc>
              <w:tc>
                <w:tcPr>
                  <w:tcW w:w="1418" w:type="dxa"/>
                  <w:shd w:val="clear" w:color="000000" w:fill="FFFFFF"/>
                  <w:hideMark/>
                </w:tcPr>
                <w:p w:rsidR="002359B6" w:rsidRPr="002F17B5" w:rsidRDefault="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269.</w:t>
                  </w:r>
                  <w:r w:rsidR="00D57BD6">
                    <w:rPr>
                      <w:rFonts w:eastAsia="Times New Roman" w:cs="Arial"/>
                      <w:color w:val="auto"/>
                      <w:lang w:eastAsia="en-GB"/>
                    </w:rPr>
                    <w:t>5</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245.1</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Manufacturing</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166.6</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117.4</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Energy and utilities</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84.9</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58.4</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xml:space="preserve">Financial institutions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154.4</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99.3</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xml:space="preserve">Health and care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94.4</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78.6</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xml:space="preserve">Information technology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138.9</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108.8</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Miscellaneous</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5.7</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0.0</w:t>
                  </w:r>
                </w:p>
              </w:tc>
            </w:tr>
            <w:tr w:rsidR="002359B6" w:rsidRPr="002F17B5" w:rsidTr="00321511">
              <w:trPr>
                <w:trHeight w:val="300"/>
              </w:trPr>
              <w:tc>
                <w:tcPr>
                  <w:tcW w:w="4461" w:type="dxa"/>
                  <w:shd w:val="clear" w:color="000000" w:fill="FFFFFF"/>
                  <w:hideMark/>
                </w:tcPr>
                <w:p w:rsidR="002359B6" w:rsidRPr="00321511" w:rsidRDefault="002359B6" w:rsidP="002359B6">
                  <w:pPr>
                    <w:autoSpaceDE/>
                    <w:autoSpaceDN/>
                    <w:adjustRightInd/>
                    <w:spacing w:before="0" w:after="0"/>
                    <w:jc w:val="left"/>
                    <w:rPr>
                      <w:rFonts w:eastAsia="Times New Roman" w:cs="Arial"/>
                      <w:b/>
                      <w:color w:val="auto"/>
                      <w:lang w:eastAsia="en-GB"/>
                    </w:rPr>
                  </w:pPr>
                  <w:r w:rsidRPr="00321511">
                    <w:rPr>
                      <w:rFonts w:eastAsia="Times New Roman" w:cs="Arial"/>
                      <w:b/>
                      <w:color w:val="auto"/>
                      <w:lang w:eastAsia="en-GB"/>
                    </w:rPr>
                    <w:t>Sub-total equity</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914.4</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707.5</w:t>
                  </w:r>
                </w:p>
              </w:tc>
            </w:tr>
            <w:tr w:rsidR="002359B6" w:rsidRPr="002F17B5" w:rsidTr="00321511">
              <w:trPr>
                <w:trHeight w:val="129"/>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r>
            <w:tr w:rsidR="002359B6" w:rsidRPr="002F17B5" w:rsidTr="00321511">
              <w:trPr>
                <w:trHeight w:val="315"/>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bCs/>
                      <w:color w:val="auto"/>
                      <w:lang w:eastAsia="en-GB"/>
                    </w:rPr>
                  </w:pPr>
                  <w:r w:rsidRPr="002F17B5">
                    <w:rPr>
                      <w:rFonts w:eastAsia="Times New Roman" w:cs="Arial"/>
                      <w:bCs/>
                      <w:color w:val="auto"/>
                      <w:lang w:eastAsia="en-GB"/>
                    </w:rPr>
                    <w:t>Bonds:</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u w:val="single"/>
                      <w:lang w:eastAsia="en-GB"/>
                    </w:rPr>
                  </w:pPr>
                  <w:r w:rsidRPr="002F17B5">
                    <w:rPr>
                      <w:rFonts w:eastAsia="Times New Roman" w:cs="Arial"/>
                      <w:color w:val="auto"/>
                      <w:u w:val="single"/>
                      <w:lang w:eastAsia="en-GB"/>
                    </w:rPr>
                    <w:t>By Sector</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Corporate</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192.8</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221.9</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Government</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64.2</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185.9</w:t>
                  </w:r>
                </w:p>
              </w:tc>
            </w:tr>
            <w:tr w:rsidR="002359B6" w:rsidRPr="002F17B5" w:rsidTr="00321511">
              <w:trPr>
                <w:trHeight w:val="300"/>
              </w:trPr>
              <w:tc>
                <w:tcPr>
                  <w:tcW w:w="4461" w:type="dxa"/>
                  <w:shd w:val="clear" w:color="000000" w:fill="FFFFFF"/>
                  <w:hideMark/>
                </w:tcPr>
                <w:p w:rsidR="002359B6" w:rsidRPr="00321511" w:rsidRDefault="002359B6" w:rsidP="002359B6">
                  <w:pPr>
                    <w:autoSpaceDE/>
                    <w:autoSpaceDN/>
                    <w:adjustRightInd/>
                    <w:spacing w:before="0" w:after="0"/>
                    <w:jc w:val="left"/>
                    <w:rPr>
                      <w:rFonts w:eastAsia="Times New Roman" w:cs="Arial"/>
                      <w:b/>
                      <w:color w:val="auto"/>
                      <w:lang w:eastAsia="en-GB"/>
                    </w:rPr>
                  </w:pPr>
                  <w:r w:rsidRPr="00321511">
                    <w:rPr>
                      <w:rFonts w:eastAsia="Times New Roman" w:cs="Arial"/>
                      <w:b/>
                      <w:color w:val="auto"/>
                      <w:lang w:eastAsia="en-GB"/>
                    </w:rPr>
                    <w:t>Sub-total bonds</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257.0</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407.9</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bCs/>
                      <w:color w:val="auto"/>
                      <w:lang w:eastAsia="en-GB"/>
                    </w:rPr>
                  </w:pPr>
                  <w:r w:rsidRPr="002F17B5">
                    <w:rPr>
                      <w:rFonts w:eastAsia="Times New Roman" w:cs="Arial"/>
                      <w:bCs/>
                      <w:color w:val="auto"/>
                      <w:lang w:eastAsia="en-GB"/>
                    </w:rPr>
                    <w:t>Property:</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u w:val="single"/>
                      <w:lang w:eastAsia="en-GB"/>
                    </w:rPr>
                  </w:pPr>
                  <w:r w:rsidRPr="002F17B5">
                    <w:rPr>
                      <w:rFonts w:eastAsia="Times New Roman" w:cs="Arial"/>
                      <w:color w:val="auto"/>
                      <w:u w:val="single"/>
                      <w:lang w:eastAsia="en-GB"/>
                    </w:rPr>
                    <w:t>By Type</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Retail</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78.7</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78.1</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Commercial</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92.5</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97.8</w:t>
                  </w:r>
                </w:p>
              </w:tc>
            </w:tr>
            <w:tr w:rsidR="002359B6" w:rsidRPr="002F17B5" w:rsidTr="00321511">
              <w:trPr>
                <w:trHeight w:val="300"/>
              </w:trPr>
              <w:tc>
                <w:tcPr>
                  <w:tcW w:w="4461" w:type="dxa"/>
                  <w:shd w:val="clear" w:color="000000" w:fill="FFFFFF"/>
                  <w:hideMark/>
                </w:tcPr>
                <w:p w:rsidR="002359B6" w:rsidRPr="00321511" w:rsidRDefault="002359B6" w:rsidP="002359B6">
                  <w:pPr>
                    <w:autoSpaceDE/>
                    <w:autoSpaceDN/>
                    <w:adjustRightInd/>
                    <w:spacing w:before="0" w:after="0"/>
                    <w:jc w:val="left"/>
                    <w:rPr>
                      <w:rFonts w:eastAsia="Times New Roman" w:cs="Arial"/>
                      <w:b/>
                      <w:color w:val="auto"/>
                      <w:lang w:eastAsia="en-GB"/>
                    </w:rPr>
                  </w:pPr>
                  <w:r w:rsidRPr="00321511">
                    <w:rPr>
                      <w:rFonts w:eastAsia="Times New Roman" w:cs="Arial"/>
                      <w:b/>
                      <w:color w:val="auto"/>
                      <w:lang w:eastAsia="en-GB"/>
                    </w:rPr>
                    <w:t xml:space="preserve">Sub-total property </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171.2</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175.9</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r>
            <w:tr w:rsidR="002359B6" w:rsidRPr="002F17B5" w:rsidTr="00321511">
              <w:trPr>
                <w:trHeight w:val="315"/>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bCs/>
                      <w:color w:val="auto"/>
                      <w:lang w:eastAsia="en-GB"/>
                    </w:rPr>
                  </w:pPr>
                  <w:r w:rsidRPr="002F17B5">
                    <w:rPr>
                      <w:rFonts w:eastAsia="Times New Roman" w:cs="Arial"/>
                      <w:bCs/>
                      <w:color w:val="auto"/>
                      <w:lang w:eastAsia="en-GB"/>
                    </w:rPr>
                    <w:t>Private equity:</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UK</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52.6</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48.8</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Overseas</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57.5</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43.9</w:t>
                  </w:r>
                </w:p>
              </w:tc>
            </w:tr>
            <w:tr w:rsidR="002359B6" w:rsidRPr="002F17B5" w:rsidTr="00321511">
              <w:trPr>
                <w:trHeight w:val="300"/>
              </w:trPr>
              <w:tc>
                <w:tcPr>
                  <w:tcW w:w="4461" w:type="dxa"/>
                  <w:shd w:val="clear" w:color="000000" w:fill="FFFFFF"/>
                  <w:hideMark/>
                </w:tcPr>
                <w:p w:rsidR="002359B6" w:rsidRPr="00321511" w:rsidRDefault="002359B6" w:rsidP="002359B6">
                  <w:pPr>
                    <w:autoSpaceDE/>
                    <w:autoSpaceDN/>
                    <w:adjustRightInd/>
                    <w:spacing w:before="0" w:after="0"/>
                    <w:jc w:val="left"/>
                    <w:rPr>
                      <w:rFonts w:eastAsia="Times New Roman" w:cs="Arial"/>
                      <w:b/>
                      <w:color w:val="auto"/>
                      <w:lang w:eastAsia="en-GB"/>
                    </w:rPr>
                  </w:pPr>
                  <w:r w:rsidRPr="00321511">
                    <w:rPr>
                      <w:rFonts w:eastAsia="Times New Roman" w:cs="Arial"/>
                      <w:b/>
                      <w:color w:val="auto"/>
                      <w:lang w:eastAsia="en-GB"/>
                    </w:rPr>
                    <w:t>Sub-total private equity</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110.1</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92.7</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r>
            <w:tr w:rsidR="002359B6" w:rsidRPr="002F17B5" w:rsidTr="00321511">
              <w:trPr>
                <w:trHeight w:val="315"/>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bCs/>
                      <w:color w:val="auto"/>
                      <w:lang w:eastAsia="en-GB"/>
                    </w:rPr>
                  </w:pPr>
                  <w:r w:rsidRPr="002F17B5">
                    <w:rPr>
                      <w:rFonts w:eastAsia="Times New Roman" w:cs="Arial"/>
                      <w:bCs/>
                      <w:color w:val="auto"/>
                      <w:lang w:eastAsia="en-GB"/>
                    </w:rPr>
                    <w:t>Other investment funds:</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Infrastructure</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113.9</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62.5</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Property</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10.5</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3.0</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Miscellaneous</w:t>
                  </w:r>
                </w:p>
              </w:tc>
              <w:tc>
                <w:tcPr>
                  <w:tcW w:w="1418" w:type="dxa"/>
                  <w:shd w:val="clear" w:color="000000" w:fill="FFFFFF"/>
                  <w:hideMark/>
                </w:tcPr>
                <w:p w:rsidR="002359B6" w:rsidRPr="002F17B5" w:rsidRDefault="002359B6" w:rsidP="000B7BF4">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4</w:t>
                  </w:r>
                  <w:r w:rsidR="000B7BF4">
                    <w:rPr>
                      <w:rFonts w:eastAsia="Times New Roman" w:cs="Arial"/>
                      <w:color w:val="auto"/>
                      <w:lang w:eastAsia="en-GB"/>
                    </w:rPr>
                    <w:t>79.5</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489.5</w:t>
                  </w:r>
                </w:p>
              </w:tc>
            </w:tr>
            <w:tr w:rsidR="002359B6" w:rsidRPr="002F17B5" w:rsidTr="00321511">
              <w:trPr>
                <w:trHeight w:val="300"/>
              </w:trPr>
              <w:tc>
                <w:tcPr>
                  <w:tcW w:w="4461" w:type="dxa"/>
                  <w:shd w:val="clear" w:color="000000" w:fill="FFFFFF"/>
                  <w:hideMark/>
                </w:tcPr>
                <w:p w:rsidR="002359B6" w:rsidRPr="00321511" w:rsidRDefault="002359B6" w:rsidP="002359B6">
                  <w:pPr>
                    <w:autoSpaceDE/>
                    <w:autoSpaceDN/>
                    <w:adjustRightInd/>
                    <w:spacing w:before="0" w:after="0"/>
                    <w:jc w:val="left"/>
                    <w:rPr>
                      <w:rFonts w:eastAsia="Times New Roman" w:cs="Arial"/>
                      <w:b/>
                      <w:color w:val="auto"/>
                      <w:lang w:eastAsia="en-GB"/>
                    </w:rPr>
                  </w:pPr>
                  <w:r w:rsidRPr="00321511">
                    <w:rPr>
                      <w:rFonts w:eastAsia="Times New Roman" w:cs="Arial"/>
                      <w:b/>
                      <w:color w:val="auto"/>
                      <w:lang w:eastAsia="en-GB"/>
                    </w:rPr>
                    <w:t>Sub-total other investment funds</w:t>
                  </w:r>
                </w:p>
              </w:tc>
              <w:tc>
                <w:tcPr>
                  <w:tcW w:w="1418" w:type="dxa"/>
                  <w:shd w:val="clear" w:color="000000" w:fill="FFFFFF"/>
                  <w:hideMark/>
                </w:tcPr>
                <w:p w:rsidR="002359B6" w:rsidRPr="00321511" w:rsidRDefault="002359B6" w:rsidP="000B7BF4">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60</w:t>
                  </w:r>
                  <w:r w:rsidR="000B7BF4">
                    <w:rPr>
                      <w:rFonts w:eastAsia="Times New Roman" w:cs="Arial"/>
                      <w:b/>
                      <w:color w:val="auto"/>
                      <w:lang w:eastAsia="en-GB"/>
                    </w:rPr>
                    <w:t>3.9</w:t>
                  </w:r>
                </w:p>
              </w:tc>
              <w:tc>
                <w:tcPr>
                  <w:tcW w:w="1418" w:type="dxa"/>
                  <w:shd w:val="clear" w:color="000000" w:fill="FFFFFF"/>
                  <w:hideMark/>
                </w:tcPr>
                <w:p w:rsidR="002359B6" w:rsidRPr="00321511" w:rsidRDefault="002359B6" w:rsidP="002359B6">
                  <w:pPr>
                    <w:autoSpaceDE/>
                    <w:autoSpaceDN/>
                    <w:adjustRightInd/>
                    <w:spacing w:before="0" w:after="0"/>
                    <w:jc w:val="right"/>
                    <w:rPr>
                      <w:rFonts w:eastAsia="Times New Roman" w:cs="Arial"/>
                      <w:b/>
                      <w:color w:val="auto"/>
                      <w:lang w:eastAsia="en-GB"/>
                    </w:rPr>
                  </w:pPr>
                  <w:r w:rsidRPr="00321511">
                    <w:rPr>
                      <w:rFonts w:eastAsia="Times New Roman" w:cs="Arial"/>
                      <w:b/>
                      <w:color w:val="auto"/>
                      <w:lang w:eastAsia="en-GB"/>
                    </w:rPr>
                    <w:t>555.0</w:t>
                  </w:r>
                </w:p>
              </w:tc>
            </w:tr>
            <w:tr w:rsidR="002359B6" w:rsidRPr="002F17B5" w:rsidTr="00321511">
              <w:trPr>
                <w:trHeight w:val="300"/>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color w:val="auto"/>
                      <w:sz w:val="20"/>
                      <w:szCs w:val="20"/>
                      <w:lang w:eastAsia="en-GB"/>
                    </w:rPr>
                  </w:pPr>
                  <w:r w:rsidRPr="002F17B5">
                    <w:rPr>
                      <w:rFonts w:eastAsia="Times New Roman" w:cs="Arial"/>
                      <w:color w:val="auto"/>
                      <w:sz w:val="20"/>
                      <w:szCs w:val="20"/>
                      <w:lang w:eastAsia="en-GB"/>
                    </w:rPr>
                    <w:t> </w:t>
                  </w:r>
                </w:p>
              </w:tc>
            </w:tr>
            <w:tr w:rsidR="002359B6" w:rsidRPr="002F17B5" w:rsidTr="00321511">
              <w:trPr>
                <w:trHeight w:val="315"/>
              </w:trPr>
              <w:tc>
                <w:tcPr>
                  <w:tcW w:w="4461" w:type="dxa"/>
                  <w:shd w:val="clear" w:color="000000" w:fill="FFFFFF"/>
                  <w:hideMark/>
                </w:tcPr>
                <w:p w:rsidR="002359B6" w:rsidRPr="002F17B5" w:rsidRDefault="002359B6" w:rsidP="002359B6">
                  <w:pPr>
                    <w:autoSpaceDE/>
                    <w:autoSpaceDN/>
                    <w:adjustRightInd/>
                    <w:spacing w:before="0" w:after="0"/>
                    <w:jc w:val="left"/>
                    <w:rPr>
                      <w:rFonts w:eastAsia="Times New Roman" w:cs="Arial"/>
                      <w:b/>
                      <w:bCs/>
                      <w:color w:val="auto"/>
                      <w:lang w:eastAsia="en-GB"/>
                    </w:rPr>
                  </w:pPr>
                  <w:r w:rsidRPr="002F17B5">
                    <w:rPr>
                      <w:rFonts w:eastAsia="Times New Roman" w:cs="Arial"/>
                      <w:b/>
                      <w:bCs/>
                      <w:color w:val="auto"/>
                      <w:lang w:eastAsia="en-GB"/>
                    </w:rPr>
                    <w:lastRenderedPageBreak/>
                    <w:t>Total assets</w:t>
                  </w:r>
                </w:p>
              </w:tc>
              <w:tc>
                <w:tcPr>
                  <w:tcW w:w="1418" w:type="dxa"/>
                  <w:shd w:val="clear" w:color="000000" w:fill="FFFFFF"/>
                  <w:hideMark/>
                </w:tcPr>
                <w:p w:rsidR="002359B6" w:rsidRPr="002F17B5" w:rsidRDefault="002359B6" w:rsidP="000B7BF4">
                  <w:pPr>
                    <w:autoSpaceDE/>
                    <w:autoSpaceDN/>
                    <w:adjustRightInd/>
                    <w:spacing w:before="0" w:after="0"/>
                    <w:jc w:val="right"/>
                    <w:rPr>
                      <w:rFonts w:eastAsia="Times New Roman" w:cs="Arial"/>
                      <w:b/>
                      <w:bCs/>
                      <w:color w:val="auto"/>
                      <w:lang w:eastAsia="en-GB"/>
                    </w:rPr>
                  </w:pPr>
                  <w:r w:rsidRPr="002F17B5">
                    <w:rPr>
                      <w:rFonts w:eastAsia="Times New Roman" w:cs="Arial"/>
                      <w:b/>
                      <w:bCs/>
                      <w:color w:val="auto"/>
                      <w:lang w:eastAsia="en-GB"/>
                    </w:rPr>
                    <w:t>2,</w:t>
                  </w:r>
                  <w:r w:rsidR="000B7BF4">
                    <w:rPr>
                      <w:rFonts w:eastAsia="Times New Roman" w:cs="Arial"/>
                      <w:b/>
                      <w:bCs/>
                      <w:color w:val="auto"/>
                      <w:lang w:eastAsia="en-GB"/>
                    </w:rPr>
                    <w:t>093.0</w:t>
                  </w:r>
                </w:p>
              </w:tc>
              <w:tc>
                <w:tcPr>
                  <w:tcW w:w="1418" w:type="dxa"/>
                  <w:shd w:val="clear" w:color="000000" w:fill="FFFFFF"/>
                  <w:hideMark/>
                </w:tcPr>
                <w:p w:rsidR="002359B6" w:rsidRPr="002F17B5" w:rsidRDefault="002359B6" w:rsidP="002359B6">
                  <w:pPr>
                    <w:autoSpaceDE/>
                    <w:autoSpaceDN/>
                    <w:adjustRightInd/>
                    <w:spacing w:before="0" w:after="0"/>
                    <w:jc w:val="right"/>
                    <w:rPr>
                      <w:rFonts w:eastAsia="Times New Roman" w:cs="Arial"/>
                      <w:b/>
                      <w:bCs/>
                      <w:color w:val="auto"/>
                      <w:lang w:eastAsia="en-GB"/>
                    </w:rPr>
                  </w:pPr>
                  <w:r w:rsidRPr="002F17B5">
                    <w:rPr>
                      <w:rFonts w:eastAsia="Times New Roman" w:cs="Arial"/>
                      <w:b/>
                      <w:bCs/>
                      <w:color w:val="auto"/>
                      <w:lang w:eastAsia="en-GB"/>
                    </w:rPr>
                    <w:t>2,009.1</w:t>
                  </w:r>
                </w:p>
              </w:tc>
            </w:tr>
          </w:tbl>
          <w:p w:rsidR="002359B6" w:rsidRPr="002F17B5" w:rsidRDefault="002359B6" w:rsidP="002359B6">
            <w:pPr>
              <w:autoSpaceDE/>
              <w:autoSpaceDN/>
              <w:adjustRightInd/>
              <w:spacing w:before="0" w:after="0"/>
              <w:ind w:right="-549"/>
              <w:rPr>
                <w:rFonts w:eastAsia="Times New Roman" w:cs="Arial"/>
                <w:b/>
                <w:bCs/>
                <w:lang w:eastAsia="en-GB"/>
              </w:rPr>
            </w:pPr>
          </w:p>
        </w:tc>
        <w:tc>
          <w:tcPr>
            <w:tcW w:w="1793" w:type="dxa"/>
            <w:shd w:val="clear" w:color="auto" w:fill="auto"/>
            <w:noWrap/>
            <w:vAlign w:val="bottom"/>
            <w:hideMark/>
          </w:tcPr>
          <w:p w:rsidR="002359B6" w:rsidRPr="002F17B5" w:rsidRDefault="002359B6" w:rsidP="002359B6">
            <w:pPr>
              <w:autoSpaceDE/>
              <w:autoSpaceDN/>
              <w:adjustRightInd/>
              <w:spacing w:before="0" w:after="0"/>
              <w:jc w:val="left"/>
              <w:rPr>
                <w:rFonts w:eastAsia="Times New Roman" w:cs="Arial"/>
                <w:b/>
                <w:color w:val="auto"/>
                <w:lang w:eastAsia="en-GB"/>
              </w:rPr>
            </w:pPr>
          </w:p>
        </w:tc>
        <w:tc>
          <w:tcPr>
            <w:tcW w:w="1084" w:type="dxa"/>
            <w:shd w:val="clear" w:color="auto" w:fill="auto"/>
            <w:noWrap/>
            <w:vAlign w:val="bottom"/>
            <w:hideMark/>
          </w:tcPr>
          <w:p w:rsidR="002359B6" w:rsidRPr="002F17B5" w:rsidRDefault="002359B6" w:rsidP="002359B6">
            <w:pPr>
              <w:autoSpaceDE/>
              <w:autoSpaceDN/>
              <w:adjustRightInd/>
              <w:spacing w:before="0" w:after="0"/>
              <w:jc w:val="left"/>
              <w:rPr>
                <w:rFonts w:eastAsia="Times New Roman" w:cs="Arial"/>
                <w:b/>
                <w:color w:val="auto"/>
                <w:lang w:eastAsia="en-GB"/>
              </w:rPr>
            </w:pPr>
          </w:p>
        </w:tc>
      </w:tr>
    </w:tbl>
    <w:p w:rsidR="00321511" w:rsidRDefault="00321511" w:rsidP="002359B6">
      <w:pPr>
        <w:spacing w:after="240"/>
        <w:rPr>
          <w:b/>
        </w:rPr>
      </w:pPr>
    </w:p>
    <w:p w:rsidR="002359B6" w:rsidRPr="002F17B5" w:rsidRDefault="002359B6" w:rsidP="002359B6">
      <w:pPr>
        <w:spacing w:after="240"/>
        <w:rPr>
          <w:b/>
        </w:rPr>
      </w:pPr>
      <w:r w:rsidRPr="002F17B5">
        <w:rPr>
          <w:b/>
        </w:rPr>
        <w:t>Scheme history</w:t>
      </w:r>
    </w:p>
    <w:p w:rsidR="002359B6" w:rsidRPr="002F17B5" w:rsidRDefault="002359B6" w:rsidP="002359B6">
      <w:pPr>
        <w:spacing w:after="240"/>
      </w:pPr>
      <w:r w:rsidRPr="002F17B5">
        <w:t>The amounts included in the Balance Sheet arising from the authority’s obligation in respect of its defined benefit plans is as follows:-</w:t>
      </w:r>
    </w:p>
    <w:tbl>
      <w:tblPr>
        <w:tblW w:w="10500" w:type="dxa"/>
        <w:tblInd w:w="98" w:type="dxa"/>
        <w:tblLook w:val="04A0" w:firstRow="1" w:lastRow="0" w:firstColumn="1" w:lastColumn="0" w:noHBand="0" w:noVBand="1"/>
      </w:tblPr>
      <w:tblGrid>
        <w:gridCol w:w="3554"/>
        <w:gridCol w:w="1130"/>
        <w:gridCol w:w="1456"/>
        <w:gridCol w:w="1456"/>
        <w:gridCol w:w="1456"/>
        <w:gridCol w:w="1448"/>
      </w:tblGrid>
      <w:tr w:rsidR="002359B6" w:rsidRPr="002F17B5" w:rsidTr="005E0813">
        <w:trPr>
          <w:trHeight w:val="315"/>
        </w:trPr>
        <w:tc>
          <w:tcPr>
            <w:tcW w:w="3554" w:type="dxa"/>
            <w:shd w:val="clear" w:color="000000" w:fill="FFFFFF"/>
            <w:noWrap/>
            <w:vAlign w:val="bottom"/>
            <w:hideMark/>
          </w:tcPr>
          <w:p w:rsidR="002359B6" w:rsidRPr="002F17B5" w:rsidRDefault="002359B6" w:rsidP="002359B6">
            <w:pPr>
              <w:autoSpaceDE/>
              <w:autoSpaceDN/>
              <w:adjustRightInd/>
              <w:spacing w:before="0" w:after="0"/>
              <w:jc w:val="left"/>
              <w:rPr>
                <w:rFonts w:ascii="Calibri" w:eastAsia="Times New Roman" w:hAnsi="Calibri" w:cs="Arial"/>
                <w:color w:val="auto"/>
                <w:sz w:val="22"/>
                <w:szCs w:val="22"/>
                <w:lang w:eastAsia="en-GB"/>
              </w:rPr>
            </w:pPr>
            <w:r w:rsidRPr="002F17B5">
              <w:rPr>
                <w:rFonts w:ascii="Calibri" w:eastAsia="Times New Roman" w:hAnsi="Calibri" w:cs="Arial"/>
                <w:color w:val="auto"/>
                <w:sz w:val="22"/>
                <w:szCs w:val="22"/>
                <w:lang w:eastAsia="en-GB"/>
              </w:rPr>
              <w:t> </w:t>
            </w:r>
          </w:p>
        </w:tc>
        <w:tc>
          <w:tcPr>
            <w:tcW w:w="1130" w:type="dxa"/>
            <w:shd w:val="clear" w:color="000000" w:fill="FFFFFF"/>
            <w:vAlign w:val="bottom"/>
            <w:hideMark/>
          </w:tcPr>
          <w:p w:rsidR="002359B6" w:rsidRPr="002F17B5" w:rsidRDefault="002359B6" w:rsidP="002359B6">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2009/10</w:t>
            </w:r>
          </w:p>
        </w:tc>
        <w:tc>
          <w:tcPr>
            <w:tcW w:w="1456" w:type="dxa"/>
            <w:shd w:val="clear" w:color="000000" w:fill="FFFFFF"/>
            <w:vAlign w:val="bottom"/>
            <w:hideMark/>
          </w:tcPr>
          <w:p w:rsidR="002359B6" w:rsidRPr="002F17B5" w:rsidRDefault="002359B6" w:rsidP="002359B6">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2010/11</w:t>
            </w:r>
          </w:p>
        </w:tc>
        <w:tc>
          <w:tcPr>
            <w:tcW w:w="1456" w:type="dxa"/>
            <w:shd w:val="clear" w:color="000000" w:fill="FFFFFF"/>
            <w:vAlign w:val="bottom"/>
            <w:hideMark/>
          </w:tcPr>
          <w:p w:rsidR="002359B6" w:rsidRPr="002F17B5" w:rsidRDefault="002359B6" w:rsidP="002359B6">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2011/12</w:t>
            </w:r>
          </w:p>
        </w:tc>
        <w:tc>
          <w:tcPr>
            <w:tcW w:w="1456" w:type="dxa"/>
            <w:shd w:val="clear" w:color="000000" w:fill="FFFFFF"/>
            <w:vAlign w:val="bottom"/>
            <w:hideMark/>
          </w:tcPr>
          <w:p w:rsidR="002359B6" w:rsidRPr="002F17B5" w:rsidRDefault="002359B6" w:rsidP="002359B6">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2012/13</w:t>
            </w:r>
          </w:p>
        </w:tc>
        <w:tc>
          <w:tcPr>
            <w:tcW w:w="1448" w:type="dxa"/>
            <w:shd w:val="clear" w:color="000000" w:fill="FFFFFF"/>
            <w:noWrap/>
            <w:vAlign w:val="bottom"/>
            <w:hideMark/>
          </w:tcPr>
          <w:p w:rsidR="002359B6" w:rsidRPr="002F17B5" w:rsidRDefault="002359B6" w:rsidP="002359B6">
            <w:pPr>
              <w:autoSpaceDE/>
              <w:autoSpaceDN/>
              <w:adjustRightInd/>
              <w:spacing w:before="0" w:after="0"/>
              <w:ind w:left="-249" w:right="337"/>
              <w:jc w:val="right"/>
              <w:rPr>
                <w:rFonts w:eastAsia="Times New Roman" w:cs="Arial"/>
                <w:b/>
                <w:bCs/>
                <w:sz w:val="22"/>
                <w:szCs w:val="22"/>
                <w:lang w:eastAsia="en-GB"/>
              </w:rPr>
            </w:pPr>
            <w:r w:rsidRPr="002F17B5">
              <w:rPr>
                <w:rFonts w:eastAsia="Times New Roman" w:cs="Arial"/>
                <w:b/>
                <w:bCs/>
                <w:sz w:val="22"/>
                <w:szCs w:val="22"/>
                <w:lang w:eastAsia="en-GB"/>
              </w:rPr>
              <w:t>2013/14</w:t>
            </w:r>
          </w:p>
        </w:tc>
      </w:tr>
      <w:tr w:rsidR="002359B6" w:rsidRPr="002F17B5" w:rsidTr="005E0813">
        <w:trPr>
          <w:trHeight w:val="300"/>
        </w:trPr>
        <w:tc>
          <w:tcPr>
            <w:tcW w:w="3554" w:type="dxa"/>
            <w:shd w:val="clear" w:color="000000" w:fill="FFFFFF"/>
            <w:noWrap/>
            <w:vAlign w:val="bottom"/>
            <w:hideMark/>
          </w:tcPr>
          <w:p w:rsidR="002359B6" w:rsidRPr="002F17B5" w:rsidRDefault="002359B6" w:rsidP="002359B6">
            <w:pPr>
              <w:autoSpaceDE/>
              <w:autoSpaceDN/>
              <w:adjustRightInd/>
              <w:spacing w:before="0" w:after="0"/>
              <w:rPr>
                <w:rFonts w:eastAsia="Times New Roman" w:cs="Arial"/>
                <w:sz w:val="22"/>
                <w:szCs w:val="22"/>
                <w:lang w:eastAsia="en-GB"/>
              </w:rPr>
            </w:pPr>
            <w:r w:rsidRPr="002F17B5">
              <w:rPr>
                <w:rFonts w:eastAsia="Times New Roman" w:cs="Arial"/>
                <w:sz w:val="22"/>
                <w:szCs w:val="22"/>
                <w:lang w:eastAsia="en-GB"/>
              </w:rPr>
              <w:t> </w:t>
            </w:r>
          </w:p>
        </w:tc>
        <w:tc>
          <w:tcPr>
            <w:tcW w:w="1130" w:type="dxa"/>
            <w:shd w:val="clear" w:color="000000" w:fill="FFFFFF"/>
            <w:vAlign w:val="bottom"/>
            <w:hideMark/>
          </w:tcPr>
          <w:p w:rsidR="002359B6" w:rsidRPr="002F17B5" w:rsidRDefault="002359B6" w:rsidP="002359B6">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£m</w:t>
            </w:r>
          </w:p>
        </w:tc>
        <w:tc>
          <w:tcPr>
            <w:tcW w:w="1456" w:type="dxa"/>
            <w:shd w:val="clear" w:color="000000" w:fill="FFFFFF"/>
            <w:vAlign w:val="bottom"/>
            <w:hideMark/>
          </w:tcPr>
          <w:p w:rsidR="002359B6" w:rsidRPr="002F17B5" w:rsidRDefault="002359B6" w:rsidP="002359B6">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£m</w:t>
            </w:r>
          </w:p>
        </w:tc>
        <w:tc>
          <w:tcPr>
            <w:tcW w:w="1456" w:type="dxa"/>
            <w:shd w:val="clear" w:color="000000" w:fill="FFFFFF"/>
            <w:vAlign w:val="bottom"/>
            <w:hideMark/>
          </w:tcPr>
          <w:p w:rsidR="002359B6" w:rsidRPr="002F17B5" w:rsidRDefault="002359B6" w:rsidP="002359B6">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£m</w:t>
            </w:r>
          </w:p>
        </w:tc>
        <w:tc>
          <w:tcPr>
            <w:tcW w:w="1456" w:type="dxa"/>
            <w:shd w:val="clear" w:color="000000" w:fill="FFFFFF"/>
            <w:vAlign w:val="bottom"/>
            <w:hideMark/>
          </w:tcPr>
          <w:p w:rsidR="002359B6" w:rsidRPr="002F17B5" w:rsidRDefault="002359B6" w:rsidP="002359B6">
            <w:pPr>
              <w:autoSpaceDE/>
              <w:autoSpaceDN/>
              <w:adjustRightInd/>
              <w:spacing w:before="0" w:after="0"/>
              <w:jc w:val="right"/>
              <w:rPr>
                <w:rFonts w:eastAsia="Times New Roman" w:cs="Arial"/>
                <w:b/>
                <w:bCs/>
                <w:sz w:val="22"/>
                <w:szCs w:val="22"/>
                <w:lang w:eastAsia="en-GB"/>
              </w:rPr>
            </w:pPr>
            <w:r w:rsidRPr="002F17B5">
              <w:rPr>
                <w:rFonts w:eastAsia="Times New Roman" w:cs="Arial"/>
                <w:b/>
                <w:bCs/>
                <w:sz w:val="22"/>
                <w:szCs w:val="22"/>
                <w:lang w:eastAsia="en-GB"/>
              </w:rPr>
              <w:t>£m</w:t>
            </w:r>
          </w:p>
        </w:tc>
        <w:tc>
          <w:tcPr>
            <w:tcW w:w="1448" w:type="dxa"/>
            <w:shd w:val="clear" w:color="000000" w:fill="FFFFFF"/>
            <w:noWrap/>
            <w:vAlign w:val="bottom"/>
            <w:hideMark/>
          </w:tcPr>
          <w:p w:rsidR="002359B6" w:rsidRPr="002F17B5" w:rsidRDefault="002359B6" w:rsidP="002359B6">
            <w:pPr>
              <w:autoSpaceDE/>
              <w:autoSpaceDN/>
              <w:adjustRightInd/>
              <w:spacing w:before="0" w:after="0"/>
              <w:ind w:left="-249" w:right="337"/>
              <w:jc w:val="right"/>
              <w:rPr>
                <w:rFonts w:eastAsia="Times New Roman" w:cs="Arial"/>
                <w:b/>
                <w:bCs/>
                <w:sz w:val="22"/>
                <w:szCs w:val="22"/>
                <w:lang w:eastAsia="en-GB"/>
              </w:rPr>
            </w:pPr>
            <w:r w:rsidRPr="002F17B5">
              <w:rPr>
                <w:rFonts w:eastAsia="Times New Roman" w:cs="Arial"/>
                <w:b/>
                <w:bCs/>
                <w:sz w:val="22"/>
                <w:szCs w:val="22"/>
                <w:lang w:eastAsia="en-GB"/>
              </w:rPr>
              <w:t>£m</w:t>
            </w:r>
          </w:p>
        </w:tc>
      </w:tr>
      <w:tr w:rsidR="002359B6" w:rsidRPr="002F17B5" w:rsidTr="005E0813">
        <w:trPr>
          <w:trHeight w:val="315"/>
        </w:trPr>
        <w:tc>
          <w:tcPr>
            <w:tcW w:w="3554"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b/>
                <w:bCs/>
                <w:sz w:val="22"/>
                <w:szCs w:val="22"/>
                <w:lang w:eastAsia="en-GB"/>
              </w:rPr>
            </w:pPr>
            <w:r w:rsidRPr="002F17B5">
              <w:rPr>
                <w:rFonts w:eastAsia="Times New Roman" w:cs="Arial"/>
                <w:b/>
                <w:bCs/>
                <w:sz w:val="22"/>
                <w:szCs w:val="22"/>
                <w:lang w:eastAsia="en-GB"/>
              </w:rPr>
              <w:t>Present value of scheme liabilities:</w:t>
            </w:r>
          </w:p>
        </w:tc>
        <w:tc>
          <w:tcPr>
            <w:tcW w:w="1130" w:type="dxa"/>
            <w:shd w:val="clear" w:color="000000" w:fill="FFFFFF"/>
            <w:vAlign w:val="bottom"/>
            <w:hideMark/>
          </w:tcPr>
          <w:p w:rsidR="002359B6" w:rsidRPr="002F17B5" w:rsidRDefault="002359B6" w:rsidP="002359B6">
            <w:pPr>
              <w:autoSpaceDE/>
              <w:autoSpaceDN/>
              <w:adjustRightInd/>
              <w:spacing w:before="0" w:after="0"/>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2359B6" w:rsidRPr="002F17B5" w:rsidRDefault="002359B6" w:rsidP="002359B6">
            <w:pPr>
              <w:autoSpaceDE/>
              <w:autoSpaceDN/>
              <w:adjustRightInd/>
              <w:spacing w:before="0" w:after="0"/>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2359B6" w:rsidRPr="002F17B5" w:rsidRDefault="002359B6" w:rsidP="002359B6">
            <w:pPr>
              <w:autoSpaceDE/>
              <w:autoSpaceDN/>
              <w:adjustRightInd/>
              <w:spacing w:before="0" w:after="0"/>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2359B6" w:rsidRPr="002F17B5" w:rsidRDefault="002359B6" w:rsidP="002359B6">
            <w:pPr>
              <w:autoSpaceDE/>
              <w:autoSpaceDN/>
              <w:adjustRightInd/>
              <w:spacing w:before="0" w:after="0"/>
              <w:rPr>
                <w:rFonts w:eastAsia="Times New Roman" w:cs="Arial"/>
                <w:sz w:val="22"/>
                <w:szCs w:val="22"/>
                <w:lang w:eastAsia="en-GB"/>
              </w:rPr>
            </w:pPr>
            <w:r w:rsidRPr="002F17B5">
              <w:rPr>
                <w:rFonts w:eastAsia="Times New Roman" w:cs="Arial"/>
                <w:sz w:val="22"/>
                <w:szCs w:val="22"/>
                <w:lang w:eastAsia="en-GB"/>
              </w:rPr>
              <w:t> </w:t>
            </w:r>
          </w:p>
        </w:tc>
        <w:tc>
          <w:tcPr>
            <w:tcW w:w="1448" w:type="dxa"/>
            <w:shd w:val="clear" w:color="000000" w:fill="FFFFFF"/>
            <w:noWrap/>
            <w:vAlign w:val="bottom"/>
            <w:hideMark/>
          </w:tcPr>
          <w:p w:rsidR="002359B6" w:rsidRPr="002F17B5" w:rsidRDefault="002359B6" w:rsidP="002359B6">
            <w:pPr>
              <w:autoSpaceDE/>
              <w:autoSpaceDN/>
              <w:adjustRightInd/>
              <w:spacing w:before="0" w:after="0"/>
              <w:ind w:left="-249" w:right="337"/>
              <w:jc w:val="left"/>
              <w:rPr>
                <w:rFonts w:ascii="Calibri" w:eastAsia="Times New Roman" w:hAnsi="Calibri" w:cs="Arial"/>
                <w:color w:val="auto"/>
                <w:sz w:val="22"/>
                <w:szCs w:val="22"/>
                <w:lang w:eastAsia="en-GB"/>
              </w:rPr>
            </w:pPr>
            <w:r w:rsidRPr="002F17B5">
              <w:rPr>
                <w:rFonts w:ascii="Calibri" w:eastAsia="Times New Roman" w:hAnsi="Calibri" w:cs="Arial"/>
                <w:color w:val="auto"/>
                <w:sz w:val="22"/>
                <w:szCs w:val="22"/>
                <w:lang w:eastAsia="en-GB"/>
              </w:rPr>
              <w:t> </w:t>
            </w:r>
          </w:p>
        </w:tc>
      </w:tr>
      <w:tr w:rsidR="002359B6" w:rsidRPr="002F17B5" w:rsidTr="005E0813">
        <w:trPr>
          <w:trHeight w:val="300"/>
        </w:trPr>
        <w:tc>
          <w:tcPr>
            <w:tcW w:w="3554"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Local Government Pensions Scheme</w:t>
            </w:r>
          </w:p>
        </w:tc>
        <w:tc>
          <w:tcPr>
            <w:tcW w:w="1130" w:type="dxa"/>
            <w:shd w:val="clear" w:color="000000" w:fill="FFFFFF"/>
            <w:vAlign w:val="bottom"/>
            <w:hideMark/>
          </w:tcPr>
          <w:p w:rsidR="002359B6" w:rsidRPr="002F17B5" w:rsidRDefault="000F59A8" w:rsidP="005E0813">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2,522.5</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5E0813">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2,372.0</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5E0813">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2,555.4</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5E0813">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2,986.1</w:t>
            </w:r>
            <w:r w:rsidRPr="002F17B5">
              <w:rPr>
                <w:rFonts w:eastAsia="Times New Roman" w:cs="Arial"/>
                <w:sz w:val="22"/>
                <w:szCs w:val="22"/>
                <w:lang w:eastAsia="en-GB"/>
              </w:rPr>
              <w:t>)</w:t>
            </w:r>
          </w:p>
        </w:tc>
        <w:tc>
          <w:tcPr>
            <w:tcW w:w="1448" w:type="dxa"/>
            <w:shd w:val="clear" w:color="000000" w:fill="FFFFFF"/>
            <w:noWrap/>
            <w:vAlign w:val="bottom"/>
            <w:hideMark/>
          </w:tcPr>
          <w:p w:rsidR="001D73DF" w:rsidRPr="002F17B5" w:rsidRDefault="000F59A8" w:rsidP="005E0813">
            <w:pPr>
              <w:autoSpaceDE/>
              <w:autoSpaceDN/>
              <w:adjustRightInd/>
              <w:spacing w:before="0"/>
              <w:ind w:left="-249" w:right="337"/>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2,858.0</w:t>
            </w:r>
            <w:r w:rsidRPr="002F17B5">
              <w:rPr>
                <w:rFonts w:eastAsia="Times New Roman" w:cs="Arial"/>
                <w:sz w:val="22"/>
                <w:szCs w:val="22"/>
                <w:lang w:eastAsia="en-GB"/>
              </w:rPr>
              <w:t>)</w:t>
            </w:r>
          </w:p>
        </w:tc>
      </w:tr>
      <w:tr w:rsidR="002359B6" w:rsidRPr="002F17B5" w:rsidTr="005E0813">
        <w:trPr>
          <w:trHeight w:val="300"/>
        </w:trPr>
        <w:tc>
          <w:tcPr>
            <w:tcW w:w="3554"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Teachers Pensions Scheme</w:t>
            </w:r>
          </w:p>
        </w:tc>
        <w:tc>
          <w:tcPr>
            <w:tcW w:w="1130" w:type="dxa"/>
            <w:shd w:val="clear" w:color="000000" w:fill="FFFFFF"/>
            <w:vAlign w:val="bottom"/>
            <w:hideMark/>
          </w:tcPr>
          <w:p w:rsidR="002359B6" w:rsidRPr="002F17B5" w:rsidRDefault="000F59A8" w:rsidP="00782000">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143.9</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136.2</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137.4</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150.1</w:t>
            </w:r>
            <w:r w:rsidRPr="002F17B5">
              <w:rPr>
                <w:rFonts w:eastAsia="Times New Roman" w:cs="Arial"/>
                <w:sz w:val="22"/>
                <w:szCs w:val="22"/>
                <w:lang w:eastAsia="en-GB"/>
              </w:rPr>
              <w:t>)</w:t>
            </w:r>
          </w:p>
        </w:tc>
        <w:tc>
          <w:tcPr>
            <w:tcW w:w="1448" w:type="dxa"/>
            <w:shd w:val="clear" w:color="000000" w:fill="FFFFFF"/>
            <w:noWrap/>
            <w:vAlign w:val="bottom"/>
            <w:hideMark/>
          </w:tcPr>
          <w:p w:rsidR="001D73DF" w:rsidRPr="002F17B5" w:rsidRDefault="000F59A8">
            <w:pPr>
              <w:autoSpaceDE/>
              <w:autoSpaceDN/>
              <w:adjustRightInd/>
              <w:spacing w:before="0" w:after="0"/>
              <w:ind w:left="-249" w:right="337"/>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140.1</w:t>
            </w:r>
            <w:r w:rsidRPr="002F17B5">
              <w:rPr>
                <w:rFonts w:eastAsia="Times New Roman" w:cs="Arial"/>
                <w:sz w:val="22"/>
                <w:szCs w:val="22"/>
                <w:lang w:eastAsia="en-GB"/>
              </w:rPr>
              <w:t>)</w:t>
            </w:r>
          </w:p>
        </w:tc>
      </w:tr>
      <w:tr w:rsidR="002359B6" w:rsidRPr="002F17B5" w:rsidTr="005E0813">
        <w:trPr>
          <w:trHeight w:val="281"/>
        </w:trPr>
        <w:tc>
          <w:tcPr>
            <w:tcW w:w="3554" w:type="dxa"/>
            <w:shd w:val="clear" w:color="000000" w:fill="FFFFFF"/>
            <w:noWrap/>
            <w:vAlign w:val="bottom"/>
            <w:hideMark/>
          </w:tcPr>
          <w:p w:rsidR="002359B6" w:rsidRPr="00DB314D" w:rsidRDefault="002359B6" w:rsidP="002359B6">
            <w:pPr>
              <w:autoSpaceDE/>
              <w:autoSpaceDN/>
              <w:adjustRightInd/>
              <w:spacing w:before="0" w:after="0"/>
              <w:jc w:val="left"/>
              <w:rPr>
                <w:rFonts w:ascii="Calibri" w:eastAsia="Times New Roman" w:hAnsi="Calibri" w:cs="Arial"/>
                <w:color w:val="auto"/>
                <w:sz w:val="30"/>
                <w:szCs w:val="22"/>
                <w:lang w:eastAsia="en-GB"/>
              </w:rPr>
            </w:pPr>
            <w:r w:rsidRPr="002F17B5">
              <w:rPr>
                <w:rFonts w:ascii="Calibri" w:eastAsia="Times New Roman" w:hAnsi="Calibri" w:cs="Arial"/>
                <w:color w:val="auto"/>
                <w:sz w:val="22"/>
                <w:szCs w:val="22"/>
                <w:lang w:eastAsia="en-GB"/>
              </w:rPr>
              <w:t> </w:t>
            </w:r>
          </w:p>
        </w:tc>
        <w:tc>
          <w:tcPr>
            <w:tcW w:w="1130"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48" w:type="dxa"/>
            <w:shd w:val="clear" w:color="000000" w:fill="FFFFFF"/>
            <w:noWrap/>
            <w:vAlign w:val="bottom"/>
            <w:hideMark/>
          </w:tcPr>
          <w:p w:rsidR="001D73DF" w:rsidRPr="002F17B5" w:rsidRDefault="002359B6">
            <w:pPr>
              <w:autoSpaceDE/>
              <w:autoSpaceDN/>
              <w:adjustRightInd/>
              <w:spacing w:before="0" w:after="0"/>
              <w:ind w:left="-249" w:right="337"/>
              <w:jc w:val="right"/>
              <w:rPr>
                <w:rFonts w:ascii="Calibri" w:eastAsia="Times New Roman" w:hAnsi="Calibri" w:cs="Arial"/>
                <w:color w:val="auto"/>
                <w:sz w:val="22"/>
                <w:szCs w:val="22"/>
                <w:lang w:eastAsia="en-GB"/>
              </w:rPr>
            </w:pPr>
            <w:r w:rsidRPr="002F17B5">
              <w:rPr>
                <w:rFonts w:ascii="Calibri" w:eastAsia="Times New Roman" w:hAnsi="Calibri" w:cs="Arial"/>
                <w:color w:val="auto"/>
                <w:sz w:val="22"/>
                <w:szCs w:val="22"/>
                <w:lang w:eastAsia="en-GB"/>
              </w:rPr>
              <w:t> </w:t>
            </w:r>
          </w:p>
        </w:tc>
      </w:tr>
      <w:tr w:rsidR="002359B6" w:rsidRPr="002F17B5" w:rsidTr="005E0813">
        <w:trPr>
          <w:trHeight w:val="510"/>
        </w:trPr>
        <w:tc>
          <w:tcPr>
            <w:tcW w:w="3554" w:type="dxa"/>
            <w:shd w:val="clear" w:color="000000" w:fill="FFFFFF"/>
            <w:vAlign w:val="bottom"/>
            <w:hideMark/>
          </w:tcPr>
          <w:p w:rsidR="002359B6" w:rsidRPr="002F17B5" w:rsidRDefault="002359B6" w:rsidP="002359B6">
            <w:pPr>
              <w:autoSpaceDE/>
              <w:autoSpaceDN/>
              <w:adjustRightInd/>
              <w:spacing w:before="0" w:after="0"/>
              <w:jc w:val="left"/>
              <w:rPr>
                <w:rFonts w:eastAsia="Times New Roman" w:cs="Arial"/>
                <w:b/>
                <w:bCs/>
                <w:sz w:val="22"/>
                <w:szCs w:val="22"/>
                <w:lang w:eastAsia="en-GB"/>
              </w:rPr>
            </w:pPr>
            <w:r w:rsidRPr="002F17B5">
              <w:rPr>
                <w:rFonts w:eastAsia="Times New Roman" w:cs="Arial"/>
                <w:b/>
                <w:bCs/>
                <w:sz w:val="22"/>
                <w:szCs w:val="22"/>
                <w:lang w:eastAsia="en-GB"/>
              </w:rPr>
              <w:t>Fair value of assets in the Lancashire County Pension Fund</w:t>
            </w:r>
          </w:p>
        </w:tc>
        <w:tc>
          <w:tcPr>
            <w:tcW w:w="1130" w:type="dxa"/>
            <w:shd w:val="clear" w:color="000000" w:fill="FFFFFF"/>
            <w:vAlign w:val="bottom"/>
            <w:hideMark/>
          </w:tcPr>
          <w:p w:rsidR="002359B6" w:rsidRPr="002F17B5" w:rsidRDefault="002359B6" w:rsidP="005E0813">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1,606.4</w:t>
            </w:r>
          </w:p>
        </w:tc>
        <w:tc>
          <w:tcPr>
            <w:tcW w:w="1456" w:type="dxa"/>
            <w:shd w:val="clear" w:color="000000" w:fill="FFFFFF"/>
            <w:vAlign w:val="bottom"/>
            <w:hideMark/>
          </w:tcPr>
          <w:p w:rsidR="001D73DF" w:rsidRPr="002F17B5" w:rsidRDefault="002359B6" w:rsidP="005E0813">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1,743.0</w:t>
            </w:r>
          </w:p>
        </w:tc>
        <w:tc>
          <w:tcPr>
            <w:tcW w:w="1456" w:type="dxa"/>
            <w:shd w:val="clear" w:color="000000" w:fill="FFFFFF"/>
            <w:vAlign w:val="bottom"/>
            <w:hideMark/>
          </w:tcPr>
          <w:p w:rsidR="001D73DF" w:rsidRPr="002F17B5" w:rsidRDefault="002359B6" w:rsidP="005E0813">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1,753.2</w:t>
            </w:r>
          </w:p>
        </w:tc>
        <w:tc>
          <w:tcPr>
            <w:tcW w:w="1456" w:type="dxa"/>
            <w:shd w:val="clear" w:color="000000" w:fill="FFFFFF"/>
            <w:vAlign w:val="bottom"/>
            <w:hideMark/>
          </w:tcPr>
          <w:p w:rsidR="001D73DF" w:rsidRPr="002F17B5" w:rsidRDefault="002359B6" w:rsidP="005E0813">
            <w:pPr>
              <w:autoSpaceDE/>
              <w:autoSpaceDN/>
              <w:adjustRightInd/>
              <w:spacing w:before="0"/>
              <w:jc w:val="right"/>
              <w:rPr>
                <w:rFonts w:eastAsia="Times New Roman" w:cs="Arial"/>
                <w:sz w:val="22"/>
                <w:szCs w:val="22"/>
                <w:lang w:eastAsia="en-GB"/>
              </w:rPr>
            </w:pPr>
            <w:r w:rsidRPr="002F17B5">
              <w:rPr>
                <w:rFonts w:eastAsia="Times New Roman" w:cs="Arial"/>
                <w:sz w:val="22"/>
                <w:szCs w:val="22"/>
                <w:lang w:eastAsia="en-GB"/>
              </w:rPr>
              <w:t>2,009.1</w:t>
            </w:r>
          </w:p>
        </w:tc>
        <w:tc>
          <w:tcPr>
            <w:tcW w:w="1448" w:type="dxa"/>
            <w:shd w:val="clear" w:color="000000" w:fill="FFFFFF"/>
            <w:noWrap/>
            <w:vAlign w:val="bottom"/>
            <w:hideMark/>
          </w:tcPr>
          <w:p w:rsidR="001D73DF" w:rsidRPr="002F17B5" w:rsidRDefault="002359B6" w:rsidP="005E0813">
            <w:pPr>
              <w:autoSpaceDE/>
              <w:autoSpaceDN/>
              <w:adjustRightInd/>
              <w:spacing w:before="0"/>
              <w:ind w:left="-249" w:right="337"/>
              <w:jc w:val="right"/>
              <w:rPr>
                <w:rFonts w:eastAsia="Times New Roman" w:cs="Arial"/>
                <w:sz w:val="22"/>
                <w:szCs w:val="22"/>
                <w:lang w:eastAsia="en-GB"/>
              </w:rPr>
            </w:pPr>
            <w:r w:rsidRPr="002F17B5">
              <w:rPr>
                <w:rFonts w:eastAsia="Times New Roman" w:cs="Arial"/>
                <w:sz w:val="22"/>
                <w:szCs w:val="22"/>
                <w:lang w:eastAsia="en-GB"/>
              </w:rPr>
              <w:t>2,093.0</w:t>
            </w:r>
          </w:p>
        </w:tc>
      </w:tr>
      <w:tr w:rsidR="002359B6" w:rsidRPr="002F17B5" w:rsidTr="005E0813">
        <w:trPr>
          <w:trHeight w:val="239"/>
        </w:trPr>
        <w:tc>
          <w:tcPr>
            <w:tcW w:w="3554" w:type="dxa"/>
            <w:shd w:val="clear" w:color="000000" w:fill="FFFFFF"/>
            <w:vAlign w:val="bottom"/>
            <w:hideMark/>
          </w:tcPr>
          <w:p w:rsidR="002359B6" w:rsidRPr="00DB314D" w:rsidRDefault="002359B6" w:rsidP="002359B6">
            <w:pPr>
              <w:autoSpaceDE/>
              <w:autoSpaceDN/>
              <w:adjustRightInd/>
              <w:spacing w:before="0" w:after="0"/>
              <w:jc w:val="left"/>
              <w:rPr>
                <w:rFonts w:ascii="Calibri" w:eastAsia="Times New Roman" w:hAnsi="Calibri" w:cs="Arial"/>
                <w:color w:val="auto"/>
                <w:sz w:val="32"/>
                <w:szCs w:val="22"/>
                <w:lang w:eastAsia="en-GB"/>
              </w:rPr>
            </w:pPr>
            <w:r w:rsidRPr="002F17B5">
              <w:rPr>
                <w:rFonts w:ascii="Calibri" w:eastAsia="Times New Roman" w:hAnsi="Calibri" w:cs="Arial"/>
                <w:color w:val="auto"/>
                <w:sz w:val="22"/>
                <w:szCs w:val="22"/>
                <w:lang w:eastAsia="en-GB"/>
              </w:rPr>
              <w:t> </w:t>
            </w:r>
          </w:p>
        </w:tc>
        <w:tc>
          <w:tcPr>
            <w:tcW w:w="1130"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48" w:type="dxa"/>
            <w:shd w:val="clear" w:color="000000" w:fill="FFFFFF"/>
            <w:noWrap/>
            <w:vAlign w:val="bottom"/>
            <w:hideMark/>
          </w:tcPr>
          <w:p w:rsidR="001D73DF" w:rsidRPr="002F17B5" w:rsidRDefault="002359B6">
            <w:pPr>
              <w:autoSpaceDE/>
              <w:autoSpaceDN/>
              <w:adjustRightInd/>
              <w:spacing w:before="0" w:after="0"/>
              <w:ind w:left="-249" w:right="337"/>
              <w:jc w:val="right"/>
              <w:rPr>
                <w:rFonts w:ascii="Calibri" w:eastAsia="Times New Roman" w:hAnsi="Calibri" w:cs="Arial"/>
                <w:color w:val="auto"/>
                <w:sz w:val="22"/>
                <w:szCs w:val="22"/>
                <w:lang w:eastAsia="en-GB"/>
              </w:rPr>
            </w:pPr>
            <w:r w:rsidRPr="002F17B5">
              <w:rPr>
                <w:rFonts w:ascii="Calibri" w:eastAsia="Times New Roman" w:hAnsi="Calibri" w:cs="Arial"/>
                <w:color w:val="auto"/>
                <w:sz w:val="22"/>
                <w:szCs w:val="22"/>
                <w:lang w:eastAsia="en-GB"/>
              </w:rPr>
              <w:t> </w:t>
            </w:r>
          </w:p>
        </w:tc>
      </w:tr>
      <w:tr w:rsidR="002359B6" w:rsidRPr="002F17B5" w:rsidTr="005E0813">
        <w:trPr>
          <w:trHeight w:val="315"/>
        </w:trPr>
        <w:tc>
          <w:tcPr>
            <w:tcW w:w="3554"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b/>
                <w:bCs/>
                <w:sz w:val="22"/>
                <w:szCs w:val="22"/>
                <w:lang w:eastAsia="en-GB"/>
              </w:rPr>
            </w:pPr>
            <w:r w:rsidRPr="002F17B5">
              <w:rPr>
                <w:rFonts w:eastAsia="Times New Roman" w:cs="Arial"/>
                <w:b/>
                <w:bCs/>
                <w:sz w:val="22"/>
                <w:szCs w:val="22"/>
                <w:lang w:eastAsia="en-GB"/>
              </w:rPr>
              <w:t>Surplus/(deficit) in scheme</w:t>
            </w:r>
          </w:p>
        </w:tc>
        <w:tc>
          <w:tcPr>
            <w:tcW w:w="1130"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56" w:type="dxa"/>
            <w:shd w:val="clear" w:color="000000" w:fill="FFFFFF"/>
            <w:vAlign w:val="bottom"/>
            <w:hideMark/>
          </w:tcPr>
          <w:p w:rsidR="001D73DF" w:rsidRPr="002F17B5" w:rsidRDefault="002359B6">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 </w:t>
            </w:r>
          </w:p>
        </w:tc>
        <w:tc>
          <w:tcPr>
            <w:tcW w:w="1448" w:type="dxa"/>
            <w:shd w:val="clear" w:color="000000" w:fill="FFFFFF"/>
            <w:noWrap/>
            <w:vAlign w:val="bottom"/>
            <w:hideMark/>
          </w:tcPr>
          <w:p w:rsidR="001D73DF" w:rsidRPr="002F17B5" w:rsidRDefault="002359B6">
            <w:pPr>
              <w:autoSpaceDE/>
              <w:autoSpaceDN/>
              <w:adjustRightInd/>
              <w:spacing w:before="0" w:after="0"/>
              <w:ind w:left="-249" w:right="337"/>
              <w:jc w:val="right"/>
              <w:rPr>
                <w:rFonts w:ascii="Calibri" w:eastAsia="Times New Roman" w:hAnsi="Calibri" w:cs="Arial"/>
                <w:color w:val="auto"/>
                <w:sz w:val="22"/>
                <w:szCs w:val="22"/>
                <w:lang w:eastAsia="en-GB"/>
              </w:rPr>
            </w:pPr>
            <w:r w:rsidRPr="002F17B5">
              <w:rPr>
                <w:rFonts w:ascii="Calibri" w:eastAsia="Times New Roman" w:hAnsi="Calibri" w:cs="Arial"/>
                <w:color w:val="auto"/>
                <w:sz w:val="22"/>
                <w:szCs w:val="22"/>
                <w:lang w:eastAsia="en-GB"/>
              </w:rPr>
              <w:t> </w:t>
            </w:r>
          </w:p>
        </w:tc>
      </w:tr>
      <w:tr w:rsidR="002359B6" w:rsidRPr="002F17B5" w:rsidTr="005E0813">
        <w:trPr>
          <w:trHeight w:val="300"/>
        </w:trPr>
        <w:tc>
          <w:tcPr>
            <w:tcW w:w="3554" w:type="dxa"/>
            <w:shd w:val="clear" w:color="000000" w:fill="FFFFFF"/>
            <w:noWrap/>
            <w:vAlign w:val="bottom"/>
            <w:hideMark/>
          </w:tcPr>
          <w:p w:rsidR="002359B6" w:rsidRPr="002F17B5" w:rsidRDefault="002359B6" w:rsidP="002359B6">
            <w:pPr>
              <w:autoSpaceDE/>
              <w:autoSpaceDN/>
              <w:adjustRightInd/>
              <w:spacing w:before="0" w:after="0"/>
              <w:jc w:val="left"/>
              <w:rPr>
                <w:rFonts w:eastAsia="Times New Roman" w:cs="Arial"/>
                <w:sz w:val="22"/>
                <w:szCs w:val="22"/>
                <w:lang w:eastAsia="en-GB"/>
              </w:rPr>
            </w:pPr>
            <w:r w:rsidRPr="002F17B5">
              <w:rPr>
                <w:rFonts w:eastAsia="Times New Roman" w:cs="Arial"/>
                <w:sz w:val="22"/>
                <w:szCs w:val="22"/>
                <w:lang w:eastAsia="en-GB"/>
              </w:rPr>
              <w:t>Lancashire County Pension Fund</w:t>
            </w:r>
          </w:p>
        </w:tc>
        <w:tc>
          <w:tcPr>
            <w:tcW w:w="1130" w:type="dxa"/>
            <w:shd w:val="clear" w:color="000000" w:fill="FFFFFF"/>
            <w:vAlign w:val="bottom"/>
            <w:hideMark/>
          </w:tcPr>
          <w:p w:rsidR="002359B6" w:rsidRPr="002F17B5" w:rsidRDefault="000F59A8" w:rsidP="005E0813">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916.1</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5E0813">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629.0</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5E0813">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802.1</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5E0813">
            <w:pPr>
              <w:autoSpaceDE/>
              <w:autoSpaceDN/>
              <w:adjustRightInd/>
              <w:spacing w:before="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977.0</w:t>
            </w:r>
            <w:r w:rsidRPr="002F17B5">
              <w:rPr>
                <w:rFonts w:eastAsia="Times New Roman" w:cs="Arial"/>
                <w:sz w:val="22"/>
                <w:szCs w:val="22"/>
                <w:lang w:eastAsia="en-GB"/>
              </w:rPr>
              <w:t>)</w:t>
            </w:r>
          </w:p>
        </w:tc>
        <w:tc>
          <w:tcPr>
            <w:tcW w:w="1448" w:type="dxa"/>
            <w:shd w:val="clear" w:color="000000" w:fill="FFFFFF"/>
            <w:noWrap/>
            <w:vAlign w:val="bottom"/>
            <w:hideMark/>
          </w:tcPr>
          <w:p w:rsidR="001D73DF" w:rsidRPr="002F17B5" w:rsidRDefault="000F59A8" w:rsidP="005E0813">
            <w:pPr>
              <w:autoSpaceDE/>
              <w:autoSpaceDN/>
              <w:adjustRightInd/>
              <w:spacing w:before="0" w:after="0"/>
              <w:ind w:left="-249" w:right="337"/>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765.0</w:t>
            </w:r>
            <w:r w:rsidRPr="002F17B5">
              <w:rPr>
                <w:rFonts w:eastAsia="Times New Roman" w:cs="Arial"/>
                <w:sz w:val="22"/>
                <w:szCs w:val="22"/>
                <w:lang w:eastAsia="en-GB"/>
              </w:rPr>
              <w:t>)</w:t>
            </w:r>
          </w:p>
        </w:tc>
      </w:tr>
      <w:tr w:rsidR="002359B6" w:rsidRPr="002F17B5" w:rsidTr="005E0813">
        <w:trPr>
          <w:trHeight w:val="300"/>
        </w:trPr>
        <w:tc>
          <w:tcPr>
            <w:tcW w:w="3554" w:type="dxa"/>
            <w:shd w:val="clear" w:color="000000" w:fill="FFFFFF"/>
            <w:noWrap/>
            <w:vAlign w:val="bottom"/>
            <w:hideMark/>
          </w:tcPr>
          <w:p w:rsidR="002359B6" w:rsidRPr="002F17B5" w:rsidRDefault="002359B6" w:rsidP="00C2701D">
            <w:pPr>
              <w:autoSpaceDE/>
              <w:autoSpaceDN/>
              <w:adjustRightInd/>
              <w:spacing w:before="120" w:after="0"/>
              <w:jc w:val="left"/>
              <w:rPr>
                <w:rFonts w:eastAsia="Times New Roman" w:cs="Arial"/>
                <w:sz w:val="22"/>
                <w:szCs w:val="22"/>
                <w:lang w:eastAsia="en-GB"/>
              </w:rPr>
            </w:pPr>
            <w:r w:rsidRPr="002F17B5">
              <w:rPr>
                <w:rFonts w:eastAsia="Times New Roman" w:cs="Arial"/>
                <w:sz w:val="22"/>
                <w:szCs w:val="22"/>
                <w:lang w:eastAsia="en-GB"/>
              </w:rPr>
              <w:t>Teachers Pension Scheme</w:t>
            </w:r>
          </w:p>
        </w:tc>
        <w:tc>
          <w:tcPr>
            <w:tcW w:w="1130" w:type="dxa"/>
            <w:shd w:val="clear" w:color="000000" w:fill="FFFFFF"/>
            <w:vAlign w:val="bottom"/>
            <w:hideMark/>
          </w:tcPr>
          <w:p w:rsidR="002359B6" w:rsidRPr="002F17B5" w:rsidRDefault="000F59A8" w:rsidP="00C2701D">
            <w:pPr>
              <w:autoSpaceDE/>
              <w:autoSpaceDN/>
              <w:adjustRightInd/>
              <w:spacing w:before="12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143.9</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C2701D">
            <w:pPr>
              <w:autoSpaceDE/>
              <w:autoSpaceDN/>
              <w:adjustRightInd/>
              <w:spacing w:before="12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136.2</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C2701D">
            <w:pPr>
              <w:autoSpaceDE/>
              <w:autoSpaceDN/>
              <w:adjustRightInd/>
              <w:spacing w:before="12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137.4</w:t>
            </w:r>
            <w:r w:rsidRPr="002F17B5">
              <w:rPr>
                <w:rFonts w:eastAsia="Times New Roman" w:cs="Arial"/>
                <w:sz w:val="22"/>
                <w:szCs w:val="22"/>
                <w:lang w:eastAsia="en-GB"/>
              </w:rPr>
              <w:t>)</w:t>
            </w:r>
          </w:p>
        </w:tc>
        <w:tc>
          <w:tcPr>
            <w:tcW w:w="1456" w:type="dxa"/>
            <w:shd w:val="clear" w:color="000000" w:fill="FFFFFF"/>
            <w:vAlign w:val="bottom"/>
            <w:hideMark/>
          </w:tcPr>
          <w:p w:rsidR="001D73DF" w:rsidRPr="002F17B5" w:rsidRDefault="000F59A8" w:rsidP="00C2701D">
            <w:pPr>
              <w:autoSpaceDE/>
              <w:autoSpaceDN/>
              <w:adjustRightInd/>
              <w:spacing w:before="120" w:after="0"/>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150.1</w:t>
            </w:r>
            <w:r w:rsidRPr="002F17B5">
              <w:rPr>
                <w:rFonts w:eastAsia="Times New Roman" w:cs="Arial"/>
                <w:sz w:val="22"/>
                <w:szCs w:val="22"/>
                <w:lang w:eastAsia="en-GB"/>
              </w:rPr>
              <w:t>)</w:t>
            </w:r>
          </w:p>
        </w:tc>
        <w:tc>
          <w:tcPr>
            <w:tcW w:w="1448" w:type="dxa"/>
            <w:shd w:val="clear" w:color="000000" w:fill="FFFFFF"/>
            <w:noWrap/>
            <w:vAlign w:val="bottom"/>
            <w:hideMark/>
          </w:tcPr>
          <w:p w:rsidR="001D73DF" w:rsidRPr="002F17B5" w:rsidRDefault="000F59A8" w:rsidP="00C2701D">
            <w:pPr>
              <w:autoSpaceDE/>
              <w:autoSpaceDN/>
              <w:adjustRightInd/>
              <w:spacing w:before="120" w:after="0"/>
              <w:ind w:left="-249" w:right="337"/>
              <w:jc w:val="right"/>
              <w:rPr>
                <w:rFonts w:eastAsia="Times New Roman" w:cs="Arial"/>
                <w:sz w:val="22"/>
                <w:szCs w:val="22"/>
                <w:lang w:eastAsia="en-GB"/>
              </w:rPr>
            </w:pPr>
            <w:r w:rsidRPr="002F17B5">
              <w:rPr>
                <w:rFonts w:eastAsia="Times New Roman" w:cs="Arial"/>
                <w:sz w:val="22"/>
                <w:szCs w:val="22"/>
                <w:lang w:eastAsia="en-GB"/>
              </w:rPr>
              <w:t>(</w:t>
            </w:r>
            <w:r w:rsidR="002359B6" w:rsidRPr="002F17B5">
              <w:rPr>
                <w:rFonts w:eastAsia="Times New Roman" w:cs="Arial"/>
                <w:sz w:val="22"/>
                <w:szCs w:val="22"/>
                <w:lang w:eastAsia="en-GB"/>
              </w:rPr>
              <w:t>140.1</w:t>
            </w:r>
            <w:r w:rsidRPr="002F17B5">
              <w:rPr>
                <w:rFonts w:eastAsia="Times New Roman" w:cs="Arial"/>
                <w:sz w:val="22"/>
                <w:szCs w:val="22"/>
                <w:lang w:eastAsia="en-GB"/>
              </w:rPr>
              <w:t>)</w:t>
            </w:r>
          </w:p>
        </w:tc>
      </w:tr>
      <w:tr w:rsidR="002359B6" w:rsidRPr="002F17B5" w:rsidTr="005E0813">
        <w:trPr>
          <w:trHeight w:val="315"/>
        </w:trPr>
        <w:tc>
          <w:tcPr>
            <w:tcW w:w="3554" w:type="dxa"/>
            <w:shd w:val="clear" w:color="000000" w:fill="FFFFFF"/>
            <w:noWrap/>
            <w:vAlign w:val="bottom"/>
            <w:hideMark/>
          </w:tcPr>
          <w:p w:rsidR="002359B6" w:rsidRPr="002F17B5" w:rsidRDefault="002359B6" w:rsidP="00C2701D">
            <w:pPr>
              <w:autoSpaceDE/>
              <w:autoSpaceDN/>
              <w:adjustRightInd/>
              <w:spacing w:before="120" w:after="0"/>
              <w:jc w:val="left"/>
              <w:rPr>
                <w:rFonts w:eastAsia="Times New Roman" w:cs="Arial"/>
                <w:b/>
                <w:bCs/>
                <w:sz w:val="22"/>
                <w:szCs w:val="22"/>
                <w:lang w:eastAsia="en-GB"/>
              </w:rPr>
            </w:pPr>
            <w:r w:rsidRPr="002F17B5">
              <w:rPr>
                <w:rFonts w:eastAsia="Times New Roman" w:cs="Arial"/>
                <w:b/>
                <w:bCs/>
                <w:sz w:val="22"/>
                <w:szCs w:val="22"/>
                <w:lang w:eastAsia="en-GB"/>
              </w:rPr>
              <w:t>Total</w:t>
            </w:r>
          </w:p>
        </w:tc>
        <w:tc>
          <w:tcPr>
            <w:tcW w:w="1130" w:type="dxa"/>
            <w:shd w:val="clear" w:color="000000" w:fill="FFFFFF"/>
            <w:vAlign w:val="bottom"/>
            <w:hideMark/>
          </w:tcPr>
          <w:p w:rsidR="002359B6" w:rsidRPr="002F17B5" w:rsidRDefault="000F59A8" w:rsidP="00C2701D">
            <w:pPr>
              <w:autoSpaceDE/>
              <w:autoSpaceDN/>
              <w:adjustRightInd/>
              <w:spacing w:before="120" w:after="0"/>
              <w:jc w:val="right"/>
              <w:rPr>
                <w:rFonts w:eastAsia="Times New Roman" w:cs="Arial"/>
                <w:b/>
                <w:bCs/>
                <w:sz w:val="22"/>
                <w:szCs w:val="22"/>
                <w:lang w:eastAsia="en-GB"/>
              </w:rPr>
            </w:pPr>
            <w:r w:rsidRPr="002F17B5">
              <w:rPr>
                <w:rFonts w:eastAsia="Times New Roman" w:cs="Arial"/>
                <w:b/>
                <w:bCs/>
                <w:sz w:val="22"/>
                <w:szCs w:val="22"/>
                <w:lang w:eastAsia="en-GB"/>
              </w:rPr>
              <w:t>(</w:t>
            </w:r>
            <w:r w:rsidR="002359B6" w:rsidRPr="002F17B5">
              <w:rPr>
                <w:rFonts w:eastAsia="Times New Roman" w:cs="Arial"/>
                <w:b/>
                <w:bCs/>
                <w:sz w:val="22"/>
                <w:szCs w:val="22"/>
                <w:lang w:eastAsia="en-GB"/>
              </w:rPr>
              <w:t>1</w:t>
            </w:r>
            <w:r w:rsidRPr="002F17B5">
              <w:rPr>
                <w:rFonts w:eastAsia="Times New Roman" w:cs="Arial"/>
                <w:b/>
                <w:bCs/>
                <w:sz w:val="22"/>
                <w:szCs w:val="22"/>
                <w:lang w:eastAsia="en-GB"/>
              </w:rPr>
              <w:t>,</w:t>
            </w:r>
            <w:r w:rsidR="002359B6" w:rsidRPr="002F17B5">
              <w:rPr>
                <w:rFonts w:eastAsia="Times New Roman" w:cs="Arial"/>
                <w:b/>
                <w:bCs/>
                <w:sz w:val="22"/>
                <w:szCs w:val="22"/>
                <w:lang w:eastAsia="en-GB"/>
              </w:rPr>
              <w:t>060.0</w:t>
            </w:r>
            <w:r w:rsidRPr="002F17B5">
              <w:rPr>
                <w:rFonts w:eastAsia="Times New Roman" w:cs="Arial"/>
                <w:b/>
                <w:bCs/>
                <w:sz w:val="22"/>
                <w:szCs w:val="22"/>
                <w:lang w:eastAsia="en-GB"/>
              </w:rPr>
              <w:t>)</w:t>
            </w:r>
          </w:p>
        </w:tc>
        <w:tc>
          <w:tcPr>
            <w:tcW w:w="1456" w:type="dxa"/>
            <w:shd w:val="clear" w:color="000000" w:fill="FFFFFF"/>
            <w:vAlign w:val="bottom"/>
            <w:hideMark/>
          </w:tcPr>
          <w:p w:rsidR="001D73DF" w:rsidRPr="002F17B5" w:rsidRDefault="000F59A8" w:rsidP="00C2701D">
            <w:pPr>
              <w:autoSpaceDE/>
              <w:autoSpaceDN/>
              <w:adjustRightInd/>
              <w:spacing w:before="120" w:after="0"/>
              <w:jc w:val="right"/>
              <w:rPr>
                <w:rFonts w:eastAsia="Times New Roman" w:cs="Arial"/>
                <w:b/>
                <w:bCs/>
                <w:sz w:val="22"/>
                <w:szCs w:val="22"/>
                <w:lang w:eastAsia="en-GB"/>
              </w:rPr>
            </w:pPr>
            <w:r w:rsidRPr="002F17B5">
              <w:rPr>
                <w:rFonts w:eastAsia="Times New Roman" w:cs="Arial"/>
                <w:b/>
                <w:bCs/>
                <w:sz w:val="22"/>
                <w:szCs w:val="22"/>
                <w:lang w:eastAsia="en-GB"/>
              </w:rPr>
              <w:t>(</w:t>
            </w:r>
            <w:r w:rsidR="002359B6" w:rsidRPr="002F17B5">
              <w:rPr>
                <w:rFonts w:eastAsia="Times New Roman" w:cs="Arial"/>
                <w:b/>
                <w:bCs/>
                <w:sz w:val="22"/>
                <w:szCs w:val="22"/>
                <w:lang w:eastAsia="en-GB"/>
              </w:rPr>
              <w:t>765.2</w:t>
            </w:r>
            <w:r w:rsidRPr="002F17B5">
              <w:rPr>
                <w:rFonts w:eastAsia="Times New Roman" w:cs="Arial"/>
                <w:b/>
                <w:bCs/>
                <w:sz w:val="22"/>
                <w:szCs w:val="22"/>
                <w:lang w:eastAsia="en-GB"/>
              </w:rPr>
              <w:t>)</w:t>
            </w:r>
          </w:p>
        </w:tc>
        <w:tc>
          <w:tcPr>
            <w:tcW w:w="1456" w:type="dxa"/>
            <w:shd w:val="clear" w:color="000000" w:fill="FFFFFF"/>
            <w:vAlign w:val="bottom"/>
            <w:hideMark/>
          </w:tcPr>
          <w:p w:rsidR="001D73DF" w:rsidRPr="002F17B5" w:rsidRDefault="000F59A8" w:rsidP="00C2701D">
            <w:pPr>
              <w:autoSpaceDE/>
              <w:autoSpaceDN/>
              <w:adjustRightInd/>
              <w:spacing w:before="120" w:after="0"/>
              <w:jc w:val="right"/>
              <w:rPr>
                <w:rFonts w:eastAsia="Times New Roman" w:cs="Arial"/>
                <w:b/>
                <w:bCs/>
                <w:sz w:val="22"/>
                <w:szCs w:val="22"/>
                <w:lang w:eastAsia="en-GB"/>
              </w:rPr>
            </w:pPr>
            <w:r w:rsidRPr="002F17B5">
              <w:rPr>
                <w:rFonts w:eastAsia="Times New Roman" w:cs="Arial"/>
                <w:b/>
                <w:bCs/>
                <w:sz w:val="22"/>
                <w:szCs w:val="22"/>
                <w:lang w:eastAsia="en-GB"/>
              </w:rPr>
              <w:t>(</w:t>
            </w:r>
            <w:r w:rsidR="002359B6" w:rsidRPr="002F17B5">
              <w:rPr>
                <w:rFonts w:eastAsia="Times New Roman" w:cs="Arial"/>
                <w:b/>
                <w:bCs/>
                <w:sz w:val="22"/>
                <w:szCs w:val="22"/>
                <w:lang w:eastAsia="en-GB"/>
              </w:rPr>
              <w:t>939.5</w:t>
            </w:r>
            <w:r w:rsidRPr="002F17B5">
              <w:rPr>
                <w:rFonts w:eastAsia="Times New Roman" w:cs="Arial"/>
                <w:b/>
                <w:bCs/>
                <w:sz w:val="22"/>
                <w:szCs w:val="22"/>
                <w:lang w:eastAsia="en-GB"/>
              </w:rPr>
              <w:t>)</w:t>
            </w:r>
          </w:p>
        </w:tc>
        <w:tc>
          <w:tcPr>
            <w:tcW w:w="1456" w:type="dxa"/>
            <w:shd w:val="clear" w:color="000000" w:fill="FFFFFF"/>
            <w:vAlign w:val="bottom"/>
            <w:hideMark/>
          </w:tcPr>
          <w:p w:rsidR="001D73DF" w:rsidRPr="002F17B5" w:rsidRDefault="000F59A8" w:rsidP="00C2701D">
            <w:pPr>
              <w:autoSpaceDE/>
              <w:autoSpaceDN/>
              <w:adjustRightInd/>
              <w:spacing w:before="120" w:after="0"/>
              <w:jc w:val="right"/>
              <w:rPr>
                <w:rFonts w:eastAsia="Times New Roman" w:cs="Arial"/>
                <w:b/>
                <w:bCs/>
                <w:sz w:val="22"/>
                <w:szCs w:val="22"/>
                <w:lang w:eastAsia="en-GB"/>
              </w:rPr>
            </w:pPr>
            <w:r w:rsidRPr="002F17B5">
              <w:rPr>
                <w:rFonts w:eastAsia="Times New Roman" w:cs="Arial"/>
                <w:b/>
                <w:bCs/>
                <w:sz w:val="22"/>
                <w:szCs w:val="22"/>
                <w:lang w:eastAsia="en-GB"/>
              </w:rPr>
              <w:t>(</w:t>
            </w:r>
            <w:r w:rsidR="002359B6" w:rsidRPr="002F17B5">
              <w:rPr>
                <w:rFonts w:eastAsia="Times New Roman" w:cs="Arial"/>
                <w:b/>
                <w:bCs/>
                <w:sz w:val="22"/>
                <w:szCs w:val="22"/>
                <w:lang w:eastAsia="en-GB"/>
              </w:rPr>
              <w:t>1</w:t>
            </w:r>
            <w:r w:rsidRPr="002F17B5">
              <w:rPr>
                <w:rFonts w:eastAsia="Times New Roman" w:cs="Arial"/>
                <w:b/>
                <w:bCs/>
                <w:sz w:val="22"/>
                <w:szCs w:val="22"/>
                <w:lang w:eastAsia="en-GB"/>
              </w:rPr>
              <w:t>,</w:t>
            </w:r>
            <w:r w:rsidR="002359B6" w:rsidRPr="002F17B5">
              <w:rPr>
                <w:rFonts w:eastAsia="Times New Roman" w:cs="Arial"/>
                <w:b/>
                <w:bCs/>
                <w:sz w:val="22"/>
                <w:szCs w:val="22"/>
                <w:lang w:eastAsia="en-GB"/>
              </w:rPr>
              <w:t>127.1</w:t>
            </w:r>
            <w:r w:rsidRPr="002F17B5">
              <w:rPr>
                <w:rFonts w:eastAsia="Times New Roman" w:cs="Arial"/>
                <w:b/>
                <w:bCs/>
                <w:sz w:val="22"/>
                <w:szCs w:val="22"/>
                <w:lang w:eastAsia="en-GB"/>
              </w:rPr>
              <w:t>)</w:t>
            </w:r>
          </w:p>
        </w:tc>
        <w:tc>
          <w:tcPr>
            <w:tcW w:w="1448" w:type="dxa"/>
            <w:shd w:val="clear" w:color="000000" w:fill="FFFFFF"/>
            <w:noWrap/>
            <w:vAlign w:val="bottom"/>
            <w:hideMark/>
          </w:tcPr>
          <w:p w:rsidR="001D73DF" w:rsidRPr="002F17B5" w:rsidRDefault="000F59A8" w:rsidP="00C2701D">
            <w:pPr>
              <w:autoSpaceDE/>
              <w:autoSpaceDN/>
              <w:adjustRightInd/>
              <w:spacing w:before="120" w:after="0"/>
              <w:ind w:left="-249" w:right="337"/>
              <w:jc w:val="right"/>
              <w:rPr>
                <w:rFonts w:eastAsia="Times New Roman" w:cs="Arial"/>
                <w:b/>
                <w:bCs/>
                <w:sz w:val="22"/>
                <w:szCs w:val="22"/>
                <w:lang w:eastAsia="en-GB"/>
              </w:rPr>
            </w:pPr>
            <w:r w:rsidRPr="002F17B5">
              <w:rPr>
                <w:rFonts w:eastAsia="Times New Roman" w:cs="Arial"/>
                <w:b/>
                <w:bCs/>
                <w:sz w:val="22"/>
                <w:szCs w:val="22"/>
                <w:lang w:eastAsia="en-GB"/>
              </w:rPr>
              <w:t>(</w:t>
            </w:r>
            <w:r w:rsidR="002359B6" w:rsidRPr="002F17B5">
              <w:rPr>
                <w:rFonts w:eastAsia="Times New Roman" w:cs="Arial"/>
                <w:b/>
                <w:bCs/>
                <w:sz w:val="22"/>
                <w:szCs w:val="22"/>
                <w:lang w:eastAsia="en-GB"/>
              </w:rPr>
              <w:t>905.1</w:t>
            </w:r>
            <w:r w:rsidRPr="002F17B5">
              <w:rPr>
                <w:rFonts w:eastAsia="Times New Roman" w:cs="Arial"/>
                <w:b/>
                <w:bCs/>
                <w:sz w:val="22"/>
                <w:szCs w:val="22"/>
                <w:lang w:eastAsia="en-GB"/>
              </w:rPr>
              <w:t>)</w:t>
            </w:r>
          </w:p>
        </w:tc>
      </w:tr>
    </w:tbl>
    <w:p w:rsidR="002359B6" w:rsidRPr="002F17B5" w:rsidRDefault="002359B6" w:rsidP="002359B6">
      <w:pPr>
        <w:spacing w:after="320"/>
      </w:pPr>
    </w:p>
    <w:p w:rsidR="002359B6" w:rsidRDefault="002359B6" w:rsidP="002359B6">
      <w:pPr>
        <w:spacing w:after="240"/>
      </w:pPr>
      <w:r w:rsidRPr="002F17B5">
        <w:t>The liabilities show the underlying commitments that the council has in the long run to pay retirement benefits. The total liability of £905.1 million in 2013/14 has a substantial impact on the net worth of the council as recorded in the Balance Sheet, resulting in net assets of £1,103.2 million.</w:t>
      </w:r>
    </w:p>
    <w:p w:rsidR="00DB314D" w:rsidRPr="002F17B5" w:rsidRDefault="00DB314D" w:rsidP="002359B6">
      <w:pPr>
        <w:spacing w:after="240"/>
      </w:pPr>
    </w:p>
    <w:p w:rsidR="002359B6" w:rsidRDefault="002359B6" w:rsidP="002359B6">
      <w:pPr>
        <w:spacing w:after="240"/>
      </w:pPr>
      <w:r w:rsidRPr="002F17B5">
        <w:t>However, statutory arrangements for funding the deficit mean that the financial position of the council remains healthy.</w:t>
      </w:r>
    </w:p>
    <w:p w:rsidR="00DB314D" w:rsidRPr="002F17B5" w:rsidRDefault="00DB314D" w:rsidP="002359B6">
      <w:pPr>
        <w:spacing w:after="240"/>
      </w:pPr>
    </w:p>
    <w:p w:rsidR="002359B6" w:rsidRDefault="002359B6" w:rsidP="002359B6">
      <w:pPr>
        <w:spacing w:after="240"/>
      </w:pPr>
      <w:r w:rsidRPr="002F17B5">
        <w:t>The deficit on the local government scheme will be made good by increased contributions over the remaining working life of employees, assessed by the scheme actuary.</w:t>
      </w:r>
    </w:p>
    <w:p w:rsidR="00DB314D" w:rsidRPr="002F17B5" w:rsidRDefault="00DB314D" w:rsidP="002359B6">
      <w:pPr>
        <w:spacing w:after="240"/>
      </w:pPr>
    </w:p>
    <w:p w:rsidR="00DB314D" w:rsidRPr="003F691B" w:rsidRDefault="002359B6" w:rsidP="002359B6">
      <w:pPr>
        <w:spacing w:after="240"/>
      </w:pPr>
      <w:r w:rsidRPr="002F17B5">
        <w:t>The total contributions expected to be made to the Lancashire County Pension Fund by the council in the year to 31 March 2015 is £52.1 million. Expected contributions for the Teachers and Health Workers in the year to 31 March 2015 are £40.4million.and £0.4m respectively.</w:t>
      </w:r>
    </w:p>
    <w:p w:rsidR="002359B6" w:rsidRDefault="002359B6" w:rsidP="008950FD">
      <w:pPr>
        <w:rPr>
          <w:b/>
        </w:rPr>
      </w:pPr>
      <w:r w:rsidRPr="002F17B5">
        <w:rPr>
          <w:b/>
        </w:rPr>
        <w:lastRenderedPageBreak/>
        <w:t>Basis for estimating assets and liabilities</w:t>
      </w:r>
    </w:p>
    <w:p w:rsidR="00803EAA" w:rsidRPr="002F17B5" w:rsidRDefault="00803EAA" w:rsidP="008950FD">
      <w:pPr>
        <w:rPr>
          <w:b/>
        </w:rPr>
      </w:pPr>
    </w:p>
    <w:p w:rsidR="002359B6" w:rsidRPr="002F17B5" w:rsidRDefault="002359B6" w:rsidP="002359B6">
      <w:pPr>
        <w:spacing w:after="240"/>
      </w:pPr>
      <w:r w:rsidRPr="002F17B5">
        <w:t>Liabilities have been assessed on an actuarial basis using the projected unit method, an estimat</w:t>
      </w:r>
      <w:r w:rsidR="008950FD" w:rsidRPr="002F17B5">
        <w:t>e of the</w:t>
      </w:r>
      <w:r w:rsidRPr="002F17B5">
        <w:t xml:space="preserve"> pensions that will be payable in the future years dependent on assumptions about mortality rates, salary levels, etc. Both the Teachers Pension Scheme and County Council Fund liabilities have been assessed by Mercer Human Resource Consulting Limited, an independent firm of actuaries, estimates for the </w:t>
      </w:r>
      <w:r w:rsidR="008950FD" w:rsidRPr="002F17B5">
        <w:t>County Council F</w:t>
      </w:r>
      <w:r w:rsidRPr="002F17B5">
        <w:t>und being based on the latest full valuation of the scheme as at 31 March 201</w:t>
      </w:r>
      <w:r w:rsidR="003F5454">
        <w:t>4</w:t>
      </w:r>
      <w:r w:rsidRPr="002F17B5">
        <w:t>. The principal assumptions used by the actuary have been</w:t>
      </w:r>
      <w:r w:rsidR="008950FD" w:rsidRPr="002F17B5">
        <w:t xml:space="preserve"> as follows</w:t>
      </w:r>
      <w:r w:rsidRPr="002F17B5">
        <w:t>:</w:t>
      </w:r>
    </w:p>
    <w:tbl>
      <w:tblPr>
        <w:tblW w:w="10358" w:type="dxa"/>
        <w:tblInd w:w="98" w:type="dxa"/>
        <w:tblLook w:val="04A0" w:firstRow="1" w:lastRow="0" w:firstColumn="1" w:lastColumn="0" w:noHBand="0" w:noVBand="1"/>
      </w:tblPr>
      <w:tblGrid>
        <w:gridCol w:w="5964"/>
        <w:gridCol w:w="1984"/>
        <w:gridCol w:w="2410"/>
      </w:tblGrid>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984" w:type="dxa"/>
            <w:shd w:val="clear" w:color="000000" w:fill="FFFFFF"/>
            <w:noWrap/>
            <w:hideMark/>
          </w:tcPr>
          <w:p w:rsidR="002359B6" w:rsidRPr="002F17B5" w:rsidRDefault="002359B6" w:rsidP="000F59A8">
            <w:pPr>
              <w:autoSpaceDE/>
              <w:autoSpaceDN/>
              <w:adjustRightInd/>
              <w:spacing w:before="0" w:after="0"/>
              <w:jc w:val="right"/>
              <w:rPr>
                <w:rFonts w:eastAsia="Times New Roman" w:cs="Arial"/>
                <w:b/>
                <w:bCs/>
                <w:lang w:eastAsia="en-GB"/>
              </w:rPr>
            </w:pPr>
            <w:r w:rsidRPr="002F17B5">
              <w:rPr>
                <w:rFonts w:eastAsia="Times New Roman" w:cs="Arial"/>
                <w:b/>
                <w:bCs/>
                <w:lang w:eastAsia="en-GB"/>
              </w:rPr>
              <w:t>2013/14</w:t>
            </w:r>
          </w:p>
        </w:tc>
        <w:tc>
          <w:tcPr>
            <w:tcW w:w="2410" w:type="dxa"/>
            <w:shd w:val="clear" w:color="000000" w:fill="FFFFFF"/>
            <w:noWrap/>
            <w:hideMark/>
          </w:tcPr>
          <w:p w:rsidR="002359B6" w:rsidRPr="002F17B5" w:rsidRDefault="002359B6" w:rsidP="000F59A8">
            <w:pPr>
              <w:autoSpaceDE/>
              <w:autoSpaceDN/>
              <w:adjustRightInd/>
              <w:spacing w:before="0" w:after="0"/>
              <w:jc w:val="right"/>
              <w:rPr>
                <w:rFonts w:eastAsia="Times New Roman" w:cs="Arial"/>
                <w:b/>
                <w:bCs/>
                <w:lang w:eastAsia="en-GB"/>
              </w:rPr>
            </w:pPr>
            <w:r w:rsidRPr="002F17B5">
              <w:rPr>
                <w:rFonts w:eastAsia="Times New Roman" w:cs="Arial"/>
                <w:b/>
                <w:bCs/>
                <w:lang w:eastAsia="en-GB"/>
              </w:rPr>
              <w:t>2012/13</w:t>
            </w:r>
          </w:p>
        </w:tc>
      </w:tr>
      <w:tr w:rsidR="002359B6" w:rsidRPr="002F17B5" w:rsidTr="00C2701D">
        <w:trPr>
          <w:trHeight w:val="570"/>
        </w:trPr>
        <w:tc>
          <w:tcPr>
            <w:tcW w:w="5964" w:type="dxa"/>
            <w:shd w:val="clear" w:color="000000" w:fill="FFFFFF"/>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bCs/>
                <w:lang w:eastAsia="en-GB"/>
              </w:rPr>
              <w:t>Long-term expected rate of return on assets in the scheme:</w:t>
            </w:r>
          </w:p>
        </w:tc>
        <w:tc>
          <w:tcPr>
            <w:tcW w:w="1984"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2410" w:type="dxa"/>
            <w:shd w:val="clear" w:color="000000" w:fill="FFFFFF"/>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Equity investments</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7.00%</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7.00%</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ind w:firstLineChars="200" w:firstLine="480"/>
              <w:jc w:val="left"/>
              <w:rPr>
                <w:rFonts w:eastAsia="Times New Roman" w:cs="Arial"/>
                <w:lang w:eastAsia="en-GB"/>
              </w:rPr>
            </w:pPr>
            <w:r w:rsidRPr="002F17B5">
              <w:rPr>
                <w:rFonts w:eastAsia="Times New Roman" w:cs="Arial"/>
                <w:lang w:eastAsia="en-GB"/>
              </w:rPr>
              <w:t>Bonds</w:t>
            </w:r>
          </w:p>
        </w:tc>
        <w:tc>
          <w:tcPr>
            <w:tcW w:w="1984" w:type="dxa"/>
            <w:shd w:val="clear" w:color="000000" w:fill="FFFFFF"/>
            <w:noWrap/>
            <w:hideMark/>
          </w:tcPr>
          <w:p w:rsidR="001D73DF" w:rsidRPr="002F17B5" w:rsidRDefault="001052D2">
            <w:pPr>
              <w:autoSpaceDE/>
              <w:autoSpaceDN/>
              <w:adjustRightInd/>
              <w:spacing w:before="0" w:after="0"/>
              <w:jc w:val="right"/>
              <w:rPr>
                <w:rFonts w:eastAsia="Times New Roman" w:cs="Arial"/>
                <w:lang w:eastAsia="en-GB"/>
              </w:rPr>
            </w:pPr>
            <w:r w:rsidRPr="002F17B5">
              <w:rPr>
                <w:rFonts w:eastAsia="Times New Roman" w:cs="Arial"/>
                <w:lang w:eastAsia="en-GB"/>
              </w:rPr>
              <w:t>4.08</w:t>
            </w:r>
            <w:r w:rsidR="002359B6" w:rsidRPr="002F17B5">
              <w:rPr>
                <w:rFonts w:eastAsia="Times New Roman" w:cs="Arial"/>
                <w:lang w:eastAsia="en-GB"/>
              </w:rPr>
              <w:t>%</w:t>
            </w:r>
          </w:p>
        </w:tc>
        <w:tc>
          <w:tcPr>
            <w:tcW w:w="2410" w:type="dxa"/>
            <w:shd w:val="clear" w:color="000000" w:fill="FFFFFF"/>
            <w:noWrap/>
            <w:hideMark/>
          </w:tcPr>
          <w:p w:rsidR="001D73DF" w:rsidRPr="002F17B5" w:rsidRDefault="00982232">
            <w:pPr>
              <w:autoSpaceDE/>
              <w:autoSpaceDN/>
              <w:adjustRightInd/>
              <w:spacing w:before="0" w:after="0"/>
              <w:jc w:val="right"/>
              <w:rPr>
                <w:rFonts w:eastAsia="Times New Roman" w:cs="Arial"/>
                <w:lang w:eastAsia="en-GB"/>
              </w:rPr>
            </w:pPr>
            <w:r w:rsidRPr="002F17B5">
              <w:rPr>
                <w:rFonts w:eastAsia="Times New Roman" w:cs="Arial"/>
                <w:lang w:eastAsia="en-GB"/>
              </w:rPr>
              <w:t>3.4</w:t>
            </w:r>
            <w:r w:rsidR="007973EF">
              <w:rPr>
                <w:rFonts w:eastAsia="Times New Roman" w:cs="Arial"/>
                <w:lang w:eastAsia="en-GB"/>
              </w:rPr>
              <w:t>8</w:t>
            </w:r>
            <w:r w:rsidR="002359B6" w:rsidRPr="002F17B5">
              <w:rPr>
                <w:rFonts w:eastAsia="Times New Roman" w:cs="Arial"/>
                <w:lang w:eastAsia="en-GB"/>
              </w:rPr>
              <w:t>%</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ind w:firstLineChars="200" w:firstLine="480"/>
              <w:jc w:val="left"/>
              <w:rPr>
                <w:rFonts w:eastAsia="Times New Roman" w:cs="Arial"/>
                <w:lang w:eastAsia="en-GB"/>
              </w:rPr>
            </w:pPr>
            <w:r w:rsidRPr="002F17B5">
              <w:rPr>
                <w:rFonts w:eastAsia="Times New Roman" w:cs="Arial"/>
                <w:lang w:eastAsia="en-GB"/>
              </w:rPr>
              <w:t>Other</w:t>
            </w:r>
          </w:p>
        </w:tc>
        <w:tc>
          <w:tcPr>
            <w:tcW w:w="1984" w:type="dxa"/>
            <w:shd w:val="clear" w:color="000000" w:fill="FFFFFF"/>
            <w:noWrap/>
            <w:hideMark/>
          </w:tcPr>
          <w:p w:rsidR="002359B6" w:rsidRPr="002F17B5" w:rsidRDefault="000F59A8" w:rsidP="000F59A8">
            <w:pPr>
              <w:autoSpaceDE/>
              <w:autoSpaceDN/>
              <w:adjustRightInd/>
              <w:spacing w:before="0" w:after="0"/>
              <w:jc w:val="right"/>
              <w:rPr>
                <w:rFonts w:eastAsia="Times New Roman" w:cs="Arial"/>
                <w:lang w:eastAsia="en-GB"/>
              </w:rPr>
            </w:pPr>
            <w:r w:rsidRPr="002F17B5">
              <w:rPr>
                <w:rFonts w:eastAsia="Times New Roman" w:cs="Arial"/>
                <w:lang w:eastAsia="en-GB"/>
              </w:rPr>
              <w:t xml:space="preserve"> </w:t>
            </w:r>
            <w:bookmarkStart w:id="4" w:name="OLE_LINK3"/>
            <w:r w:rsidRPr="002F17B5">
              <w:rPr>
                <w:rFonts w:eastAsia="Times New Roman" w:cs="Arial"/>
                <w:lang w:eastAsia="en-GB"/>
              </w:rPr>
              <w:t>Dependent on t</w:t>
            </w:r>
            <w:r w:rsidR="003025D4" w:rsidRPr="002F17B5">
              <w:rPr>
                <w:rFonts w:eastAsia="Times New Roman" w:cs="Arial"/>
                <w:lang w:eastAsia="en-GB"/>
              </w:rPr>
              <w:t xml:space="preserve">ype of </w:t>
            </w:r>
            <w:r w:rsidRPr="002F17B5">
              <w:rPr>
                <w:rFonts w:eastAsia="Times New Roman" w:cs="Arial"/>
                <w:lang w:eastAsia="en-GB"/>
              </w:rPr>
              <w:t>a</w:t>
            </w:r>
            <w:r w:rsidR="003025D4" w:rsidRPr="002F17B5">
              <w:rPr>
                <w:rFonts w:eastAsia="Times New Roman" w:cs="Arial"/>
                <w:lang w:eastAsia="en-GB"/>
              </w:rPr>
              <w:t>sset</w:t>
            </w:r>
            <w:bookmarkEnd w:id="4"/>
          </w:p>
        </w:tc>
        <w:tc>
          <w:tcPr>
            <w:tcW w:w="2410" w:type="dxa"/>
            <w:shd w:val="clear" w:color="000000" w:fill="FFFFFF"/>
            <w:noWrap/>
            <w:hideMark/>
          </w:tcPr>
          <w:p w:rsidR="002359B6" w:rsidRPr="002F17B5" w:rsidRDefault="007973EF" w:rsidP="000F59A8">
            <w:pPr>
              <w:autoSpaceDE/>
              <w:autoSpaceDN/>
              <w:adjustRightInd/>
              <w:spacing w:before="0" w:after="0"/>
              <w:jc w:val="right"/>
              <w:rPr>
                <w:rFonts w:eastAsia="Times New Roman" w:cs="Arial"/>
                <w:lang w:eastAsia="en-GB"/>
              </w:rPr>
            </w:pPr>
            <w:r>
              <w:rPr>
                <w:rFonts w:eastAsia="Times New Roman" w:cs="Arial"/>
                <w:lang w:eastAsia="en-GB"/>
              </w:rPr>
              <w:t>4.45%</w:t>
            </w:r>
          </w:p>
        </w:tc>
      </w:tr>
      <w:tr w:rsidR="002359B6" w:rsidRPr="002F17B5" w:rsidTr="00C2701D">
        <w:trPr>
          <w:trHeight w:val="224"/>
        </w:trPr>
        <w:tc>
          <w:tcPr>
            <w:tcW w:w="5964" w:type="dxa"/>
            <w:shd w:val="clear" w:color="000000" w:fill="FFFFFF"/>
            <w:noWrap/>
            <w:hideMark/>
          </w:tcPr>
          <w:p w:rsidR="002359B6" w:rsidRPr="008778FF" w:rsidRDefault="002359B6" w:rsidP="002359B6">
            <w:pPr>
              <w:autoSpaceDE/>
              <w:autoSpaceDN/>
              <w:adjustRightInd/>
              <w:spacing w:before="0" w:after="0"/>
              <w:jc w:val="left"/>
              <w:rPr>
                <w:rFonts w:eastAsia="Times New Roman" w:cs="Arial"/>
                <w:color w:val="auto"/>
                <w:sz w:val="22"/>
                <w:lang w:eastAsia="en-GB"/>
              </w:rPr>
            </w:pPr>
            <w:r w:rsidRPr="002F17B5">
              <w:rPr>
                <w:rFonts w:eastAsia="Times New Roman" w:cs="Arial"/>
                <w:color w:val="auto"/>
                <w:lang w:eastAsia="en-GB"/>
              </w:rPr>
              <w:t> </w:t>
            </w:r>
          </w:p>
        </w:tc>
        <w:tc>
          <w:tcPr>
            <w:tcW w:w="198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2410"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Mortality assumptions:</w:t>
            </w:r>
          </w:p>
        </w:tc>
        <w:tc>
          <w:tcPr>
            <w:tcW w:w="198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2410"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Longevity at 65 current pensioners:</w:t>
            </w:r>
          </w:p>
        </w:tc>
        <w:tc>
          <w:tcPr>
            <w:tcW w:w="198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2410"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ind w:firstLineChars="200" w:firstLine="480"/>
              <w:jc w:val="left"/>
              <w:rPr>
                <w:rFonts w:eastAsia="Times New Roman" w:cs="Arial"/>
                <w:lang w:eastAsia="en-GB"/>
              </w:rPr>
            </w:pPr>
            <w:r w:rsidRPr="002F17B5">
              <w:rPr>
                <w:rFonts w:eastAsia="Times New Roman" w:cs="Arial"/>
                <w:lang w:eastAsia="en-GB"/>
              </w:rPr>
              <w:t>Men</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22.8 years</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22.1 years</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ind w:firstLineChars="200" w:firstLine="480"/>
              <w:jc w:val="left"/>
              <w:rPr>
                <w:rFonts w:eastAsia="Times New Roman" w:cs="Arial"/>
                <w:lang w:eastAsia="en-GB"/>
              </w:rPr>
            </w:pPr>
            <w:r w:rsidRPr="002F17B5">
              <w:rPr>
                <w:rFonts w:eastAsia="Times New Roman" w:cs="Arial"/>
                <w:lang w:eastAsia="en-GB"/>
              </w:rPr>
              <w:t>Women</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w:t>
            </w:r>
            <w:r w:rsidR="008C7B35">
              <w:rPr>
                <w:rFonts w:eastAsia="Times New Roman" w:cs="Arial"/>
                <w:lang w:eastAsia="en-GB"/>
              </w:rPr>
              <w:t xml:space="preserve">5.3 </w:t>
            </w:r>
            <w:r w:rsidRPr="002F17B5">
              <w:rPr>
                <w:rFonts w:eastAsia="Times New Roman" w:cs="Arial"/>
                <w:lang w:eastAsia="en-GB"/>
              </w:rPr>
              <w:t>years</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24.8 years</w:t>
            </w:r>
          </w:p>
        </w:tc>
      </w:tr>
      <w:tr w:rsidR="002359B6" w:rsidRPr="002F17B5" w:rsidTr="00C2701D">
        <w:trPr>
          <w:trHeight w:val="175"/>
        </w:trPr>
        <w:tc>
          <w:tcPr>
            <w:tcW w:w="596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Longevity at 65 for future pensioners:</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ind w:firstLineChars="200" w:firstLine="480"/>
              <w:jc w:val="left"/>
              <w:rPr>
                <w:rFonts w:eastAsia="Times New Roman" w:cs="Arial"/>
                <w:lang w:eastAsia="en-GB"/>
              </w:rPr>
            </w:pPr>
            <w:r w:rsidRPr="002F17B5">
              <w:rPr>
                <w:rFonts w:eastAsia="Times New Roman" w:cs="Arial"/>
                <w:lang w:eastAsia="en-GB"/>
              </w:rPr>
              <w:t>Men</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25.0 years</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23.9 years</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ind w:firstLineChars="200" w:firstLine="480"/>
              <w:jc w:val="left"/>
              <w:rPr>
                <w:rFonts w:eastAsia="Times New Roman" w:cs="Arial"/>
                <w:lang w:eastAsia="en-GB"/>
              </w:rPr>
            </w:pPr>
            <w:r w:rsidRPr="002F17B5">
              <w:rPr>
                <w:rFonts w:eastAsia="Times New Roman" w:cs="Arial"/>
                <w:lang w:eastAsia="en-GB"/>
              </w:rPr>
              <w:t>Women</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27.7 years</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26.7 years</w:t>
            </w:r>
          </w:p>
        </w:tc>
      </w:tr>
      <w:tr w:rsidR="002359B6" w:rsidRPr="002F17B5" w:rsidTr="00C2701D">
        <w:trPr>
          <w:trHeight w:val="135"/>
        </w:trPr>
        <w:tc>
          <w:tcPr>
            <w:tcW w:w="596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color w:val="auto"/>
                <w:lang w:eastAsia="en-GB"/>
              </w:rPr>
            </w:pPr>
            <w:r w:rsidRPr="002F17B5">
              <w:rPr>
                <w:rFonts w:eastAsia="Times New Roman" w:cs="Arial"/>
                <w:color w:val="auto"/>
                <w:lang w:eastAsia="en-GB"/>
              </w:rPr>
              <w:t> </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color w:val="auto"/>
                <w:lang w:eastAsia="en-GB"/>
              </w:rPr>
            </w:pPr>
            <w:r w:rsidRPr="002F17B5">
              <w:rPr>
                <w:rFonts w:eastAsia="Times New Roman" w:cs="Arial"/>
                <w:color w:val="auto"/>
                <w:lang w:eastAsia="en-GB"/>
              </w:rPr>
              <w:t> </w:t>
            </w:r>
          </w:p>
        </w:tc>
      </w:tr>
      <w:tr w:rsidR="002359B6" w:rsidRPr="002F17B5" w:rsidTr="00C2701D">
        <w:trPr>
          <w:trHeight w:val="300"/>
        </w:trPr>
        <w:tc>
          <w:tcPr>
            <w:tcW w:w="5964" w:type="dxa"/>
            <w:shd w:val="clear" w:color="000000" w:fill="FFFFFF"/>
            <w:noWrap/>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Rate of inflation (CPI)</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2.40%</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2.40%</w:t>
            </w:r>
          </w:p>
        </w:tc>
      </w:tr>
      <w:tr w:rsidR="002359B6" w:rsidRPr="002F17B5" w:rsidTr="00C2701D">
        <w:trPr>
          <w:trHeight w:val="300"/>
        </w:trPr>
        <w:tc>
          <w:tcPr>
            <w:tcW w:w="5964" w:type="dxa"/>
            <w:shd w:val="clear" w:color="000000" w:fill="FFFFFF"/>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Rate of increase in salaries</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3.90%</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4.40%</w:t>
            </w:r>
          </w:p>
        </w:tc>
      </w:tr>
      <w:tr w:rsidR="002359B6" w:rsidRPr="002F17B5" w:rsidTr="00C2701D">
        <w:trPr>
          <w:trHeight w:val="300"/>
        </w:trPr>
        <w:tc>
          <w:tcPr>
            <w:tcW w:w="5964" w:type="dxa"/>
            <w:shd w:val="clear" w:color="000000" w:fill="FFFFFF"/>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Rate of increase in pensions</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2.40%</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2.40%</w:t>
            </w:r>
          </w:p>
        </w:tc>
      </w:tr>
      <w:tr w:rsidR="002359B6" w:rsidRPr="002F17B5" w:rsidTr="00C2701D">
        <w:trPr>
          <w:trHeight w:val="300"/>
        </w:trPr>
        <w:tc>
          <w:tcPr>
            <w:tcW w:w="5964" w:type="dxa"/>
            <w:shd w:val="clear" w:color="000000" w:fill="FFFFFF"/>
            <w:hideMark/>
          </w:tcPr>
          <w:p w:rsidR="002359B6" w:rsidRPr="002F17B5" w:rsidRDefault="002359B6" w:rsidP="002359B6">
            <w:pPr>
              <w:autoSpaceDE/>
              <w:autoSpaceDN/>
              <w:adjustRightInd/>
              <w:spacing w:before="0" w:after="0"/>
              <w:jc w:val="left"/>
              <w:rPr>
                <w:rFonts w:eastAsia="Times New Roman" w:cs="Arial"/>
                <w:lang w:eastAsia="en-GB"/>
              </w:rPr>
            </w:pPr>
            <w:r w:rsidRPr="002F17B5">
              <w:rPr>
                <w:rFonts w:eastAsia="Times New Roman" w:cs="Arial"/>
                <w:lang w:eastAsia="en-GB"/>
              </w:rPr>
              <w:t>Rate for discounting scheme liabilities</w:t>
            </w:r>
          </w:p>
        </w:tc>
        <w:tc>
          <w:tcPr>
            <w:tcW w:w="1984"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4.40%</w:t>
            </w:r>
          </w:p>
        </w:tc>
        <w:tc>
          <w:tcPr>
            <w:tcW w:w="2410" w:type="dxa"/>
            <w:shd w:val="clear" w:color="000000" w:fill="FFFFFF"/>
            <w:noWrap/>
            <w:hideMark/>
          </w:tcPr>
          <w:p w:rsidR="001D73DF" w:rsidRPr="002F17B5" w:rsidRDefault="002359B6">
            <w:pPr>
              <w:autoSpaceDE/>
              <w:autoSpaceDN/>
              <w:adjustRightInd/>
              <w:spacing w:before="0" w:after="0"/>
              <w:jc w:val="right"/>
              <w:rPr>
                <w:rFonts w:eastAsia="Times New Roman" w:cs="Arial"/>
                <w:lang w:eastAsia="en-GB"/>
              </w:rPr>
            </w:pPr>
            <w:r w:rsidRPr="002F17B5">
              <w:rPr>
                <w:rFonts w:eastAsia="Times New Roman" w:cs="Arial"/>
                <w:lang w:eastAsia="en-GB"/>
              </w:rPr>
              <w:t>4.20%</w:t>
            </w:r>
          </w:p>
          <w:p w:rsidR="001D73DF" w:rsidRPr="002F17B5" w:rsidRDefault="001D73DF">
            <w:pPr>
              <w:autoSpaceDE/>
              <w:autoSpaceDN/>
              <w:adjustRightInd/>
              <w:spacing w:before="0" w:after="0"/>
              <w:jc w:val="right"/>
              <w:rPr>
                <w:rFonts w:eastAsia="Times New Roman" w:cs="Arial"/>
                <w:lang w:eastAsia="en-GB"/>
              </w:rPr>
            </w:pPr>
          </w:p>
        </w:tc>
      </w:tr>
    </w:tbl>
    <w:p w:rsidR="002359B6" w:rsidRPr="002F17B5" w:rsidRDefault="002359B6" w:rsidP="002359B6">
      <w:pPr>
        <w:spacing w:after="240"/>
      </w:pPr>
    </w:p>
    <w:p w:rsidR="002359B6" w:rsidRPr="002F17B5" w:rsidRDefault="002359B6" w:rsidP="002359B6">
      <w:pPr>
        <w:spacing w:after="240"/>
      </w:pPr>
      <w:r w:rsidRPr="002F17B5">
        <w:t>The rate of return is not applicable to the Teachers Pension Scheme since it has no assets to cover its liabilities. The Lancashire County Pension Fund's assets consist of the following categories:</w:t>
      </w:r>
    </w:p>
    <w:tbl>
      <w:tblPr>
        <w:tblW w:w="9060" w:type="dxa"/>
        <w:tblLayout w:type="fixed"/>
        <w:tblLook w:val="04A0" w:firstRow="1" w:lastRow="0" w:firstColumn="1" w:lastColumn="0" w:noHBand="0" w:noVBand="1"/>
      </w:tblPr>
      <w:tblGrid>
        <w:gridCol w:w="4717"/>
        <w:gridCol w:w="2126"/>
        <w:gridCol w:w="2217"/>
      </w:tblGrid>
      <w:tr w:rsidR="0086463B" w:rsidRPr="002F17B5" w:rsidTr="00EC724B">
        <w:trPr>
          <w:trHeight w:val="567"/>
        </w:trPr>
        <w:tc>
          <w:tcPr>
            <w:tcW w:w="4717" w:type="dxa"/>
            <w:tcBorders>
              <w:top w:val="nil"/>
              <w:left w:val="nil"/>
              <w:bottom w:val="nil"/>
              <w:right w:val="nil"/>
            </w:tcBorders>
            <w:shd w:val="clear" w:color="auto" w:fill="auto"/>
            <w:noWrap/>
            <w:vAlign w:val="bottom"/>
            <w:hideMark/>
          </w:tcPr>
          <w:p w:rsidR="0086463B" w:rsidRPr="002F17B5" w:rsidRDefault="0086463B" w:rsidP="008778FF">
            <w:pPr>
              <w:spacing w:before="100" w:beforeAutospacing="1" w:after="40"/>
            </w:pPr>
          </w:p>
        </w:tc>
        <w:tc>
          <w:tcPr>
            <w:tcW w:w="2126" w:type="dxa"/>
            <w:tcBorders>
              <w:top w:val="nil"/>
              <w:left w:val="nil"/>
              <w:bottom w:val="nil"/>
              <w:right w:val="nil"/>
            </w:tcBorders>
            <w:shd w:val="clear" w:color="auto" w:fill="auto"/>
            <w:noWrap/>
            <w:hideMark/>
          </w:tcPr>
          <w:p w:rsidR="0086463B" w:rsidRPr="002F17B5" w:rsidRDefault="0086463B" w:rsidP="008778FF">
            <w:pPr>
              <w:spacing w:before="100" w:beforeAutospacing="1" w:after="40"/>
              <w:jc w:val="right"/>
              <w:rPr>
                <w:b/>
              </w:rPr>
            </w:pPr>
            <w:r w:rsidRPr="002F17B5">
              <w:rPr>
                <w:b/>
              </w:rPr>
              <w:t>31/03/2014</w:t>
            </w:r>
          </w:p>
        </w:tc>
        <w:tc>
          <w:tcPr>
            <w:tcW w:w="2217" w:type="dxa"/>
            <w:tcBorders>
              <w:top w:val="nil"/>
              <w:left w:val="nil"/>
              <w:bottom w:val="nil"/>
              <w:right w:val="nil"/>
            </w:tcBorders>
            <w:shd w:val="clear" w:color="auto" w:fill="auto"/>
            <w:noWrap/>
            <w:hideMark/>
          </w:tcPr>
          <w:p w:rsidR="0086463B" w:rsidRPr="002F17B5" w:rsidRDefault="0086463B" w:rsidP="008778FF">
            <w:pPr>
              <w:spacing w:before="100" w:beforeAutospacing="1" w:after="40"/>
              <w:jc w:val="right"/>
              <w:rPr>
                <w:b/>
              </w:rPr>
            </w:pPr>
            <w:r w:rsidRPr="002F17B5">
              <w:rPr>
                <w:b/>
              </w:rPr>
              <w:t xml:space="preserve">31/03/2013 </w:t>
            </w:r>
          </w:p>
        </w:tc>
      </w:tr>
      <w:tr w:rsidR="00F30C22" w:rsidRPr="002F17B5" w:rsidTr="000F59A8">
        <w:trPr>
          <w:trHeight w:val="308"/>
        </w:trPr>
        <w:tc>
          <w:tcPr>
            <w:tcW w:w="4717" w:type="dxa"/>
            <w:tcBorders>
              <w:top w:val="nil"/>
              <w:left w:val="nil"/>
              <w:bottom w:val="nil"/>
              <w:right w:val="nil"/>
            </w:tcBorders>
            <w:shd w:val="clear" w:color="auto" w:fill="auto"/>
            <w:noWrap/>
            <w:vAlign w:val="bottom"/>
            <w:hideMark/>
          </w:tcPr>
          <w:p w:rsidR="00F30C22" w:rsidRPr="002F17B5" w:rsidRDefault="00F30C22" w:rsidP="008778FF">
            <w:pPr>
              <w:spacing w:before="100" w:beforeAutospacing="1" w:after="40"/>
            </w:pPr>
          </w:p>
        </w:tc>
        <w:tc>
          <w:tcPr>
            <w:tcW w:w="2126" w:type="dxa"/>
            <w:tcBorders>
              <w:top w:val="nil"/>
              <w:left w:val="nil"/>
              <w:bottom w:val="single" w:sz="4" w:space="0" w:color="auto"/>
              <w:right w:val="nil"/>
            </w:tcBorders>
            <w:shd w:val="clear" w:color="auto" w:fill="auto"/>
            <w:vAlign w:val="bottom"/>
            <w:hideMark/>
          </w:tcPr>
          <w:p w:rsidR="00F30C22" w:rsidRPr="002F17B5" w:rsidRDefault="00F30C22" w:rsidP="008778FF">
            <w:pPr>
              <w:spacing w:before="100" w:beforeAutospacing="1" w:after="40"/>
              <w:jc w:val="right"/>
              <w:rPr>
                <w:b/>
                <w:bCs/>
              </w:rPr>
            </w:pPr>
            <w:r w:rsidRPr="002F17B5">
              <w:rPr>
                <w:b/>
                <w:bCs/>
              </w:rPr>
              <w:t>%</w:t>
            </w:r>
          </w:p>
        </w:tc>
        <w:tc>
          <w:tcPr>
            <w:tcW w:w="2217" w:type="dxa"/>
            <w:tcBorders>
              <w:top w:val="nil"/>
              <w:left w:val="nil"/>
              <w:bottom w:val="single" w:sz="4" w:space="0" w:color="auto"/>
              <w:right w:val="nil"/>
            </w:tcBorders>
            <w:shd w:val="clear" w:color="auto" w:fill="auto"/>
            <w:vAlign w:val="bottom"/>
            <w:hideMark/>
          </w:tcPr>
          <w:p w:rsidR="00F30C22" w:rsidRPr="002F17B5" w:rsidRDefault="00F30C22" w:rsidP="008778FF">
            <w:pPr>
              <w:spacing w:before="100" w:beforeAutospacing="1" w:after="40"/>
              <w:jc w:val="right"/>
              <w:rPr>
                <w:b/>
                <w:bCs/>
              </w:rPr>
            </w:pPr>
            <w:r w:rsidRPr="002F17B5">
              <w:rPr>
                <w:b/>
                <w:bCs/>
              </w:rPr>
              <w:t>%</w:t>
            </w:r>
          </w:p>
        </w:tc>
      </w:tr>
      <w:tr w:rsidR="00F30C22" w:rsidRPr="002F17B5" w:rsidTr="000F59A8">
        <w:trPr>
          <w:trHeight w:val="293"/>
        </w:trPr>
        <w:tc>
          <w:tcPr>
            <w:tcW w:w="4717" w:type="dxa"/>
            <w:tcBorders>
              <w:top w:val="nil"/>
              <w:left w:val="nil"/>
              <w:bottom w:val="nil"/>
              <w:right w:val="nil"/>
            </w:tcBorders>
            <w:shd w:val="clear" w:color="auto" w:fill="auto"/>
            <w:noWrap/>
            <w:vAlign w:val="bottom"/>
            <w:hideMark/>
          </w:tcPr>
          <w:p w:rsidR="00F30C22" w:rsidRPr="002F17B5" w:rsidRDefault="00F30C22" w:rsidP="008778FF">
            <w:pPr>
              <w:spacing w:before="100" w:beforeAutospacing="1" w:after="40"/>
            </w:pPr>
            <w:r w:rsidRPr="002F17B5">
              <w:t>Equity investments</w:t>
            </w:r>
          </w:p>
        </w:tc>
        <w:tc>
          <w:tcPr>
            <w:tcW w:w="2126" w:type="dxa"/>
            <w:tcBorders>
              <w:top w:val="nil"/>
              <w:left w:val="nil"/>
              <w:bottom w:val="nil"/>
              <w:right w:val="nil"/>
            </w:tcBorders>
            <w:shd w:val="clear" w:color="auto" w:fill="auto"/>
            <w:noWrap/>
            <w:vAlign w:val="bottom"/>
            <w:hideMark/>
          </w:tcPr>
          <w:p w:rsidR="00F30C22" w:rsidRPr="002F17B5" w:rsidRDefault="00756442" w:rsidP="008778FF">
            <w:pPr>
              <w:spacing w:before="100" w:beforeAutospacing="1" w:after="40"/>
              <w:jc w:val="right"/>
            </w:pPr>
            <w:r w:rsidRPr="002F17B5">
              <w:t>57.7</w:t>
            </w:r>
          </w:p>
        </w:tc>
        <w:tc>
          <w:tcPr>
            <w:tcW w:w="2217" w:type="dxa"/>
            <w:tcBorders>
              <w:top w:val="nil"/>
              <w:left w:val="nil"/>
              <w:bottom w:val="nil"/>
              <w:right w:val="nil"/>
            </w:tcBorders>
            <w:shd w:val="clear" w:color="auto" w:fill="auto"/>
            <w:noWrap/>
            <w:vAlign w:val="bottom"/>
            <w:hideMark/>
          </w:tcPr>
          <w:p w:rsidR="00F30C22" w:rsidRPr="002F17B5" w:rsidRDefault="00451457" w:rsidP="008778FF">
            <w:pPr>
              <w:spacing w:before="100" w:beforeAutospacing="1" w:after="40"/>
              <w:jc w:val="right"/>
            </w:pPr>
            <w:r>
              <w:t>62.0</w:t>
            </w:r>
          </w:p>
        </w:tc>
      </w:tr>
      <w:tr w:rsidR="00F30C22" w:rsidRPr="002F17B5" w:rsidTr="000F59A8">
        <w:trPr>
          <w:trHeight w:val="293"/>
        </w:trPr>
        <w:tc>
          <w:tcPr>
            <w:tcW w:w="4717" w:type="dxa"/>
            <w:tcBorders>
              <w:top w:val="nil"/>
              <w:left w:val="nil"/>
              <w:bottom w:val="nil"/>
              <w:right w:val="nil"/>
            </w:tcBorders>
            <w:shd w:val="clear" w:color="auto" w:fill="auto"/>
            <w:noWrap/>
            <w:vAlign w:val="bottom"/>
            <w:hideMark/>
          </w:tcPr>
          <w:p w:rsidR="00F30C22" w:rsidRPr="002F17B5" w:rsidRDefault="00F30C22" w:rsidP="008778FF">
            <w:pPr>
              <w:spacing w:before="100" w:beforeAutospacing="1" w:after="40"/>
            </w:pPr>
            <w:r w:rsidRPr="002F17B5">
              <w:t>Bonds</w:t>
            </w:r>
          </w:p>
        </w:tc>
        <w:tc>
          <w:tcPr>
            <w:tcW w:w="2126" w:type="dxa"/>
            <w:tcBorders>
              <w:top w:val="nil"/>
              <w:left w:val="nil"/>
              <w:bottom w:val="nil"/>
              <w:right w:val="nil"/>
            </w:tcBorders>
            <w:shd w:val="clear" w:color="auto" w:fill="auto"/>
            <w:noWrap/>
            <w:vAlign w:val="bottom"/>
            <w:hideMark/>
          </w:tcPr>
          <w:p w:rsidR="00F30C22" w:rsidRPr="002F17B5" w:rsidRDefault="00756442" w:rsidP="008778FF">
            <w:pPr>
              <w:spacing w:before="100" w:beforeAutospacing="1" w:after="40"/>
              <w:jc w:val="right"/>
            </w:pPr>
            <w:r w:rsidRPr="002F17B5">
              <w:t>12.3</w:t>
            </w:r>
          </w:p>
        </w:tc>
        <w:tc>
          <w:tcPr>
            <w:tcW w:w="2217" w:type="dxa"/>
            <w:tcBorders>
              <w:top w:val="nil"/>
              <w:left w:val="nil"/>
              <w:bottom w:val="nil"/>
              <w:right w:val="nil"/>
            </w:tcBorders>
            <w:shd w:val="clear" w:color="auto" w:fill="auto"/>
            <w:noWrap/>
            <w:vAlign w:val="bottom"/>
            <w:hideMark/>
          </w:tcPr>
          <w:p w:rsidR="00F30C22" w:rsidRPr="002F17B5" w:rsidRDefault="00756442" w:rsidP="008778FF">
            <w:pPr>
              <w:spacing w:before="100" w:beforeAutospacing="1" w:after="40"/>
              <w:jc w:val="right"/>
            </w:pPr>
            <w:r w:rsidRPr="002F17B5">
              <w:t>2</w:t>
            </w:r>
            <w:r w:rsidR="00451457">
              <w:t>5.1</w:t>
            </w:r>
          </w:p>
        </w:tc>
      </w:tr>
      <w:tr w:rsidR="00F30C22" w:rsidRPr="002F17B5" w:rsidTr="000F59A8">
        <w:trPr>
          <w:trHeight w:val="293"/>
        </w:trPr>
        <w:tc>
          <w:tcPr>
            <w:tcW w:w="4717" w:type="dxa"/>
            <w:tcBorders>
              <w:top w:val="nil"/>
              <w:left w:val="nil"/>
              <w:bottom w:val="nil"/>
              <w:right w:val="nil"/>
            </w:tcBorders>
            <w:shd w:val="clear" w:color="auto" w:fill="auto"/>
            <w:noWrap/>
            <w:vAlign w:val="bottom"/>
            <w:hideMark/>
          </w:tcPr>
          <w:p w:rsidR="00F30C22" w:rsidRPr="002F17B5" w:rsidRDefault="00F30C22" w:rsidP="008778FF">
            <w:pPr>
              <w:spacing w:before="100" w:beforeAutospacing="1" w:after="40"/>
            </w:pPr>
            <w:r w:rsidRPr="002F17B5">
              <w:t>Other assets</w:t>
            </w:r>
          </w:p>
        </w:tc>
        <w:tc>
          <w:tcPr>
            <w:tcW w:w="2126" w:type="dxa"/>
            <w:tcBorders>
              <w:top w:val="nil"/>
              <w:left w:val="nil"/>
              <w:bottom w:val="nil"/>
              <w:right w:val="nil"/>
            </w:tcBorders>
            <w:shd w:val="clear" w:color="auto" w:fill="auto"/>
            <w:noWrap/>
            <w:vAlign w:val="bottom"/>
            <w:hideMark/>
          </w:tcPr>
          <w:p w:rsidR="00F30C22" w:rsidRPr="002F17B5" w:rsidRDefault="00756442" w:rsidP="008778FF">
            <w:pPr>
              <w:spacing w:before="100" w:beforeAutospacing="1" w:after="40"/>
              <w:jc w:val="right"/>
            </w:pPr>
            <w:r w:rsidRPr="002F17B5">
              <w:t>30.0</w:t>
            </w:r>
          </w:p>
        </w:tc>
        <w:tc>
          <w:tcPr>
            <w:tcW w:w="2217" w:type="dxa"/>
            <w:tcBorders>
              <w:top w:val="nil"/>
              <w:left w:val="nil"/>
              <w:bottom w:val="nil"/>
              <w:right w:val="nil"/>
            </w:tcBorders>
            <w:shd w:val="clear" w:color="auto" w:fill="auto"/>
            <w:noWrap/>
            <w:vAlign w:val="bottom"/>
            <w:hideMark/>
          </w:tcPr>
          <w:p w:rsidR="00F30C22" w:rsidRPr="002F17B5" w:rsidRDefault="00451457" w:rsidP="008778FF">
            <w:pPr>
              <w:spacing w:before="100" w:beforeAutospacing="1" w:after="40"/>
              <w:jc w:val="right"/>
            </w:pPr>
            <w:r>
              <w:t>12.9</w:t>
            </w:r>
          </w:p>
        </w:tc>
      </w:tr>
      <w:tr w:rsidR="00F30C22" w:rsidRPr="002F17B5" w:rsidTr="000F59A8">
        <w:trPr>
          <w:trHeight w:val="293"/>
        </w:trPr>
        <w:tc>
          <w:tcPr>
            <w:tcW w:w="4717" w:type="dxa"/>
            <w:tcBorders>
              <w:top w:val="nil"/>
              <w:left w:val="nil"/>
              <w:bottom w:val="nil"/>
              <w:right w:val="nil"/>
            </w:tcBorders>
            <w:shd w:val="clear" w:color="auto" w:fill="auto"/>
            <w:noWrap/>
            <w:vAlign w:val="bottom"/>
            <w:hideMark/>
          </w:tcPr>
          <w:p w:rsidR="00F30C22" w:rsidRPr="002F17B5" w:rsidRDefault="00F30C22" w:rsidP="008778FF">
            <w:pPr>
              <w:spacing w:before="100" w:beforeAutospacing="1" w:after="40"/>
            </w:pPr>
          </w:p>
        </w:tc>
        <w:tc>
          <w:tcPr>
            <w:tcW w:w="2126" w:type="dxa"/>
            <w:tcBorders>
              <w:top w:val="single" w:sz="4" w:space="0" w:color="auto"/>
              <w:left w:val="nil"/>
              <w:bottom w:val="single" w:sz="4" w:space="0" w:color="auto"/>
              <w:right w:val="nil"/>
            </w:tcBorders>
            <w:shd w:val="clear" w:color="auto" w:fill="auto"/>
            <w:noWrap/>
            <w:vAlign w:val="bottom"/>
            <w:hideMark/>
          </w:tcPr>
          <w:p w:rsidR="00F30C22" w:rsidRPr="002F17B5" w:rsidRDefault="00F30C22" w:rsidP="008778FF">
            <w:pPr>
              <w:spacing w:before="100" w:beforeAutospacing="1" w:after="40"/>
              <w:jc w:val="right"/>
            </w:pPr>
            <w:r w:rsidRPr="002F17B5">
              <w:t>100.0</w:t>
            </w:r>
          </w:p>
        </w:tc>
        <w:tc>
          <w:tcPr>
            <w:tcW w:w="2217" w:type="dxa"/>
            <w:tcBorders>
              <w:top w:val="single" w:sz="4" w:space="0" w:color="auto"/>
              <w:left w:val="nil"/>
              <w:bottom w:val="single" w:sz="4" w:space="0" w:color="auto"/>
              <w:right w:val="nil"/>
            </w:tcBorders>
            <w:shd w:val="clear" w:color="auto" w:fill="auto"/>
            <w:noWrap/>
            <w:vAlign w:val="bottom"/>
            <w:hideMark/>
          </w:tcPr>
          <w:p w:rsidR="00F30C22" w:rsidRPr="002F17B5" w:rsidRDefault="00F30C22" w:rsidP="008778FF">
            <w:pPr>
              <w:spacing w:before="100" w:beforeAutospacing="1" w:after="40"/>
              <w:jc w:val="right"/>
            </w:pPr>
            <w:r w:rsidRPr="002F17B5">
              <w:t>100.0</w:t>
            </w:r>
          </w:p>
        </w:tc>
      </w:tr>
    </w:tbl>
    <w:p w:rsidR="002359B6" w:rsidRPr="002F17B5" w:rsidRDefault="002359B6" w:rsidP="002359B6">
      <w:pPr>
        <w:autoSpaceDE/>
        <w:autoSpaceDN/>
        <w:adjustRightInd/>
        <w:spacing w:after="20"/>
        <w:jc w:val="left"/>
        <w:rPr>
          <w:b/>
        </w:rPr>
      </w:pPr>
    </w:p>
    <w:p w:rsidR="000F3545" w:rsidRDefault="000F3545" w:rsidP="002359B6">
      <w:pPr>
        <w:autoSpaceDE/>
        <w:autoSpaceDN/>
        <w:adjustRightInd/>
        <w:spacing w:after="20"/>
        <w:jc w:val="left"/>
        <w:rPr>
          <w:b/>
          <w:sz w:val="28"/>
          <w:szCs w:val="28"/>
          <w:u w:val="single"/>
        </w:rPr>
      </w:pPr>
    </w:p>
    <w:p w:rsidR="002359B6" w:rsidRPr="002F17B5" w:rsidRDefault="002359B6" w:rsidP="002359B6">
      <w:pPr>
        <w:autoSpaceDE/>
        <w:autoSpaceDN/>
        <w:adjustRightInd/>
        <w:spacing w:after="20"/>
        <w:jc w:val="left"/>
        <w:rPr>
          <w:b/>
          <w:sz w:val="28"/>
          <w:szCs w:val="28"/>
          <w:u w:val="single"/>
        </w:rPr>
      </w:pPr>
      <w:r w:rsidRPr="002F17B5">
        <w:rPr>
          <w:b/>
          <w:sz w:val="28"/>
          <w:szCs w:val="28"/>
          <w:u w:val="single"/>
        </w:rPr>
        <w:t>Sensitivity Analysis</w:t>
      </w:r>
    </w:p>
    <w:p w:rsidR="002359B6" w:rsidRDefault="002359B6" w:rsidP="002359B6">
      <w:pPr>
        <w:autoSpaceDE/>
        <w:autoSpaceDN/>
        <w:adjustRightInd/>
        <w:spacing w:after="20"/>
        <w:jc w:val="left"/>
      </w:pPr>
    </w:p>
    <w:p w:rsidR="00803EAA" w:rsidRPr="002F17B5" w:rsidRDefault="00803EAA" w:rsidP="002359B6">
      <w:pPr>
        <w:autoSpaceDE/>
        <w:autoSpaceDN/>
        <w:adjustRightInd/>
        <w:spacing w:after="20"/>
        <w:jc w:val="left"/>
      </w:pPr>
    </w:p>
    <w:p w:rsidR="002359B6" w:rsidRDefault="002359B6" w:rsidP="002359B6">
      <w:pPr>
        <w:rPr>
          <w:szCs w:val="22"/>
        </w:rPr>
      </w:pPr>
      <w:r w:rsidRPr="002F17B5">
        <w:rPr>
          <w:szCs w:val="22"/>
        </w:rPr>
        <w:t xml:space="preserve">The methods used to carry out the sensitivity analyses presented above for the material assumptions are the same as those the authority has used previously. The calculations alter the relevant assumption by the amount specified, whilst assuming that all other variables remain the same. This approach is not necessarily realistic, since some assumptions are related: for example, if the scenario is to show the effect if inflation is higher than expected, it might be reasonable to expect that nominal yields on corporate bonds will increase also. However, it enables the reader to isolate one effect from another. </w:t>
      </w:r>
    </w:p>
    <w:p w:rsidR="00803EAA" w:rsidRPr="002F17B5" w:rsidRDefault="00803EAA" w:rsidP="002359B6">
      <w:pPr>
        <w:rPr>
          <w:szCs w:val="22"/>
        </w:rPr>
      </w:pPr>
    </w:p>
    <w:p w:rsidR="002359B6" w:rsidRPr="002F17B5" w:rsidRDefault="002359B6" w:rsidP="002359B6">
      <w:pPr>
        <w:autoSpaceDE/>
        <w:autoSpaceDN/>
        <w:adjustRightInd/>
        <w:spacing w:after="20"/>
        <w:jc w:val="left"/>
      </w:pPr>
    </w:p>
    <w:tbl>
      <w:tblPr>
        <w:tblW w:w="10211" w:type="dxa"/>
        <w:tblInd w:w="103" w:type="dxa"/>
        <w:tblLook w:val="04A0" w:firstRow="1" w:lastRow="0" w:firstColumn="1" w:lastColumn="0" w:noHBand="0" w:noVBand="1"/>
      </w:tblPr>
      <w:tblGrid>
        <w:gridCol w:w="5380"/>
        <w:gridCol w:w="2705"/>
        <w:gridCol w:w="2126"/>
      </w:tblGrid>
      <w:tr w:rsidR="002359B6" w:rsidRPr="002F17B5" w:rsidTr="00EE5C78">
        <w:trPr>
          <w:trHeight w:val="270"/>
        </w:trPr>
        <w:tc>
          <w:tcPr>
            <w:tcW w:w="5380" w:type="dxa"/>
            <w:shd w:val="clear" w:color="000000" w:fill="FFFFFF"/>
            <w:hideMark/>
          </w:tcPr>
          <w:p w:rsidR="002359B6" w:rsidRPr="002F17B5" w:rsidRDefault="002359B6" w:rsidP="008950FD">
            <w:pPr>
              <w:autoSpaceDE/>
              <w:autoSpaceDN/>
              <w:adjustRightInd/>
              <w:spacing w:before="0"/>
              <w:jc w:val="left"/>
              <w:rPr>
                <w:rFonts w:eastAsia="Times New Roman" w:cs="Arial"/>
                <w:color w:val="auto"/>
                <w:lang w:eastAsia="en-GB"/>
              </w:rPr>
            </w:pPr>
            <w:r w:rsidRPr="002F17B5">
              <w:rPr>
                <w:rFonts w:eastAsia="Times New Roman" w:cs="Arial"/>
                <w:color w:val="auto"/>
                <w:lang w:eastAsia="en-GB"/>
              </w:rPr>
              <w:t> </w:t>
            </w:r>
          </w:p>
        </w:tc>
        <w:tc>
          <w:tcPr>
            <w:tcW w:w="4831" w:type="dxa"/>
            <w:gridSpan w:val="2"/>
            <w:shd w:val="clear" w:color="000000" w:fill="FFFFFF"/>
            <w:hideMark/>
          </w:tcPr>
          <w:p w:rsidR="002359B6" w:rsidRPr="002F17B5" w:rsidRDefault="002359B6" w:rsidP="008950FD">
            <w:pPr>
              <w:autoSpaceDE/>
              <w:autoSpaceDN/>
              <w:adjustRightInd/>
              <w:spacing w:before="0"/>
              <w:jc w:val="center"/>
              <w:rPr>
                <w:rFonts w:eastAsia="Times New Roman" w:cs="Arial"/>
                <w:b/>
                <w:bCs/>
                <w:color w:val="auto"/>
                <w:lang w:eastAsia="en-GB"/>
              </w:rPr>
            </w:pPr>
            <w:r w:rsidRPr="002F17B5">
              <w:rPr>
                <w:rFonts w:eastAsia="Times New Roman" w:cs="Arial"/>
                <w:b/>
                <w:bCs/>
                <w:color w:val="auto"/>
                <w:lang w:eastAsia="en-GB"/>
              </w:rPr>
              <w:t>Impact on the Defined Benefit</w:t>
            </w:r>
            <w:r w:rsidR="00EE5C78" w:rsidRPr="002F17B5">
              <w:rPr>
                <w:rFonts w:eastAsia="Times New Roman" w:cs="Arial"/>
                <w:b/>
                <w:bCs/>
                <w:color w:val="auto"/>
                <w:lang w:eastAsia="en-GB"/>
              </w:rPr>
              <w:t xml:space="preserve"> </w:t>
            </w:r>
            <w:r w:rsidRPr="002F17B5">
              <w:rPr>
                <w:rFonts w:eastAsia="Times New Roman" w:cs="Arial"/>
                <w:b/>
                <w:bCs/>
                <w:color w:val="auto"/>
                <w:lang w:eastAsia="en-GB"/>
              </w:rPr>
              <w:t>Obligation</w:t>
            </w:r>
            <w:r w:rsidR="00EE5C78" w:rsidRPr="002F17B5">
              <w:rPr>
                <w:rFonts w:eastAsia="Times New Roman" w:cs="Arial"/>
                <w:b/>
                <w:bCs/>
                <w:color w:val="auto"/>
                <w:lang w:eastAsia="en-GB"/>
              </w:rPr>
              <w:t xml:space="preserve"> in the Scheme</w:t>
            </w:r>
          </w:p>
          <w:p w:rsidR="00EE5C78" w:rsidRPr="002F17B5" w:rsidRDefault="00EE5C78" w:rsidP="008950FD">
            <w:pPr>
              <w:autoSpaceDE/>
              <w:autoSpaceDN/>
              <w:adjustRightInd/>
              <w:spacing w:before="0"/>
              <w:jc w:val="center"/>
              <w:rPr>
                <w:rFonts w:eastAsia="Times New Roman" w:cs="Arial"/>
                <w:b/>
                <w:bCs/>
                <w:color w:val="auto"/>
                <w:sz w:val="10"/>
                <w:lang w:eastAsia="en-GB"/>
              </w:rPr>
            </w:pPr>
          </w:p>
        </w:tc>
      </w:tr>
      <w:tr w:rsidR="002359B6" w:rsidRPr="002F17B5" w:rsidTr="00EE5C78">
        <w:trPr>
          <w:trHeight w:val="360"/>
        </w:trPr>
        <w:tc>
          <w:tcPr>
            <w:tcW w:w="5380" w:type="dxa"/>
            <w:vMerge w:val="restart"/>
            <w:shd w:val="clear" w:color="000000" w:fill="FFFFFF"/>
            <w:hideMark/>
          </w:tcPr>
          <w:p w:rsidR="002359B6" w:rsidRPr="002F17B5" w:rsidRDefault="002359B6" w:rsidP="008950FD">
            <w:pPr>
              <w:autoSpaceDE/>
              <w:autoSpaceDN/>
              <w:adjustRightInd/>
              <w:spacing w:before="0"/>
              <w:jc w:val="left"/>
              <w:rPr>
                <w:rFonts w:eastAsia="Times New Roman" w:cs="Arial"/>
                <w:color w:val="auto"/>
                <w:lang w:eastAsia="en-GB"/>
              </w:rPr>
            </w:pPr>
            <w:r w:rsidRPr="002F17B5">
              <w:rPr>
                <w:rFonts w:eastAsia="Times New Roman" w:cs="Arial"/>
                <w:color w:val="auto"/>
                <w:lang w:eastAsia="en-GB"/>
              </w:rPr>
              <w:t> </w:t>
            </w:r>
          </w:p>
        </w:tc>
        <w:tc>
          <w:tcPr>
            <w:tcW w:w="2705" w:type="dxa"/>
            <w:shd w:val="clear" w:color="000000" w:fill="FFFFFF"/>
            <w:hideMark/>
          </w:tcPr>
          <w:p w:rsidR="002359B6" w:rsidRPr="002F17B5" w:rsidRDefault="002359B6" w:rsidP="008950FD">
            <w:pPr>
              <w:autoSpaceDE/>
              <w:autoSpaceDN/>
              <w:adjustRightInd/>
              <w:spacing w:before="0"/>
              <w:jc w:val="right"/>
              <w:rPr>
                <w:rFonts w:eastAsia="Times New Roman" w:cs="Arial"/>
                <w:b/>
                <w:bCs/>
                <w:color w:val="auto"/>
                <w:lang w:eastAsia="en-GB"/>
              </w:rPr>
            </w:pPr>
            <w:r w:rsidRPr="002F17B5">
              <w:rPr>
                <w:rFonts w:eastAsia="Times New Roman" w:cs="Arial"/>
                <w:b/>
                <w:bCs/>
                <w:color w:val="auto"/>
                <w:lang w:eastAsia="en-GB"/>
              </w:rPr>
              <w:t>Increase in Assumption</w:t>
            </w:r>
          </w:p>
        </w:tc>
        <w:tc>
          <w:tcPr>
            <w:tcW w:w="2126" w:type="dxa"/>
            <w:shd w:val="clear" w:color="000000" w:fill="FFFFFF"/>
            <w:hideMark/>
          </w:tcPr>
          <w:p w:rsidR="002359B6" w:rsidRPr="002F17B5" w:rsidRDefault="002359B6" w:rsidP="008950FD">
            <w:pPr>
              <w:autoSpaceDE/>
              <w:autoSpaceDN/>
              <w:adjustRightInd/>
              <w:spacing w:before="0"/>
              <w:jc w:val="right"/>
              <w:rPr>
                <w:rFonts w:eastAsia="Times New Roman" w:cs="Arial"/>
                <w:b/>
                <w:bCs/>
                <w:color w:val="auto"/>
                <w:lang w:eastAsia="en-GB"/>
              </w:rPr>
            </w:pPr>
            <w:r w:rsidRPr="002F17B5">
              <w:rPr>
                <w:rFonts w:eastAsia="Times New Roman" w:cs="Arial"/>
                <w:b/>
                <w:bCs/>
                <w:color w:val="auto"/>
                <w:lang w:eastAsia="en-GB"/>
              </w:rPr>
              <w:t>Decrease in Assumption</w:t>
            </w:r>
          </w:p>
        </w:tc>
      </w:tr>
      <w:tr w:rsidR="002359B6" w:rsidRPr="002F17B5" w:rsidTr="00EE5C78">
        <w:trPr>
          <w:trHeight w:val="300"/>
        </w:trPr>
        <w:tc>
          <w:tcPr>
            <w:tcW w:w="5380" w:type="dxa"/>
            <w:vMerge/>
            <w:vAlign w:val="center"/>
            <w:hideMark/>
          </w:tcPr>
          <w:p w:rsidR="002359B6" w:rsidRPr="002F17B5" w:rsidRDefault="002359B6" w:rsidP="008950FD">
            <w:pPr>
              <w:autoSpaceDE/>
              <w:autoSpaceDN/>
              <w:adjustRightInd/>
              <w:spacing w:before="0"/>
              <w:jc w:val="left"/>
              <w:rPr>
                <w:rFonts w:eastAsia="Times New Roman" w:cs="Arial"/>
                <w:color w:val="auto"/>
                <w:lang w:eastAsia="en-GB"/>
              </w:rPr>
            </w:pPr>
          </w:p>
        </w:tc>
        <w:tc>
          <w:tcPr>
            <w:tcW w:w="2705" w:type="dxa"/>
            <w:shd w:val="clear" w:color="000000" w:fill="FFFFFF"/>
            <w:hideMark/>
          </w:tcPr>
          <w:p w:rsidR="002359B6" w:rsidRPr="002F17B5" w:rsidRDefault="002359B6" w:rsidP="008950FD">
            <w:pPr>
              <w:autoSpaceDE/>
              <w:autoSpaceDN/>
              <w:adjustRightInd/>
              <w:spacing w:before="0"/>
              <w:jc w:val="right"/>
              <w:rPr>
                <w:rFonts w:eastAsia="Times New Roman" w:cs="Arial"/>
                <w:b/>
                <w:bCs/>
                <w:color w:val="auto"/>
                <w:lang w:eastAsia="en-GB"/>
              </w:rPr>
            </w:pPr>
            <w:r w:rsidRPr="002F17B5">
              <w:rPr>
                <w:rFonts w:eastAsia="Times New Roman" w:cs="Arial"/>
                <w:b/>
                <w:bCs/>
                <w:color w:val="auto"/>
                <w:lang w:eastAsia="en-GB"/>
              </w:rPr>
              <w:t>£m</w:t>
            </w:r>
          </w:p>
        </w:tc>
        <w:tc>
          <w:tcPr>
            <w:tcW w:w="2126" w:type="dxa"/>
            <w:shd w:val="clear" w:color="000000" w:fill="FFFFFF"/>
            <w:hideMark/>
          </w:tcPr>
          <w:p w:rsidR="002359B6" w:rsidRPr="002F17B5" w:rsidRDefault="002359B6" w:rsidP="008950FD">
            <w:pPr>
              <w:autoSpaceDE/>
              <w:autoSpaceDN/>
              <w:adjustRightInd/>
              <w:spacing w:before="0"/>
              <w:jc w:val="right"/>
              <w:rPr>
                <w:rFonts w:eastAsia="Times New Roman" w:cs="Arial"/>
                <w:b/>
                <w:bCs/>
                <w:color w:val="auto"/>
                <w:lang w:eastAsia="en-GB"/>
              </w:rPr>
            </w:pPr>
            <w:r w:rsidRPr="002F17B5">
              <w:rPr>
                <w:rFonts w:eastAsia="Times New Roman" w:cs="Arial"/>
                <w:b/>
                <w:bCs/>
                <w:color w:val="auto"/>
                <w:lang w:eastAsia="en-GB"/>
              </w:rPr>
              <w:t>£m</w:t>
            </w:r>
          </w:p>
        </w:tc>
      </w:tr>
      <w:tr w:rsidR="002359B6" w:rsidRPr="002F17B5" w:rsidTr="00EE5C78">
        <w:trPr>
          <w:trHeight w:val="330"/>
        </w:trPr>
        <w:tc>
          <w:tcPr>
            <w:tcW w:w="5380" w:type="dxa"/>
            <w:shd w:val="clear" w:color="000000" w:fill="FFFFFF"/>
            <w:hideMark/>
          </w:tcPr>
          <w:p w:rsidR="002359B6" w:rsidRPr="002F17B5" w:rsidRDefault="002359B6" w:rsidP="00803EAA">
            <w:pPr>
              <w:autoSpaceDE/>
              <w:autoSpaceDN/>
              <w:adjustRightInd/>
              <w:spacing w:before="0" w:after="240"/>
              <w:jc w:val="left"/>
              <w:rPr>
                <w:rFonts w:eastAsia="Times New Roman" w:cs="Arial"/>
                <w:color w:val="auto"/>
                <w:lang w:eastAsia="en-GB"/>
              </w:rPr>
            </w:pPr>
            <w:r w:rsidRPr="002F17B5">
              <w:rPr>
                <w:rFonts w:eastAsia="Times New Roman" w:cs="Arial"/>
                <w:color w:val="auto"/>
                <w:lang w:eastAsia="en-GB"/>
              </w:rPr>
              <w:t>Longevity (increase or decrease in 1 year)</w:t>
            </w:r>
          </w:p>
        </w:tc>
        <w:tc>
          <w:tcPr>
            <w:tcW w:w="2705" w:type="dxa"/>
            <w:shd w:val="clear" w:color="000000" w:fill="FFFFFF"/>
            <w:hideMark/>
          </w:tcPr>
          <w:p w:rsidR="002359B6" w:rsidRPr="002F17B5" w:rsidRDefault="002359B6" w:rsidP="00803EAA">
            <w:pPr>
              <w:autoSpaceDE/>
              <w:autoSpaceDN/>
              <w:adjustRightInd/>
              <w:spacing w:before="0" w:after="240"/>
              <w:jc w:val="right"/>
              <w:rPr>
                <w:rFonts w:eastAsia="Times New Roman" w:cs="Arial"/>
                <w:color w:val="auto"/>
                <w:lang w:eastAsia="en-GB"/>
              </w:rPr>
            </w:pPr>
            <w:r w:rsidRPr="002F17B5">
              <w:rPr>
                <w:rFonts w:eastAsia="Times New Roman" w:cs="Arial"/>
                <w:color w:val="auto"/>
                <w:lang w:eastAsia="en-GB"/>
              </w:rPr>
              <w:t>55.94</w:t>
            </w:r>
          </w:p>
        </w:tc>
        <w:tc>
          <w:tcPr>
            <w:tcW w:w="2126" w:type="dxa"/>
            <w:shd w:val="clear" w:color="000000" w:fill="FFFFFF"/>
            <w:hideMark/>
          </w:tcPr>
          <w:p w:rsidR="002359B6" w:rsidRPr="002F17B5" w:rsidRDefault="00EE5C78" w:rsidP="00803EAA">
            <w:pPr>
              <w:autoSpaceDE/>
              <w:autoSpaceDN/>
              <w:adjustRightInd/>
              <w:spacing w:before="0" w:after="240"/>
              <w:jc w:val="right"/>
              <w:rPr>
                <w:rFonts w:eastAsia="Times New Roman" w:cs="Arial"/>
                <w:color w:val="auto"/>
                <w:lang w:eastAsia="en-GB"/>
              </w:rPr>
            </w:pPr>
            <w:r w:rsidRPr="002F17B5">
              <w:rPr>
                <w:rFonts w:eastAsia="Times New Roman" w:cs="Arial"/>
                <w:color w:val="auto"/>
                <w:lang w:eastAsia="en-GB"/>
              </w:rPr>
              <w:t>(</w:t>
            </w:r>
            <w:r w:rsidR="002359B6" w:rsidRPr="002F17B5">
              <w:rPr>
                <w:rFonts w:eastAsia="Times New Roman" w:cs="Arial"/>
                <w:color w:val="auto"/>
                <w:lang w:eastAsia="en-GB"/>
              </w:rPr>
              <w:t>55.94</w:t>
            </w:r>
            <w:r w:rsidRPr="002F17B5">
              <w:rPr>
                <w:rFonts w:eastAsia="Times New Roman" w:cs="Arial"/>
                <w:color w:val="auto"/>
                <w:lang w:eastAsia="en-GB"/>
              </w:rPr>
              <w:t>)</w:t>
            </w:r>
          </w:p>
        </w:tc>
      </w:tr>
      <w:tr w:rsidR="002359B6" w:rsidRPr="002F17B5" w:rsidTr="00EE5C78">
        <w:trPr>
          <w:trHeight w:val="300"/>
        </w:trPr>
        <w:tc>
          <w:tcPr>
            <w:tcW w:w="5380" w:type="dxa"/>
            <w:shd w:val="clear" w:color="000000" w:fill="FFFFFF"/>
            <w:hideMark/>
          </w:tcPr>
          <w:p w:rsidR="002359B6" w:rsidRPr="002F17B5" w:rsidRDefault="002359B6" w:rsidP="00803EAA">
            <w:pPr>
              <w:autoSpaceDE/>
              <w:autoSpaceDN/>
              <w:adjustRightInd/>
              <w:spacing w:before="0" w:after="240"/>
              <w:jc w:val="left"/>
              <w:rPr>
                <w:rFonts w:eastAsia="Times New Roman" w:cs="Arial"/>
                <w:color w:val="auto"/>
                <w:lang w:eastAsia="en-GB"/>
              </w:rPr>
            </w:pPr>
            <w:r w:rsidRPr="002F17B5">
              <w:rPr>
                <w:rFonts w:eastAsia="Times New Roman" w:cs="Arial"/>
                <w:color w:val="auto"/>
                <w:lang w:eastAsia="en-GB"/>
              </w:rPr>
              <w:t>Rate of inflation (increase or decrease by 1%)</w:t>
            </w:r>
          </w:p>
        </w:tc>
        <w:tc>
          <w:tcPr>
            <w:tcW w:w="2705" w:type="dxa"/>
            <w:shd w:val="clear" w:color="000000" w:fill="FFFFFF"/>
            <w:hideMark/>
          </w:tcPr>
          <w:p w:rsidR="002359B6" w:rsidRPr="002F17B5" w:rsidRDefault="002359B6" w:rsidP="00803EAA">
            <w:pPr>
              <w:autoSpaceDE/>
              <w:autoSpaceDN/>
              <w:adjustRightInd/>
              <w:spacing w:before="0" w:after="240"/>
              <w:jc w:val="right"/>
              <w:rPr>
                <w:rFonts w:eastAsia="Times New Roman" w:cs="Arial"/>
                <w:color w:val="auto"/>
                <w:lang w:eastAsia="en-GB"/>
              </w:rPr>
            </w:pPr>
            <w:r w:rsidRPr="002F17B5">
              <w:rPr>
                <w:rFonts w:eastAsia="Times New Roman" w:cs="Arial"/>
                <w:color w:val="auto"/>
                <w:lang w:eastAsia="en-GB"/>
              </w:rPr>
              <w:t>518.09</w:t>
            </w:r>
          </w:p>
        </w:tc>
        <w:tc>
          <w:tcPr>
            <w:tcW w:w="2126" w:type="dxa"/>
            <w:shd w:val="clear" w:color="000000" w:fill="FFFFFF"/>
            <w:hideMark/>
          </w:tcPr>
          <w:p w:rsidR="002359B6" w:rsidRPr="002F17B5" w:rsidRDefault="00EE5C78" w:rsidP="00803EAA">
            <w:pPr>
              <w:autoSpaceDE/>
              <w:autoSpaceDN/>
              <w:adjustRightInd/>
              <w:spacing w:before="0" w:after="240"/>
              <w:jc w:val="right"/>
              <w:rPr>
                <w:rFonts w:eastAsia="Times New Roman" w:cs="Arial"/>
                <w:color w:val="auto"/>
                <w:lang w:eastAsia="en-GB"/>
              </w:rPr>
            </w:pPr>
            <w:r w:rsidRPr="002F17B5">
              <w:rPr>
                <w:rFonts w:eastAsia="Times New Roman" w:cs="Arial"/>
                <w:color w:val="auto"/>
                <w:lang w:eastAsia="en-GB"/>
              </w:rPr>
              <w:t>(</w:t>
            </w:r>
            <w:r w:rsidR="002359B6" w:rsidRPr="002F17B5">
              <w:rPr>
                <w:rFonts w:eastAsia="Times New Roman" w:cs="Arial"/>
                <w:color w:val="auto"/>
                <w:lang w:eastAsia="en-GB"/>
              </w:rPr>
              <w:t>518.09</w:t>
            </w:r>
            <w:r w:rsidRPr="002F17B5">
              <w:rPr>
                <w:rFonts w:eastAsia="Times New Roman" w:cs="Arial"/>
                <w:color w:val="auto"/>
                <w:lang w:eastAsia="en-GB"/>
              </w:rPr>
              <w:t>)</w:t>
            </w:r>
          </w:p>
        </w:tc>
      </w:tr>
      <w:tr w:rsidR="002359B6" w:rsidRPr="002F17B5" w:rsidTr="00EE5C78">
        <w:trPr>
          <w:trHeight w:val="360"/>
        </w:trPr>
        <w:tc>
          <w:tcPr>
            <w:tcW w:w="5380" w:type="dxa"/>
            <w:shd w:val="clear" w:color="000000" w:fill="FFFFFF"/>
            <w:hideMark/>
          </w:tcPr>
          <w:p w:rsidR="002359B6" w:rsidRPr="002F17B5" w:rsidRDefault="002359B6" w:rsidP="00803EAA">
            <w:pPr>
              <w:autoSpaceDE/>
              <w:autoSpaceDN/>
              <w:adjustRightInd/>
              <w:spacing w:before="0" w:after="240"/>
              <w:jc w:val="left"/>
              <w:rPr>
                <w:rFonts w:eastAsia="Times New Roman" w:cs="Arial"/>
                <w:color w:val="auto"/>
                <w:lang w:eastAsia="en-GB"/>
              </w:rPr>
            </w:pPr>
            <w:r w:rsidRPr="002F17B5">
              <w:rPr>
                <w:rFonts w:eastAsia="Times New Roman" w:cs="Arial"/>
                <w:color w:val="auto"/>
                <w:lang w:eastAsia="en-GB"/>
              </w:rPr>
              <w:t>Rate of increase in salaries (increase or decrease by 1%)</w:t>
            </w:r>
          </w:p>
        </w:tc>
        <w:tc>
          <w:tcPr>
            <w:tcW w:w="2705" w:type="dxa"/>
            <w:shd w:val="clear" w:color="000000" w:fill="FFFFFF"/>
            <w:hideMark/>
          </w:tcPr>
          <w:p w:rsidR="002359B6" w:rsidRPr="002F17B5" w:rsidRDefault="002359B6" w:rsidP="00803EAA">
            <w:pPr>
              <w:autoSpaceDE/>
              <w:autoSpaceDN/>
              <w:adjustRightInd/>
              <w:spacing w:before="0" w:after="240"/>
              <w:jc w:val="right"/>
              <w:rPr>
                <w:rFonts w:eastAsia="Times New Roman" w:cs="Arial"/>
                <w:color w:val="auto"/>
                <w:lang w:eastAsia="en-GB"/>
              </w:rPr>
            </w:pPr>
            <w:r w:rsidRPr="002F17B5">
              <w:rPr>
                <w:rFonts w:eastAsia="Times New Roman" w:cs="Arial"/>
                <w:color w:val="auto"/>
                <w:lang w:eastAsia="en-GB"/>
              </w:rPr>
              <w:t>116.19</w:t>
            </w:r>
          </w:p>
        </w:tc>
        <w:tc>
          <w:tcPr>
            <w:tcW w:w="2126" w:type="dxa"/>
            <w:shd w:val="clear" w:color="000000" w:fill="FFFFFF"/>
            <w:hideMark/>
          </w:tcPr>
          <w:p w:rsidR="002359B6" w:rsidRPr="002F17B5" w:rsidRDefault="00EE5C78" w:rsidP="00803EAA">
            <w:pPr>
              <w:autoSpaceDE/>
              <w:autoSpaceDN/>
              <w:adjustRightInd/>
              <w:spacing w:before="0" w:after="240"/>
              <w:jc w:val="right"/>
              <w:rPr>
                <w:rFonts w:eastAsia="Times New Roman" w:cs="Arial"/>
                <w:color w:val="auto"/>
                <w:lang w:eastAsia="en-GB"/>
              </w:rPr>
            </w:pPr>
            <w:r w:rsidRPr="002F17B5">
              <w:rPr>
                <w:rFonts w:eastAsia="Times New Roman" w:cs="Arial"/>
                <w:color w:val="auto"/>
                <w:lang w:eastAsia="en-GB"/>
              </w:rPr>
              <w:t>(</w:t>
            </w:r>
            <w:r w:rsidR="002359B6" w:rsidRPr="002F17B5">
              <w:rPr>
                <w:rFonts w:eastAsia="Times New Roman" w:cs="Arial"/>
                <w:color w:val="auto"/>
                <w:lang w:eastAsia="en-GB"/>
              </w:rPr>
              <w:t>116.19</w:t>
            </w:r>
            <w:r w:rsidRPr="002F17B5">
              <w:rPr>
                <w:rFonts w:eastAsia="Times New Roman" w:cs="Arial"/>
                <w:color w:val="auto"/>
                <w:lang w:eastAsia="en-GB"/>
              </w:rPr>
              <w:t>)</w:t>
            </w:r>
          </w:p>
        </w:tc>
      </w:tr>
      <w:tr w:rsidR="002359B6" w:rsidRPr="002F17B5" w:rsidTr="00EE5C78">
        <w:trPr>
          <w:trHeight w:val="360"/>
        </w:trPr>
        <w:tc>
          <w:tcPr>
            <w:tcW w:w="5380" w:type="dxa"/>
            <w:shd w:val="clear" w:color="000000" w:fill="FFFFFF"/>
            <w:hideMark/>
          </w:tcPr>
          <w:p w:rsidR="002359B6" w:rsidRPr="002F17B5" w:rsidRDefault="002359B6" w:rsidP="00803EAA">
            <w:pPr>
              <w:autoSpaceDE/>
              <w:autoSpaceDN/>
              <w:adjustRightInd/>
              <w:spacing w:before="0" w:after="240"/>
              <w:jc w:val="left"/>
              <w:rPr>
                <w:rFonts w:eastAsia="Times New Roman" w:cs="Arial"/>
                <w:color w:val="auto"/>
                <w:lang w:eastAsia="en-GB"/>
              </w:rPr>
            </w:pPr>
            <w:r w:rsidRPr="002F17B5">
              <w:rPr>
                <w:rFonts w:eastAsia="Times New Roman" w:cs="Arial"/>
                <w:color w:val="auto"/>
                <w:lang w:eastAsia="en-GB"/>
              </w:rPr>
              <w:t>Rate for discounting scheme liabilities (increase or decrease by 1%)</w:t>
            </w:r>
          </w:p>
        </w:tc>
        <w:tc>
          <w:tcPr>
            <w:tcW w:w="2705" w:type="dxa"/>
            <w:shd w:val="clear" w:color="000000" w:fill="FFFFFF"/>
            <w:hideMark/>
          </w:tcPr>
          <w:p w:rsidR="002359B6" w:rsidRPr="002F17B5" w:rsidRDefault="00EE5C78" w:rsidP="00803EAA">
            <w:pPr>
              <w:autoSpaceDE/>
              <w:autoSpaceDN/>
              <w:adjustRightInd/>
              <w:spacing w:before="0" w:after="240"/>
              <w:jc w:val="right"/>
              <w:rPr>
                <w:rFonts w:eastAsia="Times New Roman" w:cs="Arial"/>
                <w:color w:val="auto"/>
                <w:lang w:eastAsia="en-GB"/>
              </w:rPr>
            </w:pPr>
            <w:r w:rsidRPr="002F17B5">
              <w:rPr>
                <w:rFonts w:eastAsia="Times New Roman" w:cs="Arial"/>
                <w:color w:val="auto"/>
                <w:lang w:eastAsia="en-GB"/>
              </w:rPr>
              <w:t>(</w:t>
            </w:r>
            <w:r w:rsidR="002359B6" w:rsidRPr="002F17B5">
              <w:rPr>
                <w:rFonts w:eastAsia="Times New Roman" w:cs="Arial"/>
                <w:color w:val="auto"/>
                <w:lang w:eastAsia="en-GB"/>
              </w:rPr>
              <w:t>508.86</w:t>
            </w:r>
            <w:r w:rsidRPr="002F17B5">
              <w:rPr>
                <w:rFonts w:eastAsia="Times New Roman" w:cs="Arial"/>
                <w:color w:val="auto"/>
                <w:lang w:eastAsia="en-GB"/>
              </w:rPr>
              <w:t>)</w:t>
            </w:r>
          </w:p>
        </w:tc>
        <w:tc>
          <w:tcPr>
            <w:tcW w:w="2126" w:type="dxa"/>
            <w:shd w:val="clear" w:color="000000" w:fill="FFFFFF"/>
            <w:hideMark/>
          </w:tcPr>
          <w:p w:rsidR="002359B6" w:rsidRPr="002F17B5" w:rsidRDefault="002359B6" w:rsidP="00803EAA">
            <w:pPr>
              <w:autoSpaceDE/>
              <w:autoSpaceDN/>
              <w:adjustRightInd/>
              <w:spacing w:before="0" w:after="240"/>
              <w:jc w:val="right"/>
              <w:rPr>
                <w:rFonts w:eastAsia="Times New Roman" w:cs="Arial"/>
                <w:color w:val="auto"/>
                <w:lang w:eastAsia="en-GB"/>
              </w:rPr>
            </w:pPr>
            <w:r w:rsidRPr="002F17B5">
              <w:rPr>
                <w:rFonts w:eastAsia="Times New Roman" w:cs="Arial"/>
                <w:color w:val="auto"/>
                <w:lang w:eastAsia="en-GB"/>
              </w:rPr>
              <w:t>508.86</w:t>
            </w:r>
          </w:p>
        </w:tc>
      </w:tr>
    </w:tbl>
    <w:p w:rsidR="002359B6" w:rsidRPr="002F17B5" w:rsidRDefault="002359B6" w:rsidP="002359B6">
      <w:pPr>
        <w:autoSpaceDE/>
        <w:autoSpaceDN/>
        <w:adjustRightInd/>
        <w:spacing w:after="20"/>
        <w:jc w:val="left"/>
      </w:pPr>
    </w:p>
    <w:p w:rsidR="00B36B65" w:rsidRDefault="00B36B65">
      <w:pPr>
        <w:autoSpaceDE/>
        <w:autoSpaceDN/>
        <w:adjustRightInd/>
        <w:spacing w:after="20"/>
        <w:jc w:val="right"/>
      </w:pPr>
    </w:p>
    <w:p w:rsidR="00DB314D" w:rsidRDefault="00DB314D">
      <w:pPr>
        <w:autoSpaceDE/>
        <w:autoSpaceDN/>
        <w:adjustRightInd/>
        <w:spacing w:after="20"/>
        <w:jc w:val="right"/>
      </w:pPr>
    </w:p>
    <w:p w:rsidR="00803EAA" w:rsidRDefault="00803EAA">
      <w:pPr>
        <w:autoSpaceDE/>
        <w:autoSpaceDN/>
        <w:adjustRightInd/>
        <w:spacing w:after="20"/>
        <w:jc w:val="right"/>
      </w:pPr>
      <w:r>
        <w:br w:type="page"/>
      </w:r>
    </w:p>
    <w:p w:rsidR="00E56C8C" w:rsidRPr="002F17B5" w:rsidRDefault="005D3E0E" w:rsidP="005855CE">
      <w:pPr>
        <w:pStyle w:val="Heading3-numbered"/>
        <w:rPr>
          <w:i w:val="0"/>
          <w:sz w:val="26"/>
        </w:rPr>
      </w:pPr>
      <w:r w:rsidRPr="002F17B5">
        <w:lastRenderedPageBreak/>
        <w:t xml:space="preserve">  </w:t>
      </w:r>
      <w:r w:rsidRPr="002F17B5">
        <w:rPr>
          <w:i w:val="0"/>
          <w:sz w:val="26"/>
        </w:rPr>
        <w:t>Events After the Balance Sheet Date</w:t>
      </w:r>
    </w:p>
    <w:p w:rsidR="00B70B4B" w:rsidRPr="002F17B5" w:rsidRDefault="00B70B4B">
      <w:pPr>
        <w:pStyle w:val="Heading3-numbered"/>
        <w:numPr>
          <w:ilvl w:val="0"/>
          <w:numId w:val="0"/>
        </w:numPr>
        <w:ind w:left="360"/>
        <w:rPr>
          <w:i w:val="0"/>
          <w:sz w:val="26"/>
        </w:rPr>
      </w:pPr>
    </w:p>
    <w:p w:rsidR="00E56C8C" w:rsidRPr="002F17B5" w:rsidRDefault="005D3E0E" w:rsidP="00E56C8C">
      <w:pPr>
        <w:spacing w:after="240"/>
        <w:rPr>
          <w:b/>
        </w:rPr>
      </w:pPr>
      <w:r w:rsidRPr="002F17B5">
        <w:rPr>
          <w:b/>
        </w:rPr>
        <w:t xml:space="preserve"> </w:t>
      </w:r>
      <w:r w:rsidR="003E0ABD" w:rsidRPr="002F17B5">
        <w:rPr>
          <w:b/>
        </w:rPr>
        <w:t>Date on which the financial s</w:t>
      </w:r>
      <w:r w:rsidR="00E56C8C" w:rsidRPr="002F17B5">
        <w:rPr>
          <w:b/>
        </w:rPr>
        <w:t>tatement</w:t>
      </w:r>
      <w:r w:rsidR="003E0ABD" w:rsidRPr="002F17B5">
        <w:rPr>
          <w:b/>
        </w:rPr>
        <w:t>s</w:t>
      </w:r>
      <w:r w:rsidR="00E56C8C" w:rsidRPr="002F17B5">
        <w:rPr>
          <w:b/>
        </w:rPr>
        <w:t xml:space="preserve"> were authorised for issue</w:t>
      </w:r>
    </w:p>
    <w:p w:rsidR="00E56C8C" w:rsidRPr="002F17B5" w:rsidRDefault="00E56C8C" w:rsidP="00E56C8C">
      <w:pPr>
        <w:spacing w:after="240"/>
      </w:pPr>
      <w:r w:rsidRPr="002F17B5">
        <w:t>The Statement of Accounts was authorised for issue by</w:t>
      </w:r>
      <w:r w:rsidR="00337490" w:rsidRPr="002F17B5">
        <w:t xml:space="preserve"> the county t</w:t>
      </w:r>
      <w:r w:rsidRPr="002F17B5">
        <w:t xml:space="preserve">reasurer on </w:t>
      </w:r>
      <w:r w:rsidR="00240B76" w:rsidRPr="002F17B5">
        <w:t>2</w:t>
      </w:r>
      <w:r w:rsidR="00516464">
        <w:t>7</w:t>
      </w:r>
      <w:r w:rsidR="00240B76" w:rsidRPr="002F17B5">
        <w:rPr>
          <w:vertAlign w:val="superscript"/>
        </w:rPr>
        <w:t>th</w:t>
      </w:r>
      <w:r w:rsidR="00240B76" w:rsidRPr="002F17B5">
        <w:t xml:space="preserve"> June 2014</w:t>
      </w:r>
      <w:r w:rsidRPr="002F17B5">
        <w:t xml:space="preserve">. Events taking place after this date are not reflected in the financial statements or notes. Where events taking place before this date provided information about conditions existing at </w:t>
      </w:r>
      <w:r w:rsidR="006D01F9" w:rsidRPr="002F17B5">
        <w:t>31 March 2014</w:t>
      </w:r>
      <w:r w:rsidRPr="002F17B5">
        <w:t xml:space="preserve">, the figures in the financial statements and notes have been adjusted in all material respects to reflect the impact of this information. </w:t>
      </w:r>
    </w:p>
    <w:p w:rsidR="00803EAA" w:rsidRDefault="00803EAA" w:rsidP="00E56C8C">
      <w:pPr>
        <w:rPr>
          <w:b/>
          <w:sz w:val="12"/>
        </w:rPr>
      </w:pPr>
    </w:p>
    <w:p w:rsidR="00803EAA" w:rsidRPr="002F17B5" w:rsidRDefault="00803EAA" w:rsidP="00E56C8C">
      <w:pPr>
        <w:rPr>
          <w:b/>
          <w:sz w:val="12"/>
        </w:rPr>
      </w:pPr>
    </w:p>
    <w:p w:rsidR="00E56C8C" w:rsidRDefault="005D3E0E" w:rsidP="00E56C8C">
      <w:pPr>
        <w:rPr>
          <w:b/>
        </w:rPr>
      </w:pPr>
      <w:r w:rsidRPr="002F17B5">
        <w:rPr>
          <w:b/>
        </w:rPr>
        <w:t>Non adjusting post balance sheet event</w:t>
      </w:r>
      <w:r w:rsidR="00F458BC">
        <w:rPr>
          <w:b/>
        </w:rPr>
        <w:t>s</w:t>
      </w:r>
    </w:p>
    <w:p w:rsidR="008F479A" w:rsidRPr="008F479A" w:rsidRDefault="008F479A" w:rsidP="00E56C8C">
      <w:pPr>
        <w:rPr>
          <w:b/>
          <w:sz w:val="2"/>
        </w:rPr>
      </w:pPr>
    </w:p>
    <w:p w:rsidR="00F265DF" w:rsidRDefault="008F479A" w:rsidP="009A4C35">
      <w:pPr>
        <w:pStyle w:val="ListParagraph"/>
        <w:numPr>
          <w:ilvl w:val="0"/>
          <w:numId w:val="86"/>
        </w:numPr>
        <w:rPr>
          <w:b/>
        </w:rPr>
      </w:pPr>
      <w:r w:rsidRPr="008778FF">
        <w:rPr>
          <w:b/>
        </w:rPr>
        <w:t>BT Lancashire Services:</w:t>
      </w:r>
    </w:p>
    <w:p w:rsidR="00803EAA" w:rsidRPr="00803EAA" w:rsidRDefault="00803EAA" w:rsidP="00803EAA">
      <w:pPr>
        <w:pStyle w:val="ListParagraph"/>
        <w:rPr>
          <w:b/>
          <w:sz w:val="12"/>
        </w:rPr>
      </w:pPr>
    </w:p>
    <w:p w:rsidR="005B5F3D" w:rsidRDefault="005B5F3D" w:rsidP="005B5F3D">
      <w:pPr>
        <w:spacing w:after="240"/>
      </w:pPr>
      <w:r w:rsidRPr="002F17B5">
        <w:t>From 1 April 2014 the partnership between BT an</w:t>
      </w:r>
      <w:r w:rsidR="00657CCB">
        <w:t>d Lancashire County Council</w:t>
      </w:r>
      <w:r w:rsidRPr="002F17B5">
        <w:t xml:space="preserve"> change</w:t>
      </w:r>
      <w:r w:rsidR="00657CCB">
        <w:t>d</w:t>
      </w:r>
      <w:r w:rsidRPr="002F17B5">
        <w:t>.</w:t>
      </w:r>
      <w:r w:rsidR="00657CCB">
        <w:t xml:space="preserve"> </w:t>
      </w:r>
      <w:r w:rsidRPr="002F17B5">
        <w:t>One Connect Limite</w:t>
      </w:r>
      <w:r w:rsidR="00657CCB">
        <w:t>d becam</w:t>
      </w:r>
      <w:r w:rsidRPr="002F17B5">
        <w:t>e a wholly owned BT company and</w:t>
      </w:r>
      <w:r w:rsidR="00657CCB">
        <w:t xml:space="preserve"> was</w:t>
      </w:r>
      <w:r w:rsidRPr="002F17B5">
        <w:t xml:space="preserve"> renamed as BT Lancashire Services Limited (BTLS) </w:t>
      </w:r>
    </w:p>
    <w:p w:rsidR="00803EAA" w:rsidRPr="00803EAA" w:rsidRDefault="00803EAA" w:rsidP="005B5F3D">
      <w:pPr>
        <w:spacing w:after="240"/>
        <w:rPr>
          <w:sz w:val="6"/>
        </w:rPr>
      </w:pPr>
    </w:p>
    <w:p w:rsidR="005B5F3D" w:rsidRPr="002F17B5" w:rsidRDefault="00657CCB" w:rsidP="005B5F3D">
      <w:pPr>
        <w:spacing w:after="240"/>
        <w:rPr>
          <w:rFonts w:cs="Arial"/>
        </w:rPr>
      </w:pPr>
      <w:r>
        <w:t>BTLS</w:t>
      </w:r>
      <w:r w:rsidR="005B5F3D" w:rsidRPr="002F17B5">
        <w:t xml:space="preserve"> focus on utilising BT's technological capabilities to improve the efficiency and quality of; information and communication</w:t>
      </w:r>
      <w:r w:rsidR="005B5F3D" w:rsidRPr="002F17B5">
        <w:rPr>
          <w:rFonts w:cs="Arial"/>
          <w:color w:val="auto"/>
          <w:szCs w:val="20"/>
          <w:lang w:val="en-US"/>
        </w:rPr>
        <w:t xml:space="preserve"> technology (ICT), revenue, benefits and payroll services. The formatio</w:t>
      </w:r>
      <w:r>
        <w:rPr>
          <w:rFonts w:cs="Arial"/>
          <w:color w:val="auto"/>
          <w:szCs w:val="20"/>
          <w:lang w:val="en-US"/>
        </w:rPr>
        <w:t>n of BTLS has </w:t>
      </w:r>
      <w:r w:rsidR="00384419">
        <w:rPr>
          <w:rFonts w:cs="Arial"/>
          <w:color w:val="auto"/>
          <w:szCs w:val="20"/>
          <w:lang w:val="en-US"/>
        </w:rPr>
        <w:t>le</w:t>
      </w:r>
      <w:r>
        <w:rPr>
          <w:rFonts w:cs="Arial"/>
          <w:color w:val="auto"/>
          <w:szCs w:val="20"/>
          <w:lang w:val="en-US"/>
        </w:rPr>
        <w:t>d to a number</w:t>
      </w:r>
      <w:r w:rsidR="005B5F3D" w:rsidRPr="002F17B5">
        <w:rPr>
          <w:rFonts w:cs="Arial"/>
          <w:color w:val="auto"/>
          <w:szCs w:val="20"/>
          <w:lang w:val="en-US"/>
        </w:rPr>
        <w:t xml:space="preserve"> of services currently delivered by OCL to come back in-house to the county council.</w:t>
      </w:r>
    </w:p>
    <w:p w:rsidR="0036687D" w:rsidRDefault="0036687D" w:rsidP="00F265DF">
      <w:pPr>
        <w:rPr>
          <w:rFonts w:cs="Arial"/>
        </w:rPr>
      </w:pPr>
    </w:p>
    <w:p w:rsidR="00803EAA" w:rsidRDefault="00803EAA">
      <w:pPr>
        <w:autoSpaceDE/>
        <w:autoSpaceDN/>
        <w:adjustRightInd/>
        <w:spacing w:after="20"/>
        <w:jc w:val="right"/>
        <w:rPr>
          <w:rFonts w:cs="Arial"/>
        </w:rPr>
      </w:pPr>
      <w:r>
        <w:rPr>
          <w:rFonts w:cs="Arial"/>
        </w:rPr>
        <w:br w:type="page"/>
      </w:r>
    </w:p>
    <w:p w:rsidR="00144349" w:rsidRPr="002F17B5" w:rsidRDefault="00144349" w:rsidP="00F458BC">
      <w:pPr>
        <w:pStyle w:val="Heading1"/>
      </w:pPr>
      <w:r w:rsidRPr="002F17B5">
        <w:lastRenderedPageBreak/>
        <w:t>Other Funds</w:t>
      </w:r>
    </w:p>
    <w:p w:rsidR="00144349" w:rsidRPr="002F17B5" w:rsidRDefault="00144349" w:rsidP="00F458BC">
      <w:pPr>
        <w:spacing w:after="240"/>
        <w:ind w:left="-283" w:firstLine="284"/>
      </w:pPr>
      <w:r w:rsidRPr="002F17B5">
        <w:rPr>
          <w:b/>
        </w:rPr>
        <w:t>Trust and special funds</w:t>
      </w:r>
    </w:p>
    <w:p w:rsidR="00144349" w:rsidRDefault="00144349" w:rsidP="00F458BC">
      <w:pPr>
        <w:spacing w:after="240"/>
      </w:pPr>
      <w:r w:rsidRPr="002F17B5">
        <w:t>We manage several small trust and special funds. Most of the trust funds have been set up as a result of gifts and bequests to be used for the benefit of children, students or clients at a particular school, college or home, or in a specific area.</w:t>
      </w:r>
      <w:r w:rsidR="00F458BC">
        <w:t xml:space="preserve"> </w:t>
      </w:r>
      <w:r w:rsidRPr="002F17B5">
        <w:t>The capital accounts in the table below show the value of the investment money that has been bequeathed.</w:t>
      </w:r>
    </w:p>
    <w:p w:rsidR="00803EAA" w:rsidRPr="00803EAA" w:rsidRDefault="00803EAA" w:rsidP="00F458BC">
      <w:pPr>
        <w:spacing w:after="240"/>
        <w:rPr>
          <w:sz w:val="2"/>
        </w:rPr>
      </w:pPr>
    </w:p>
    <w:p w:rsidR="00F458BC" w:rsidRDefault="0035520B" w:rsidP="00F458BC">
      <w:pPr>
        <w:spacing w:after="240"/>
      </w:pPr>
      <w:r w:rsidRPr="002F17B5">
        <w:t>Each fund balance is invested in line with the terms of the relevant trust deed. The annual income is used to meet the aims of the trust, for exam</w:t>
      </w:r>
      <w:r w:rsidR="00F458BC">
        <w:t>ple by providing school prizes.</w:t>
      </w:r>
    </w:p>
    <w:p w:rsidR="00803EAA" w:rsidRPr="00803EAA" w:rsidRDefault="00803EAA" w:rsidP="00F458BC">
      <w:pPr>
        <w:spacing w:after="240"/>
        <w:rPr>
          <w:sz w:val="2"/>
        </w:rPr>
      </w:pPr>
    </w:p>
    <w:p w:rsidR="00144349" w:rsidRPr="002F17B5" w:rsidRDefault="00144349" w:rsidP="00F458BC">
      <w:pPr>
        <w:spacing w:after="240"/>
      </w:pPr>
      <w:r w:rsidRPr="002F17B5">
        <w:t>The revenue accounts record the day-to-day transactions of the funds, including income earned from investments and payments made to beneficiaries.</w:t>
      </w:r>
    </w:p>
    <w:p w:rsidR="00144349" w:rsidRPr="002F17B5" w:rsidRDefault="00144349" w:rsidP="00F458BC">
      <w:pPr>
        <w:spacing w:after="240"/>
      </w:pPr>
      <w:r w:rsidRPr="002F17B5">
        <w:t>The movements o</w:t>
      </w:r>
      <w:r w:rsidR="00803EAA">
        <w:t>n fund balances are summarised below.</w:t>
      </w:r>
    </w:p>
    <w:p w:rsidR="00144349" w:rsidRPr="002F17B5" w:rsidRDefault="00144349" w:rsidP="00144349">
      <w:pPr>
        <w:spacing w:after="240"/>
        <w:ind w:left="284"/>
      </w:pPr>
    </w:p>
    <w:tbl>
      <w:tblPr>
        <w:tblW w:w="10352" w:type="dxa"/>
        <w:jc w:val="center"/>
        <w:tblLayout w:type="fixed"/>
        <w:tblLook w:val="04A0" w:firstRow="1" w:lastRow="0" w:firstColumn="1" w:lastColumn="0" w:noHBand="0" w:noVBand="1"/>
      </w:tblPr>
      <w:tblGrid>
        <w:gridCol w:w="3066"/>
        <w:gridCol w:w="709"/>
        <w:gridCol w:w="895"/>
        <w:gridCol w:w="1701"/>
        <w:gridCol w:w="1275"/>
        <w:gridCol w:w="1276"/>
        <w:gridCol w:w="1430"/>
      </w:tblGrid>
      <w:tr w:rsidR="00144349" w:rsidRPr="002F17B5" w:rsidTr="00865623">
        <w:trPr>
          <w:trHeight w:val="315"/>
          <w:jc w:val="center"/>
        </w:trPr>
        <w:tc>
          <w:tcPr>
            <w:tcW w:w="3066" w:type="dxa"/>
            <w:shd w:val="clear" w:color="000000" w:fill="FFFFFF"/>
            <w:noWrap/>
            <w:vAlign w:val="bottom"/>
            <w:hideMark/>
          </w:tcPr>
          <w:p w:rsidR="00144349" w:rsidRPr="002F17B5" w:rsidRDefault="00144349" w:rsidP="00B70B4B">
            <w:pPr>
              <w:autoSpaceDE/>
              <w:autoSpaceDN/>
              <w:adjustRightInd/>
              <w:spacing w:after="0"/>
              <w:jc w:val="left"/>
              <w:rPr>
                <w:rFonts w:ascii="Calibri" w:eastAsia="Times New Roman" w:hAnsi="Calibri" w:cs="Arial"/>
                <w:sz w:val="22"/>
                <w:szCs w:val="22"/>
                <w:lang w:eastAsia="en-GB"/>
              </w:rPr>
            </w:pPr>
          </w:p>
        </w:tc>
        <w:tc>
          <w:tcPr>
            <w:tcW w:w="1604" w:type="dxa"/>
            <w:gridSpan w:val="2"/>
            <w:shd w:val="clear" w:color="000000" w:fill="FFFFFF"/>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Adult and</w:t>
            </w:r>
          </w:p>
        </w:tc>
        <w:tc>
          <w:tcPr>
            <w:tcW w:w="1701" w:type="dxa"/>
            <w:shd w:val="clear" w:color="000000" w:fill="FFFFFF"/>
            <w:noWrap/>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Children and</w:t>
            </w:r>
          </w:p>
        </w:tc>
        <w:tc>
          <w:tcPr>
            <w:tcW w:w="1275" w:type="dxa"/>
            <w:shd w:val="clear" w:color="000000" w:fill="FFFFFF"/>
            <w:noWrap/>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 </w:t>
            </w:r>
          </w:p>
        </w:tc>
        <w:tc>
          <w:tcPr>
            <w:tcW w:w="1276" w:type="dxa"/>
            <w:shd w:val="clear" w:color="000000" w:fill="FFFFFF"/>
            <w:noWrap/>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 </w:t>
            </w:r>
          </w:p>
        </w:tc>
        <w:tc>
          <w:tcPr>
            <w:tcW w:w="1430" w:type="dxa"/>
            <w:shd w:val="clear" w:color="000000" w:fill="FFFFFF"/>
            <w:noWrap/>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 </w:t>
            </w:r>
          </w:p>
        </w:tc>
      </w:tr>
      <w:tr w:rsidR="00144349" w:rsidRPr="002F17B5" w:rsidTr="00865623">
        <w:trPr>
          <w:trHeight w:hRule="exact" w:val="315"/>
          <w:jc w:val="center"/>
        </w:trPr>
        <w:tc>
          <w:tcPr>
            <w:tcW w:w="3066" w:type="dxa"/>
            <w:shd w:val="clear" w:color="000000" w:fill="FFFFFF"/>
            <w:noWrap/>
            <w:vAlign w:val="bottom"/>
            <w:hideMark/>
          </w:tcPr>
          <w:p w:rsidR="00144349" w:rsidRPr="002F17B5" w:rsidRDefault="00144349" w:rsidP="00B70B4B">
            <w:pPr>
              <w:autoSpaceDE/>
              <w:autoSpaceDN/>
              <w:adjustRightInd/>
              <w:spacing w:after="0"/>
              <w:jc w:val="lef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604" w:type="dxa"/>
            <w:gridSpan w:val="2"/>
            <w:shd w:val="clear" w:color="000000" w:fill="FFFFFF"/>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Community</w:t>
            </w:r>
          </w:p>
        </w:tc>
        <w:tc>
          <w:tcPr>
            <w:tcW w:w="1701" w:type="dxa"/>
            <w:shd w:val="clear" w:color="000000" w:fill="FFFFFF"/>
            <w:noWrap/>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Young</w:t>
            </w:r>
          </w:p>
        </w:tc>
        <w:tc>
          <w:tcPr>
            <w:tcW w:w="1275" w:type="dxa"/>
            <w:shd w:val="clear" w:color="000000" w:fill="FFFFFF"/>
            <w:noWrap/>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Other</w:t>
            </w:r>
          </w:p>
        </w:tc>
        <w:tc>
          <w:tcPr>
            <w:tcW w:w="1276" w:type="dxa"/>
            <w:shd w:val="clear" w:color="000000" w:fill="FFFFFF"/>
            <w:noWrap/>
            <w:vAlign w:val="bottom"/>
            <w:hideMark/>
          </w:tcPr>
          <w:p w:rsidR="00144349" w:rsidRPr="002F17B5" w:rsidRDefault="00144349" w:rsidP="00B70B4B">
            <w:pPr>
              <w:autoSpaceDE/>
              <w:autoSpaceDN/>
              <w:adjustRightInd/>
              <w:spacing w:after="0"/>
              <w:ind w:right="175"/>
              <w:jc w:val="right"/>
              <w:rPr>
                <w:rFonts w:eastAsia="Times New Roman" w:cs="Arial"/>
                <w:b/>
                <w:bCs/>
                <w:sz w:val="22"/>
                <w:szCs w:val="22"/>
                <w:lang w:eastAsia="en-GB"/>
              </w:rPr>
            </w:pPr>
            <w:r w:rsidRPr="002F17B5">
              <w:rPr>
                <w:rFonts w:eastAsia="Times New Roman" w:cs="Arial"/>
                <w:b/>
                <w:bCs/>
                <w:sz w:val="22"/>
                <w:szCs w:val="22"/>
                <w:lang w:eastAsia="en-GB"/>
              </w:rPr>
              <w:t>Total</w:t>
            </w:r>
          </w:p>
        </w:tc>
        <w:tc>
          <w:tcPr>
            <w:tcW w:w="1430" w:type="dxa"/>
            <w:shd w:val="clear" w:color="000000" w:fill="FFFFFF"/>
            <w:noWrap/>
            <w:vAlign w:val="bottom"/>
            <w:hideMark/>
          </w:tcPr>
          <w:p w:rsidR="00144349" w:rsidRPr="002F17B5" w:rsidRDefault="00144349" w:rsidP="00B70B4B">
            <w:pPr>
              <w:autoSpaceDE/>
              <w:autoSpaceDN/>
              <w:adjustRightInd/>
              <w:spacing w:after="0"/>
              <w:ind w:right="176"/>
              <w:jc w:val="right"/>
              <w:rPr>
                <w:rFonts w:eastAsia="Times New Roman" w:cs="Arial"/>
                <w:b/>
                <w:bCs/>
                <w:sz w:val="22"/>
                <w:szCs w:val="22"/>
                <w:lang w:eastAsia="en-GB"/>
              </w:rPr>
            </w:pPr>
            <w:r w:rsidRPr="002F17B5">
              <w:rPr>
                <w:rFonts w:eastAsia="Times New Roman" w:cs="Arial"/>
                <w:b/>
                <w:bCs/>
                <w:sz w:val="22"/>
                <w:szCs w:val="22"/>
                <w:lang w:eastAsia="en-GB"/>
              </w:rPr>
              <w:t>Total</w:t>
            </w:r>
          </w:p>
        </w:tc>
      </w:tr>
      <w:tr w:rsidR="00144349" w:rsidRPr="002F17B5" w:rsidTr="00865623">
        <w:trPr>
          <w:trHeight w:hRule="exact" w:val="315"/>
          <w:jc w:val="center"/>
        </w:trPr>
        <w:tc>
          <w:tcPr>
            <w:tcW w:w="3066" w:type="dxa"/>
            <w:shd w:val="clear" w:color="000000" w:fill="FFFFFF"/>
            <w:noWrap/>
            <w:vAlign w:val="bottom"/>
            <w:hideMark/>
          </w:tcPr>
          <w:p w:rsidR="00144349" w:rsidRPr="002F17B5" w:rsidRDefault="00144349" w:rsidP="00B70B4B">
            <w:pPr>
              <w:autoSpaceDE/>
              <w:autoSpaceDN/>
              <w:adjustRightInd/>
              <w:spacing w:after="0"/>
              <w:jc w:val="lef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604" w:type="dxa"/>
            <w:gridSpan w:val="2"/>
            <w:shd w:val="clear" w:color="000000" w:fill="FFFFFF"/>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Services</w:t>
            </w:r>
          </w:p>
        </w:tc>
        <w:tc>
          <w:tcPr>
            <w:tcW w:w="1701" w:type="dxa"/>
            <w:shd w:val="clear" w:color="000000" w:fill="FFFFFF"/>
            <w:noWrap/>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People</w:t>
            </w:r>
          </w:p>
        </w:tc>
        <w:tc>
          <w:tcPr>
            <w:tcW w:w="1275" w:type="dxa"/>
            <w:shd w:val="clear" w:color="000000" w:fill="FFFFFF"/>
            <w:noWrap/>
            <w:vAlign w:val="bottom"/>
            <w:hideMark/>
          </w:tcPr>
          <w:p w:rsidR="00144349" w:rsidRPr="002F17B5" w:rsidRDefault="00144349" w:rsidP="00B70B4B">
            <w:pPr>
              <w:autoSpaceDE/>
              <w:autoSpaceDN/>
              <w:adjustRightInd/>
              <w:spacing w:after="0"/>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276" w:type="dxa"/>
            <w:shd w:val="clear" w:color="000000" w:fill="FFFFFF"/>
            <w:noWrap/>
            <w:vAlign w:val="bottom"/>
            <w:hideMark/>
          </w:tcPr>
          <w:p w:rsidR="00144349" w:rsidRPr="002F17B5" w:rsidRDefault="00144349" w:rsidP="00B70B4B">
            <w:pPr>
              <w:autoSpaceDE/>
              <w:autoSpaceDN/>
              <w:adjustRightInd/>
              <w:spacing w:after="0"/>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430" w:type="dxa"/>
            <w:shd w:val="clear" w:color="000000" w:fill="FFFFFF"/>
            <w:noWrap/>
            <w:vAlign w:val="bottom"/>
            <w:hideMark/>
          </w:tcPr>
          <w:p w:rsidR="00144349" w:rsidRPr="002F17B5" w:rsidRDefault="00144349" w:rsidP="00B70B4B">
            <w:pPr>
              <w:autoSpaceDE/>
              <w:autoSpaceDN/>
              <w:adjustRightInd/>
              <w:spacing w:after="0"/>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r>
      <w:tr w:rsidR="00144349" w:rsidRPr="002F17B5" w:rsidTr="00865623">
        <w:trPr>
          <w:trHeight w:val="315"/>
          <w:jc w:val="center"/>
        </w:trPr>
        <w:tc>
          <w:tcPr>
            <w:tcW w:w="3066" w:type="dxa"/>
            <w:shd w:val="clear" w:color="000000" w:fill="FFFFFF"/>
            <w:noWrap/>
            <w:vAlign w:val="bottom"/>
            <w:hideMark/>
          </w:tcPr>
          <w:p w:rsidR="00144349" w:rsidRPr="002F17B5" w:rsidRDefault="00144349" w:rsidP="00B70B4B">
            <w:pPr>
              <w:autoSpaceDE/>
              <w:autoSpaceDN/>
              <w:adjustRightInd/>
              <w:spacing w:after="0"/>
              <w:jc w:val="lef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604" w:type="dxa"/>
            <w:gridSpan w:val="2"/>
            <w:shd w:val="clear" w:color="000000" w:fill="FFFFFF"/>
            <w:vAlign w:val="bottom"/>
            <w:hideMark/>
          </w:tcPr>
          <w:p w:rsidR="00144349" w:rsidRPr="002F17B5" w:rsidRDefault="00CD4CF3"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2013/14</w:t>
            </w:r>
          </w:p>
        </w:tc>
        <w:tc>
          <w:tcPr>
            <w:tcW w:w="1701" w:type="dxa"/>
            <w:shd w:val="clear" w:color="000000" w:fill="FFFFFF"/>
            <w:noWrap/>
            <w:vAlign w:val="bottom"/>
            <w:hideMark/>
          </w:tcPr>
          <w:p w:rsidR="00144349" w:rsidRPr="002F17B5" w:rsidRDefault="00CD4CF3"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2013/14</w:t>
            </w:r>
          </w:p>
        </w:tc>
        <w:tc>
          <w:tcPr>
            <w:tcW w:w="1275" w:type="dxa"/>
            <w:shd w:val="clear" w:color="000000" w:fill="FFFFFF"/>
            <w:noWrap/>
            <w:vAlign w:val="bottom"/>
            <w:hideMark/>
          </w:tcPr>
          <w:p w:rsidR="00144349" w:rsidRPr="002F17B5" w:rsidRDefault="00CD4CF3"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2013/14</w:t>
            </w:r>
          </w:p>
        </w:tc>
        <w:tc>
          <w:tcPr>
            <w:tcW w:w="1276" w:type="dxa"/>
            <w:shd w:val="clear" w:color="000000" w:fill="FFFFFF"/>
            <w:noWrap/>
            <w:vAlign w:val="bottom"/>
            <w:hideMark/>
          </w:tcPr>
          <w:p w:rsidR="00144349" w:rsidRPr="002F17B5" w:rsidRDefault="00CD4CF3"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2013/14</w:t>
            </w:r>
          </w:p>
        </w:tc>
        <w:tc>
          <w:tcPr>
            <w:tcW w:w="1430" w:type="dxa"/>
            <w:shd w:val="clear" w:color="000000" w:fill="FFFFFF"/>
            <w:noWrap/>
            <w:vAlign w:val="bottom"/>
            <w:hideMark/>
          </w:tcPr>
          <w:p w:rsidR="00144349" w:rsidRPr="002F17B5" w:rsidRDefault="00CD4CF3"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2012/13</w:t>
            </w:r>
          </w:p>
        </w:tc>
      </w:tr>
      <w:tr w:rsidR="00144349" w:rsidRPr="002F17B5" w:rsidTr="00865623">
        <w:trPr>
          <w:trHeight w:val="315"/>
          <w:jc w:val="center"/>
        </w:trPr>
        <w:tc>
          <w:tcPr>
            <w:tcW w:w="3066" w:type="dxa"/>
            <w:shd w:val="clear" w:color="000000" w:fill="FFFFFF"/>
            <w:noWrap/>
            <w:vAlign w:val="bottom"/>
            <w:hideMark/>
          </w:tcPr>
          <w:p w:rsidR="00144349" w:rsidRPr="002F17B5" w:rsidRDefault="00144349" w:rsidP="00B70B4B">
            <w:pPr>
              <w:autoSpaceDE/>
              <w:autoSpaceDN/>
              <w:adjustRightInd/>
              <w:spacing w:after="0"/>
              <w:jc w:val="lef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604" w:type="dxa"/>
            <w:gridSpan w:val="2"/>
            <w:shd w:val="clear" w:color="000000" w:fill="FFFFFF"/>
            <w:vAlign w:val="bottom"/>
            <w:hideMark/>
          </w:tcPr>
          <w:p w:rsidR="00144349" w:rsidRPr="002F17B5" w:rsidRDefault="00144349"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w:t>
            </w:r>
            <w:r w:rsidR="0035520B" w:rsidRPr="002F17B5">
              <w:rPr>
                <w:rFonts w:eastAsia="Times New Roman" w:cs="Arial"/>
                <w:b/>
                <w:bCs/>
                <w:sz w:val="22"/>
                <w:szCs w:val="22"/>
                <w:lang w:eastAsia="en-GB"/>
              </w:rPr>
              <w:t>000s</w:t>
            </w:r>
          </w:p>
        </w:tc>
        <w:tc>
          <w:tcPr>
            <w:tcW w:w="1701" w:type="dxa"/>
            <w:shd w:val="clear" w:color="000000" w:fill="FFFFFF"/>
            <w:noWrap/>
            <w:vAlign w:val="bottom"/>
            <w:hideMark/>
          </w:tcPr>
          <w:p w:rsidR="00144349" w:rsidRPr="002F17B5" w:rsidRDefault="0035520B"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£000s</w:t>
            </w:r>
          </w:p>
        </w:tc>
        <w:tc>
          <w:tcPr>
            <w:tcW w:w="1275" w:type="dxa"/>
            <w:shd w:val="clear" w:color="000000" w:fill="FFFFFF"/>
            <w:noWrap/>
            <w:vAlign w:val="bottom"/>
            <w:hideMark/>
          </w:tcPr>
          <w:p w:rsidR="00144349" w:rsidRPr="002F17B5" w:rsidRDefault="0035520B" w:rsidP="00B70B4B">
            <w:pPr>
              <w:autoSpaceDE/>
              <w:autoSpaceDN/>
              <w:adjustRightInd/>
              <w:spacing w:after="0"/>
              <w:jc w:val="right"/>
              <w:rPr>
                <w:rFonts w:eastAsia="Times New Roman" w:cs="Arial"/>
                <w:b/>
                <w:bCs/>
                <w:sz w:val="22"/>
                <w:szCs w:val="22"/>
                <w:lang w:eastAsia="en-GB"/>
              </w:rPr>
            </w:pPr>
            <w:r w:rsidRPr="002F17B5">
              <w:rPr>
                <w:rFonts w:eastAsia="Times New Roman" w:cs="Arial"/>
                <w:b/>
                <w:bCs/>
                <w:sz w:val="22"/>
                <w:szCs w:val="22"/>
                <w:lang w:eastAsia="en-GB"/>
              </w:rPr>
              <w:t>£000s</w:t>
            </w:r>
          </w:p>
        </w:tc>
        <w:tc>
          <w:tcPr>
            <w:tcW w:w="1276" w:type="dxa"/>
            <w:shd w:val="clear" w:color="000000" w:fill="FFFFFF"/>
            <w:noWrap/>
            <w:vAlign w:val="bottom"/>
            <w:hideMark/>
          </w:tcPr>
          <w:p w:rsidR="00144349" w:rsidRPr="002F17B5" w:rsidRDefault="0035520B" w:rsidP="00B70B4B">
            <w:pPr>
              <w:autoSpaceDE/>
              <w:autoSpaceDN/>
              <w:adjustRightInd/>
              <w:spacing w:after="0"/>
              <w:ind w:right="175"/>
              <w:jc w:val="right"/>
              <w:rPr>
                <w:rFonts w:eastAsia="Times New Roman" w:cs="Arial"/>
                <w:b/>
                <w:bCs/>
                <w:sz w:val="22"/>
                <w:szCs w:val="22"/>
                <w:lang w:eastAsia="en-GB"/>
              </w:rPr>
            </w:pPr>
            <w:r w:rsidRPr="002F17B5">
              <w:rPr>
                <w:rFonts w:eastAsia="Times New Roman" w:cs="Arial"/>
                <w:b/>
                <w:bCs/>
                <w:sz w:val="22"/>
                <w:szCs w:val="22"/>
                <w:lang w:eastAsia="en-GB"/>
              </w:rPr>
              <w:t>£000s</w:t>
            </w:r>
          </w:p>
        </w:tc>
        <w:tc>
          <w:tcPr>
            <w:tcW w:w="1430" w:type="dxa"/>
            <w:shd w:val="clear" w:color="000000" w:fill="FFFFFF"/>
            <w:noWrap/>
            <w:vAlign w:val="bottom"/>
            <w:hideMark/>
          </w:tcPr>
          <w:p w:rsidR="00144349" w:rsidRPr="002F17B5" w:rsidRDefault="0035520B" w:rsidP="00B70B4B">
            <w:pPr>
              <w:autoSpaceDE/>
              <w:autoSpaceDN/>
              <w:adjustRightInd/>
              <w:spacing w:after="0"/>
              <w:ind w:right="34"/>
              <w:jc w:val="right"/>
              <w:rPr>
                <w:rFonts w:eastAsia="Times New Roman" w:cs="Arial"/>
                <w:b/>
                <w:bCs/>
                <w:sz w:val="22"/>
                <w:szCs w:val="22"/>
                <w:lang w:eastAsia="en-GB"/>
              </w:rPr>
            </w:pPr>
            <w:r w:rsidRPr="002F17B5">
              <w:rPr>
                <w:rFonts w:eastAsia="Times New Roman" w:cs="Arial"/>
                <w:b/>
                <w:bCs/>
                <w:sz w:val="22"/>
                <w:szCs w:val="22"/>
                <w:lang w:eastAsia="en-GB"/>
              </w:rPr>
              <w:t>£000s</w:t>
            </w:r>
          </w:p>
        </w:tc>
      </w:tr>
      <w:tr w:rsidR="00865623" w:rsidRPr="002F17B5" w:rsidTr="00865623">
        <w:trPr>
          <w:trHeight w:val="315"/>
          <w:jc w:val="center"/>
        </w:trPr>
        <w:tc>
          <w:tcPr>
            <w:tcW w:w="3066" w:type="dxa"/>
            <w:shd w:val="clear" w:color="000000" w:fill="FFFFFF"/>
            <w:noWrap/>
            <w:vAlign w:val="bottom"/>
            <w:hideMark/>
          </w:tcPr>
          <w:p w:rsidR="00865623" w:rsidRPr="002F17B5" w:rsidRDefault="00865623" w:rsidP="00B70B4B">
            <w:pPr>
              <w:autoSpaceDE/>
              <w:autoSpaceDN/>
              <w:adjustRightInd/>
              <w:spacing w:after="0"/>
              <w:jc w:val="left"/>
              <w:rPr>
                <w:rFonts w:ascii="Calibri" w:eastAsia="Times New Roman" w:hAnsi="Calibri" w:cs="Arial"/>
                <w:sz w:val="22"/>
                <w:szCs w:val="22"/>
                <w:lang w:eastAsia="en-GB"/>
              </w:rPr>
            </w:pPr>
          </w:p>
        </w:tc>
        <w:tc>
          <w:tcPr>
            <w:tcW w:w="1604" w:type="dxa"/>
            <w:gridSpan w:val="2"/>
            <w:shd w:val="clear" w:color="000000" w:fill="FFFFFF"/>
            <w:vAlign w:val="bottom"/>
            <w:hideMark/>
          </w:tcPr>
          <w:p w:rsidR="00865623" w:rsidRPr="002F17B5" w:rsidRDefault="00865623" w:rsidP="00B70B4B">
            <w:pPr>
              <w:autoSpaceDE/>
              <w:autoSpaceDN/>
              <w:adjustRightInd/>
              <w:spacing w:after="0"/>
              <w:jc w:val="right"/>
              <w:rPr>
                <w:rFonts w:eastAsia="Times New Roman" w:cs="Arial"/>
                <w:b/>
                <w:bCs/>
                <w:sz w:val="22"/>
                <w:szCs w:val="22"/>
                <w:lang w:eastAsia="en-GB"/>
              </w:rPr>
            </w:pPr>
          </w:p>
        </w:tc>
        <w:tc>
          <w:tcPr>
            <w:tcW w:w="1701" w:type="dxa"/>
            <w:shd w:val="clear" w:color="000000" w:fill="FFFFFF"/>
            <w:noWrap/>
            <w:vAlign w:val="bottom"/>
            <w:hideMark/>
          </w:tcPr>
          <w:p w:rsidR="00865623" w:rsidRPr="002F17B5" w:rsidRDefault="00865623" w:rsidP="00B70B4B">
            <w:pPr>
              <w:autoSpaceDE/>
              <w:autoSpaceDN/>
              <w:adjustRightInd/>
              <w:spacing w:after="0"/>
              <w:jc w:val="right"/>
              <w:rPr>
                <w:rFonts w:eastAsia="Times New Roman" w:cs="Arial"/>
                <w:b/>
                <w:bCs/>
                <w:sz w:val="22"/>
                <w:szCs w:val="22"/>
                <w:lang w:eastAsia="en-GB"/>
              </w:rPr>
            </w:pPr>
          </w:p>
        </w:tc>
        <w:tc>
          <w:tcPr>
            <w:tcW w:w="1275" w:type="dxa"/>
            <w:shd w:val="clear" w:color="000000" w:fill="FFFFFF"/>
            <w:noWrap/>
            <w:vAlign w:val="bottom"/>
            <w:hideMark/>
          </w:tcPr>
          <w:p w:rsidR="00865623" w:rsidRPr="002F17B5" w:rsidRDefault="00865623" w:rsidP="00B70B4B">
            <w:pPr>
              <w:autoSpaceDE/>
              <w:autoSpaceDN/>
              <w:adjustRightInd/>
              <w:spacing w:after="0"/>
              <w:jc w:val="right"/>
              <w:rPr>
                <w:rFonts w:eastAsia="Times New Roman" w:cs="Arial"/>
                <w:b/>
                <w:bCs/>
                <w:sz w:val="22"/>
                <w:szCs w:val="22"/>
                <w:lang w:eastAsia="en-GB"/>
              </w:rPr>
            </w:pPr>
          </w:p>
        </w:tc>
        <w:tc>
          <w:tcPr>
            <w:tcW w:w="1276" w:type="dxa"/>
            <w:shd w:val="clear" w:color="000000" w:fill="FFFFFF"/>
            <w:noWrap/>
            <w:vAlign w:val="bottom"/>
            <w:hideMark/>
          </w:tcPr>
          <w:p w:rsidR="00865623" w:rsidRPr="002F17B5" w:rsidRDefault="00865623" w:rsidP="00B70B4B">
            <w:pPr>
              <w:autoSpaceDE/>
              <w:autoSpaceDN/>
              <w:adjustRightInd/>
              <w:spacing w:after="0"/>
              <w:ind w:right="175"/>
              <w:jc w:val="right"/>
              <w:rPr>
                <w:rFonts w:eastAsia="Times New Roman" w:cs="Arial"/>
                <w:b/>
                <w:bCs/>
                <w:sz w:val="22"/>
                <w:szCs w:val="22"/>
                <w:lang w:eastAsia="en-GB"/>
              </w:rPr>
            </w:pPr>
          </w:p>
        </w:tc>
        <w:tc>
          <w:tcPr>
            <w:tcW w:w="1430" w:type="dxa"/>
            <w:shd w:val="clear" w:color="000000" w:fill="FFFFFF"/>
            <w:noWrap/>
            <w:vAlign w:val="bottom"/>
            <w:hideMark/>
          </w:tcPr>
          <w:p w:rsidR="00865623" w:rsidRPr="002F17B5" w:rsidRDefault="00865623" w:rsidP="00B70B4B">
            <w:pPr>
              <w:autoSpaceDE/>
              <w:autoSpaceDN/>
              <w:adjustRightInd/>
              <w:spacing w:after="0"/>
              <w:ind w:right="34"/>
              <w:jc w:val="right"/>
              <w:rPr>
                <w:rFonts w:eastAsia="Times New Roman" w:cs="Arial"/>
                <w:b/>
                <w:bCs/>
                <w:sz w:val="22"/>
                <w:szCs w:val="22"/>
                <w:lang w:eastAsia="en-GB"/>
              </w:rPr>
            </w:pPr>
          </w:p>
        </w:tc>
      </w:tr>
      <w:tr w:rsidR="00144349" w:rsidRPr="002F17B5" w:rsidTr="00865623">
        <w:trPr>
          <w:trHeight w:hRule="exact" w:val="315"/>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b/>
                <w:bCs/>
                <w:sz w:val="22"/>
                <w:szCs w:val="22"/>
                <w:lang w:eastAsia="en-GB"/>
              </w:rPr>
            </w:pPr>
            <w:r w:rsidRPr="002F17B5">
              <w:rPr>
                <w:rFonts w:eastAsia="Times New Roman" w:cs="Arial"/>
                <w:b/>
                <w:bCs/>
                <w:sz w:val="22"/>
                <w:szCs w:val="22"/>
                <w:lang w:eastAsia="en-GB"/>
              </w:rPr>
              <w:t>CAPITAL ACCOUNTS</w:t>
            </w:r>
          </w:p>
          <w:p w:rsidR="0035520B" w:rsidRPr="002F17B5" w:rsidRDefault="0035520B" w:rsidP="00B70B4B">
            <w:pPr>
              <w:autoSpaceDE/>
              <w:autoSpaceDN/>
              <w:adjustRightInd/>
              <w:spacing w:after="0"/>
              <w:jc w:val="left"/>
              <w:rPr>
                <w:rFonts w:eastAsia="Times New Roman" w:cs="Arial"/>
                <w:b/>
                <w:bCs/>
                <w:sz w:val="22"/>
                <w:szCs w:val="22"/>
                <w:lang w:eastAsia="en-GB"/>
              </w:rPr>
            </w:pPr>
          </w:p>
        </w:tc>
        <w:tc>
          <w:tcPr>
            <w:tcW w:w="895" w:type="dxa"/>
            <w:shd w:val="clear" w:color="000000" w:fill="FFFFFF"/>
            <w:vAlign w:val="bottom"/>
            <w:hideMark/>
          </w:tcPr>
          <w:p w:rsidR="00144349" w:rsidRPr="002F17B5" w:rsidRDefault="00144349" w:rsidP="00B70B4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 </w:t>
            </w:r>
          </w:p>
        </w:tc>
        <w:tc>
          <w:tcPr>
            <w:tcW w:w="1701" w:type="dxa"/>
            <w:shd w:val="clear" w:color="000000" w:fill="FFFFFF"/>
            <w:noWrap/>
            <w:vAlign w:val="bottom"/>
            <w:hideMark/>
          </w:tcPr>
          <w:p w:rsidR="00144349" w:rsidRPr="002F17B5" w:rsidRDefault="00144349" w:rsidP="00B70B4B">
            <w:pPr>
              <w:autoSpaceDE/>
              <w:autoSpaceDN/>
              <w:adjustRightInd/>
              <w:spacing w:after="0"/>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275" w:type="dxa"/>
            <w:shd w:val="clear" w:color="000000" w:fill="FFFFFF"/>
            <w:noWrap/>
            <w:vAlign w:val="bottom"/>
            <w:hideMark/>
          </w:tcPr>
          <w:p w:rsidR="00144349" w:rsidRPr="002F17B5" w:rsidRDefault="00144349" w:rsidP="00B70B4B">
            <w:pPr>
              <w:autoSpaceDE/>
              <w:autoSpaceDN/>
              <w:adjustRightInd/>
              <w:spacing w:after="0"/>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276" w:type="dxa"/>
            <w:shd w:val="clear" w:color="000000" w:fill="FFFFFF"/>
            <w:noWrap/>
            <w:vAlign w:val="bottom"/>
            <w:hideMark/>
          </w:tcPr>
          <w:p w:rsidR="00144349" w:rsidRPr="002F17B5" w:rsidRDefault="00144349" w:rsidP="00B70B4B">
            <w:pPr>
              <w:autoSpaceDE/>
              <w:autoSpaceDN/>
              <w:adjustRightInd/>
              <w:spacing w:after="0"/>
              <w:ind w:right="175"/>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c>
          <w:tcPr>
            <w:tcW w:w="1430" w:type="dxa"/>
            <w:shd w:val="clear" w:color="000000" w:fill="FFFFFF"/>
            <w:noWrap/>
            <w:vAlign w:val="bottom"/>
            <w:hideMark/>
          </w:tcPr>
          <w:p w:rsidR="00144349" w:rsidRPr="002F17B5" w:rsidRDefault="00144349" w:rsidP="00B70B4B">
            <w:pPr>
              <w:autoSpaceDE/>
              <w:autoSpaceDN/>
              <w:adjustRightInd/>
              <w:spacing w:after="0"/>
              <w:ind w:right="34"/>
              <w:jc w:val="right"/>
              <w:rPr>
                <w:rFonts w:ascii="Calibri" w:eastAsia="Times New Roman" w:hAnsi="Calibri" w:cs="Arial"/>
                <w:sz w:val="22"/>
                <w:szCs w:val="22"/>
                <w:lang w:eastAsia="en-GB"/>
              </w:rPr>
            </w:pPr>
            <w:r w:rsidRPr="002F17B5">
              <w:rPr>
                <w:rFonts w:ascii="Calibri" w:eastAsia="Times New Roman" w:hAnsi="Calibri" w:cs="Arial"/>
                <w:sz w:val="22"/>
                <w:szCs w:val="22"/>
                <w:lang w:eastAsia="en-GB"/>
              </w:rPr>
              <w:t> </w:t>
            </w:r>
          </w:p>
        </w:tc>
      </w:tr>
      <w:tr w:rsidR="00144349" w:rsidRPr="002F17B5" w:rsidTr="00865623">
        <w:trPr>
          <w:trHeight w:hRule="exact" w:val="300"/>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sz w:val="22"/>
                <w:szCs w:val="22"/>
                <w:lang w:eastAsia="en-GB"/>
              </w:rPr>
            </w:pPr>
            <w:r w:rsidRPr="002F17B5">
              <w:rPr>
                <w:rFonts w:eastAsia="Times New Roman" w:cs="Arial"/>
                <w:sz w:val="22"/>
                <w:szCs w:val="22"/>
                <w:lang w:eastAsia="en-GB"/>
              </w:rPr>
              <w:t>Balances at 1 April</w:t>
            </w:r>
          </w:p>
        </w:tc>
        <w:tc>
          <w:tcPr>
            <w:tcW w:w="895" w:type="dxa"/>
            <w:shd w:val="clear" w:color="000000" w:fill="FFFFFF"/>
            <w:vAlign w:val="bottom"/>
            <w:hideMark/>
          </w:tcPr>
          <w:p w:rsidR="00144349" w:rsidRPr="002F17B5" w:rsidRDefault="0035520B" w:rsidP="00782000">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3.4</w:t>
            </w:r>
          </w:p>
        </w:tc>
        <w:tc>
          <w:tcPr>
            <w:tcW w:w="1701"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194.0</w:t>
            </w:r>
          </w:p>
        </w:tc>
        <w:tc>
          <w:tcPr>
            <w:tcW w:w="1275"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0.8</w:t>
            </w:r>
          </w:p>
        </w:tc>
        <w:tc>
          <w:tcPr>
            <w:tcW w:w="1276" w:type="dxa"/>
            <w:shd w:val="clear" w:color="000000" w:fill="FFFFFF"/>
            <w:noWrap/>
            <w:vAlign w:val="bottom"/>
            <w:hideMark/>
          </w:tcPr>
          <w:p w:rsidR="001D73DF" w:rsidRPr="002F17B5" w:rsidRDefault="0035520B">
            <w:pPr>
              <w:autoSpaceDE/>
              <w:autoSpaceDN/>
              <w:adjustRightInd/>
              <w:spacing w:after="0"/>
              <w:ind w:right="175"/>
              <w:jc w:val="right"/>
              <w:rPr>
                <w:rFonts w:eastAsia="Times New Roman" w:cs="Arial"/>
                <w:sz w:val="22"/>
                <w:szCs w:val="22"/>
                <w:lang w:eastAsia="en-GB"/>
              </w:rPr>
            </w:pPr>
            <w:r w:rsidRPr="002F17B5">
              <w:rPr>
                <w:rFonts w:eastAsia="Times New Roman" w:cs="Arial"/>
                <w:sz w:val="22"/>
                <w:szCs w:val="22"/>
                <w:lang w:eastAsia="en-GB"/>
              </w:rPr>
              <w:t>198.2</w:t>
            </w:r>
          </w:p>
        </w:tc>
        <w:tc>
          <w:tcPr>
            <w:tcW w:w="1430" w:type="dxa"/>
            <w:shd w:val="clear" w:color="000000" w:fill="FFFFFF"/>
            <w:noWrap/>
            <w:vAlign w:val="bottom"/>
            <w:hideMark/>
          </w:tcPr>
          <w:p w:rsidR="001D73DF" w:rsidRPr="002F17B5" w:rsidRDefault="0035520B">
            <w:pPr>
              <w:autoSpaceDE/>
              <w:autoSpaceDN/>
              <w:adjustRightInd/>
              <w:spacing w:after="0"/>
              <w:ind w:right="34"/>
              <w:jc w:val="right"/>
              <w:rPr>
                <w:rFonts w:eastAsia="Times New Roman" w:cs="Arial"/>
                <w:sz w:val="22"/>
                <w:szCs w:val="22"/>
                <w:lang w:eastAsia="en-GB"/>
              </w:rPr>
            </w:pPr>
            <w:r w:rsidRPr="002F17B5">
              <w:rPr>
                <w:rFonts w:eastAsia="Times New Roman" w:cs="Arial"/>
                <w:sz w:val="22"/>
                <w:szCs w:val="22"/>
                <w:lang w:eastAsia="en-GB"/>
              </w:rPr>
              <w:t>178.8</w:t>
            </w:r>
          </w:p>
        </w:tc>
      </w:tr>
      <w:tr w:rsidR="00144349" w:rsidRPr="002F17B5" w:rsidTr="00865623">
        <w:trPr>
          <w:trHeight w:hRule="exact" w:val="300"/>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sz w:val="22"/>
                <w:szCs w:val="22"/>
                <w:lang w:eastAsia="en-GB"/>
              </w:rPr>
            </w:pPr>
            <w:r w:rsidRPr="002F17B5">
              <w:rPr>
                <w:rFonts w:eastAsia="Times New Roman" w:cs="Arial"/>
                <w:sz w:val="22"/>
                <w:szCs w:val="22"/>
                <w:lang w:eastAsia="en-GB"/>
              </w:rPr>
              <w:t>Net Movement in funds</w:t>
            </w:r>
          </w:p>
        </w:tc>
        <w:tc>
          <w:tcPr>
            <w:tcW w:w="895" w:type="dxa"/>
            <w:shd w:val="clear" w:color="000000" w:fill="FFFFFF"/>
            <w:vAlign w:val="bottom"/>
            <w:hideMark/>
          </w:tcPr>
          <w:p w:rsidR="00144349" w:rsidRPr="002F17B5" w:rsidRDefault="0035520B" w:rsidP="00782000">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0.1</w:t>
            </w:r>
          </w:p>
        </w:tc>
        <w:tc>
          <w:tcPr>
            <w:tcW w:w="1701"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2.4</w:t>
            </w:r>
          </w:p>
        </w:tc>
        <w:tc>
          <w:tcPr>
            <w:tcW w:w="1275"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w:t>
            </w:r>
          </w:p>
        </w:tc>
        <w:tc>
          <w:tcPr>
            <w:tcW w:w="1276" w:type="dxa"/>
            <w:shd w:val="clear" w:color="000000" w:fill="FFFFFF"/>
            <w:noWrap/>
            <w:vAlign w:val="bottom"/>
            <w:hideMark/>
          </w:tcPr>
          <w:p w:rsidR="001D73DF" w:rsidRPr="002F17B5" w:rsidRDefault="0035520B">
            <w:pPr>
              <w:autoSpaceDE/>
              <w:autoSpaceDN/>
              <w:adjustRightInd/>
              <w:spacing w:after="0"/>
              <w:ind w:right="175"/>
              <w:jc w:val="right"/>
              <w:rPr>
                <w:rFonts w:eastAsia="Times New Roman" w:cs="Arial"/>
                <w:sz w:val="22"/>
                <w:szCs w:val="22"/>
                <w:lang w:eastAsia="en-GB"/>
              </w:rPr>
            </w:pPr>
            <w:r w:rsidRPr="002F17B5">
              <w:rPr>
                <w:rFonts w:eastAsia="Times New Roman" w:cs="Arial"/>
                <w:sz w:val="22"/>
                <w:szCs w:val="22"/>
                <w:lang w:eastAsia="en-GB"/>
              </w:rPr>
              <w:t>2.5</w:t>
            </w:r>
          </w:p>
        </w:tc>
        <w:tc>
          <w:tcPr>
            <w:tcW w:w="1430" w:type="dxa"/>
            <w:shd w:val="clear" w:color="000000" w:fill="FFFFFF"/>
            <w:noWrap/>
            <w:vAlign w:val="bottom"/>
            <w:hideMark/>
          </w:tcPr>
          <w:p w:rsidR="001D73DF" w:rsidRPr="002F17B5" w:rsidRDefault="0035520B">
            <w:pPr>
              <w:autoSpaceDE/>
              <w:autoSpaceDN/>
              <w:adjustRightInd/>
              <w:spacing w:after="0"/>
              <w:ind w:right="34"/>
              <w:jc w:val="right"/>
              <w:rPr>
                <w:rFonts w:eastAsia="Times New Roman" w:cs="Arial"/>
                <w:sz w:val="22"/>
                <w:szCs w:val="22"/>
                <w:lang w:eastAsia="en-GB"/>
              </w:rPr>
            </w:pPr>
            <w:r w:rsidRPr="002F17B5">
              <w:rPr>
                <w:rFonts w:eastAsia="Times New Roman" w:cs="Arial"/>
                <w:sz w:val="22"/>
                <w:szCs w:val="22"/>
                <w:lang w:eastAsia="en-GB"/>
              </w:rPr>
              <w:t>19.4</w:t>
            </w:r>
          </w:p>
        </w:tc>
      </w:tr>
      <w:tr w:rsidR="00144349" w:rsidRPr="002F17B5" w:rsidTr="00865623">
        <w:trPr>
          <w:trHeight w:hRule="exact" w:val="300"/>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b/>
                <w:bCs/>
                <w:sz w:val="22"/>
                <w:szCs w:val="22"/>
                <w:lang w:eastAsia="en-GB"/>
              </w:rPr>
            </w:pPr>
            <w:r w:rsidRPr="002F17B5">
              <w:rPr>
                <w:rFonts w:eastAsia="Times New Roman" w:cs="Arial"/>
                <w:b/>
                <w:bCs/>
                <w:sz w:val="22"/>
                <w:szCs w:val="22"/>
                <w:lang w:eastAsia="en-GB"/>
              </w:rPr>
              <w:t xml:space="preserve">Balances at 31 March </w:t>
            </w:r>
          </w:p>
        </w:tc>
        <w:tc>
          <w:tcPr>
            <w:tcW w:w="895" w:type="dxa"/>
            <w:shd w:val="clear" w:color="000000" w:fill="FFFFFF"/>
            <w:vAlign w:val="bottom"/>
            <w:hideMark/>
          </w:tcPr>
          <w:p w:rsidR="00144349" w:rsidRPr="002F17B5" w:rsidRDefault="0035520B" w:rsidP="00782000">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3.5</w:t>
            </w:r>
          </w:p>
        </w:tc>
        <w:tc>
          <w:tcPr>
            <w:tcW w:w="1701" w:type="dxa"/>
            <w:shd w:val="clear" w:color="000000" w:fill="FFFFFF"/>
            <w:noWrap/>
            <w:vAlign w:val="bottom"/>
            <w:hideMark/>
          </w:tcPr>
          <w:p w:rsidR="001D73DF" w:rsidRPr="002F17B5" w:rsidRDefault="0035520B">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196.4</w:t>
            </w:r>
          </w:p>
        </w:tc>
        <w:tc>
          <w:tcPr>
            <w:tcW w:w="1275" w:type="dxa"/>
            <w:shd w:val="clear" w:color="000000" w:fill="FFFFFF"/>
            <w:noWrap/>
            <w:vAlign w:val="bottom"/>
            <w:hideMark/>
          </w:tcPr>
          <w:p w:rsidR="001D73DF" w:rsidRPr="002F17B5" w:rsidRDefault="0035520B">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0.8</w:t>
            </w:r>
          </w:p>
        </w:tc>
        <w:tc>
          <w:tcPr>
            <w:tcW w:w="1276" w:type="dxa"/>
            <w:shd w:val="clear" w:color="000000" w:fill="FFFFFF"/>
            <w:noWrap/>
            <w:vAlign w:val="bottom"/>
            <w:hideMark/>
          </w:tcPr>
          <w:p w:rsidR="001D73DF" w:rsidRPr="002F17B5" w:rsidRDefault="0035520B">
            <w:pPr>
              <w:autoSpaceDE/>
              <w:autoSpaceDN/>
              <w:adjustRightInd/>
              <w:spacing w:after="0"/>
              <w:ind w:right="175"/>
              <w:jc w:val="right"/>
              <w:rPr>
                <w:rFonts w:eastAsia="Times New Roman" w:cs="Arial"/>
                <w:b/>
                <w:sz w:val="22"/>
                <w:szCs w:val="22"/>
                <w:lang w:eastAsia="en-GB"/>
              </w:rPr>
            </w:pPr>
            <w:r w:rsidRPr="002F17B5">
              <w:rPr>
                <w:rFonts w:eastAsia="Times New Roman" w:cs="Arial"/>
                <w:b/>
                <w:sz w:val="22"/>
                <w:szCs w:val="22"/>
                <w:lang w:eastAsia="en-GB"/>
              </w:rPr>
              <w:t>200.7</w:t>
            </w:r>
          </w:p>
        </w:tc>
        <w:tc>
          <w:tcPr>
            <w:tcW w:w="1430" w:type="dxa"/>
            <w:shd w:val="clear" w:color="000000" w:fill="FFFFFF"/>
            <w:noWrap/>
            <w:vAlign w:val="bottom"/>
            <w:hideMark/>
          </w:tcPr>
          <w:p w:rsidR="001D73DF" w:rsidRPr="002F17B5" w:rsidRDefault="0035520B">
            <w:pPr>
              <w:autoSpaceDE/>
              <w:autoSpaceDN/>
              <w:adjustRightInd/>
              <w:spacing w:after="0"/>
              <w:ind w:right="34"/>
              <w:jc w:val="right"/>
              <w:rPr>
                <w:rFonts w:eastAsia="Times New Roman" w:cs="Arial"/>
                <w:b/>
                <w:sz w:val="22"/>
                <w:szCs w:val="22"/>
                <w:lang w:eastAsia="en-GB"/>
              </w:rPr>
            </w:pPr>
            <w:r w:rsidRPr="002F17B5">
              <w:rPr>
                <w:rFonts w:eastAsia="Times New Roman" w:cs="Arial"/>
                <w:b/>
                <w:sz w:val="22"/>
                <w:szCs w:val="22"/>
                <w:lang w:eastAsia="en-GB"/>
              </w:rPr>
              <w:t>198.2</w:t>
            </w:r>
          </w:p>
        </w:tc>
      </w:tr>
      <w:tr w:rsidR="00144349" w:rsidRPr="002F17B5" w:rsidTr="00865623">
        <w:trPr>
          <w:trHeight w:hRule="exact" w:val="315"/>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b/>
                <w:bCs/>
                <w:sz w:val="22"/>
                <w:szCs w:val="22"/>
                <w:lang w:eastAsia="en-GB"/>
              </w:rPr>
            </w:pPr>
          </w:p>
        </w:tc>
        <w:tc>
          <w:tcPr>
            <w:tcW w:w="895" w:type="dxa"/>
            <w:shd w:val="clear" w:color="000000" w:fill="FFFFFF"/>
            <w:vAlign w:val="bottom"/>
            <w:hideMark/>
          </w:tcPr>
          <w:p w:rsidR="001D73DF" w:rsidRPr="002F17B5" w:rsidRDefault="001D73DF">
            <w:pPr>
              <w:autoSpaceDE/>
              <w:autoSpaceDN/>
              <w:adjustRightInd/>
              <w:spacing w:after="0"/>
              <w:jc w:val="right"/>
              <w:rPr>
                <w:rFonts w:eastAsia="Times New Roman" w:cs="Arial"/>
                <w:sz w:val="22"/>
                <w:szCs w:val="22"/>
                <w:lang w:eastAsia="en-GB"/>
              </w:rPr>
            </w:pPr>
          </w:p>
        </w:tc>
        <w:tc>
          <w:tcPr>
            <w:tcW w:w="1701" w:type="dxa"/>
            <w:shd w:val="clear" w:color="000000" w:fill="FFFFFF"/>
            <w:noWrap/>
            <w:vAlign w:val="bottom"/>
            <w:hideMark/>
          </w:tcPr>
          <w:p w:rsidR="001D73DF" w:rsidRPr="002F17B5" w:rsidRDefault="001D73DF">
            <w:pPr>
              <w:autoSpaceDE/>
              <w:autoSpaceDN/>
              <w:adjustRightInd/>
              <w:spacing w:after="0"/>
              <w:jc w:val="right"/>
              <w:rPr>
                <w:rFonts w:ascii="Calibri" w:eastAsia="Times New Roman" w:hAnsi="Calibri" w:cs="Arial"/>
                <w:sz w:val="22"/>
                <w:szCs w:val="22"/>
                <w:lang w:eastAsia="en-GB"/>
              </w:rPr>
            </w:pPr>
          </w:p>
        </w:tc>
        <w:tc>
          <w:tcPr>
            <w:tcW w:w="1275" w:type="dxa"/>
            <w:shd w:val="clear" w:color="000000" w:fill="FFFFFF"/>
            <w:noWrap/>
            <w:vAlign w:val="bottom"/>
            <w:hideMark/>
          </w:tcPr>
          <w:p w:rsidR="001D73DF" w:rsidRPr="002F17B5" w:rsidRDefault="001D73DF">
            <w:pPr>
              <w:autoSpaceDE/>
              <w:autoSpaceDN/>
              <w:adjustRightInd/>
              <w:spacing w:after="0"/>
              <w:jc w:val="right"/>
              <w:rPr>
                <w:rFonts w:ascii="Calibri" w:eastAsia="Times New Roman" w:hAnsi="Calibri" w:cs="Arial"/>
                <w:sz w:val="22"/>
                <w:szCs w:val="22"/>
                <w:lang w:eastAsia="en-GB"/>
              </w:rPr>
            </w:pPr>
          </w:p>
        </w:tc>
        <w:tc>
          <w:tcPr>
            <w:tcW w:w="1276" w:type="dxa"/>
            <w:shd w:val="clear" w:color="000000" w:fill="FFFFFF"/>
            <w:noWrap/>
            <w:vAlign w:val="bottom"/>
            <w:hideMark/>
          </w:tcPr>
          <w:p w:rsidR="001D73DF" w:rsidRPr="002F17B5" w:rsidRDefault="001D73DF">
            <w:pPr>
              <w:autoSpaceDE/>
              <w:autoSpaceDN/>
              <w:adjustRightInd/>
              <w:spacing w:after="0"/>
              <w:ind w:right="175"/>
              <w:jc w:val="right"/>
              <w:rPr>
                <w:rFonts w:ascii="Calibri" w:eastAsia="Times New Roman" w:hAnsi="Calibri" w:cs="Arial"/>
                <w:sz w:val="22"/>
                <w:szCs w:val="22"/>
                <w:lang w:eastAsia="en-GB"/>
              </w:rPr>
            </w:pPr>
          </w:p>
        </w:tc>
        <w:tc>
          <w:tcPr>
            <w:tcW w:w="1430" w:type="dxa"/>
            <w:shd w:val="clear" w:color="000000" w:fill="FFFFFF"/>
            <w:noWrap/>
            <w:vAlign w:val="bottom"/>
            <w:hideMark/>
          </w:tcPr>
          <w:p w:rsidR="001D73DF" w:rsidRPr="002F17B5" w:rsidRDefault="001D73DF">
            <w:pPr>
              <w:autoSpaceDE/>
              <w:autoSpaceDN/>
              <w:adjustRightInd/>
              <w:spacing w:after="0"/>
              <w:ind w:right="34"/>
              <w:jc w:val="right"/>
              <w:rPr>
                <w:rFonts w:ascii="Calibri" w:eastAsia="Times New Roman" w:hAnsi="Calibri" w:cs="Arial"/>
                <w:sz w:val="22"/>
                <w:szCs w:val="22"/>
                <w:lang w:eastAsia="en-GB"/>
              </w:rPr>
            </w:pPr>
          </w:p>
        </w:tc>
      </w:tr>
      <w:tr w:rsidR="00144349" w:rsidRPr="002F17B5" w:rsidTr="00865623">
        <w:trPr>
          <w:trHeight w:hRule="exact" w:val="315"/>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b/>
                <w:bCs/>
                <w:sz w:val="22"/>
                <w:szCs w:val="22"/>
                <w:lang w:eastAsia="en-GB"/>
              </w:rPr>
            </w:pPr>
            <w:r w:rsidRPr="002F17B5">
              <w:rPr>
                <w:rFonts w:eastAsia="Times New Roman" w:cs="Arial"/>
                <w:b/>
                <w:bCs/>
                <w:sz w:val="22"/>
                <w:szCs w:val="22"/>
                <w:lang w:eastAsia="en-GB"/>
              </w:rPr>
              <w:t>REVENUE ACCOUNTS</w:t>
            </w:r>
          </w:p>
          <w:p w:rsidR="0035520B" w:rsidRPr="002F17B5" w:rsidRDefault="0035520B" w:rsidP="00B70B4B">
            <w:pPr>
              <w:autoSpaceDE/>
              <w:autoSpaceDN/>
              <w:adjustRightInd/>
              <w:spacing w:after="0"/>
              <w:jc w:val="left"/>
              <w:rPr>
                <w:rFonts w:eastAsia="Times New Roman" w:cs="Arial"/>
                <w:b/>
                <w:bCs/>
                <w:sz w:val="22"/>
                <w:szCs w:val="22"/>
                <w:lang w:eastAsia="en-GB"/>
              </w:rPr>
            </w:pPr>
          </w:p>
        </w:tc>
        <w:tc>
          <w:tcPr>
            <w:tcW w:w="895" w:type="dxa"/>
            <w:shd w:val="clear" w:color="000000" w:fill="FFFFFF"/>
            <w:vAlign w:val="bottom"/>
            <w:hideMark/>
          </w:tcPr>
          <w:p w:rsidR="001D73DF" w:rsidRPr="002F17B5" w:rsidRDefault="001D73DF">
            <w:pPr>
              <w:autoSpaceDE/>
              <w:autoSpaceDN/>
              <w:adjustRightInd/>
              <w:spacing w:after="0"/>
              <w:jc w:val="right"/>
              <w:rPr>
                <w:rFonts w:eastAsia="Times New Roman" w:cs="Arial"/>
                <w:sz w:val="22"/>
                <w:szCs w:val="22"/>
                <w:lang w:eastAsia="en-GB"/>
              </w:rPr>
            </w:pPr>
          </w:p>
        </w:tc>
        <w:tc>
          <w:tcPr>
            <w:tcW w:w="1701" w:type="dxa"/>
            <w:shd w:val="clear" w:color="000000" w:fill="FFFFFF"/>
            <w:noWrap/>
            <w:vAlign w:val="bottom"/>
            <w:hideMark/>
          </w:tcPr>
          <w:p w:rsidR="001D73DF" w:rsidRPr="002F17B5" w:rsidRDefault="001D73DF">
            <w:pPr>
              <w:autoSpaceDE/>
              <w:autoSpaceDN/>
              <w:adjustRightInd/>
              <w:spacing w:after="0"/>
              <w:jc w:val="right"/>
              <w:rPr>
                <w:rFonts w:ascii="Calibri" w:eastAsia="Times New Roman" w:hAnsi="Calibri" w:cs="Arial"/>
                <w:sz w:val="22"/>
                <w:szCs w:val="22"/>
                <w:lang w:eastAsia="en-GB"/>
              </w:rPr>
            </w:pPr>
          </w:p>
        </w:tc>
        <w:tc>
          <w:tcPr>
            <w:tcW w:w="1275" w:type="dxa"/>
            <w:shd w:val="clear" w:color="000000" w:fill="FFFFFF"/>
            <w:noWrap/>
            <w:vAlign w:val="bottom"/>
            <w:hideMark/>
          </w:tcPr>
          <w:p w:rsidR="001D73DF" w:rsidRPr="002F17B5" w:rsidRDefault="001D73DF">
            <w:pPr>
              <w:autoSpaceDE/>
              <w:autoSpaceDN/>
              <w:adjustRightInd/>
              <w:spacing w:after="0"/>
              <w:jc w:val="right"/>
              <w:rPr>
                <w:rFonts w:ascii="Calibri" w:eastAsia="Times New Roman" w:hAnsi="Calibri" w:cs="Arial"/>
                <w:sz w:val="22"/>
                <w:szCs w:val="22"/>
                <w:lang w:eastAsia="en-GB"/>
              </w:rPr>
            </w:pPr>
          </w:p>
        </w:tc>
        <w:tc>
          <w:tcPr>
            <w:tcW w:w="1276" w:type="dxa"/>
            <w:shd w:val="clear" w:color="000000" w:fill="FFFFFF"/>
            <w:noWrap/>
            <w:vAlign w:val="bottom"/>
            <w:hideMark/>
          </w:tcPr>
          <w:p w:rsidR="001D73DF" w:rsidRPr="002F17B5" w:rsidRDefault="001D73DF">
            <w:pPr>
              <w:autoSpaceDE/>
              <w:autoSpaceDN/>
              <w:adjustRightInd/>
              <w:spacing w:after="0"/>
              <w:ind w:right="175"/>
              <w:jc w:val="right"/>
              <w:rPr>
                <w:rFonts w:ascii="Calibri" w:eastAsia="Times New Roman" w:hAnsi="Calibri" w:cs="Arial"/>
                <w:sz w:val="22"/>
                <w:szCs w:val="22"/>
                <w:lang w:eastAsia="en-GB"/>
              </w:rPr>
            </w:pPr>
          </w:p>
        </w:tc>
        <w:tc>
          <w:tcPr>
            <w:tcW w:w="1430" w:type="dxa"/>
            <w:shd w:val="clear" w:color="000000" w:fill="FFFFFF"/>
            <w:noWrap/>
            <w:vAlign w:val="bottom"/>
            <w:hideMark/>
          </w:tcPr>
          <w:p w:rsidR="001D73DF" w:rsidRPr="002F17B5" w:rsidRDefault="001D73DF">
            <w:pPr>
              <w:autoSpaceDE/>
              <w:autoSpaceDN/>
              <w:adjustRightInd/>
              <w:spacing w:after="0"/>
              <w:ind w:right="34"/>
              <w:jc w:val="right"/>
              <w:rPr>
                <w:rFonts w:ascii="Calibri" w:eastAsia="Times New Roman" w:hAnsi="Calibri" w:cs="Arial"/>
                <w:sz w:val="22"/>
                <w:szCs w:val="22"/>
                <w:lang w:eastAsia="en-GB"/>
              </w:rPr>
            </w:pPr>
          </w:p>
        </w:tc>
      </w:tr>
      <w:tr w:rsidR="00144349" w:rsidRPr="002F17B5" w:rsidTr="00865623">
        <w:trPr>
          <w:trHeight w:hRule="exact" w:val="300"/>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sz w:val="22"/>
                <w:szCs w:val="22"/>
                <w:lang w:eastAsia="en-GB"/>
              </w:rPr>
            </w:pPr>
            <w:r w:rsidRPr="002F17B5">
              <w:rPr>
                <w:rFonts w:eastAsia="Times New Roman" w:cs="Arial"/>
                <w:sz w:val="22"/>
                <w:szCs w:val="22"/>
                <w:lang w:eastAsia="en-GB"/>
              </w:rPr>
              <w:t>Balances at 1 April</w:t>
            </w:r>
          </w:p>
        </w:tc>
        <w:tc>
          <w:tcPr>
            <w:tcW w:w="895" w:type="dxa"/>
            <w:shd w:val="clear" w:color="000000" w:fill="FFFFFF"/>
            <w:vAlign w:val="bottom"/>
            <w:hideMark/>
          </w:tcPr>
          <w:p w:rsidR="00144349" w:rsidRPr="002F17B5" w:rsidRDefault="0035520B" w:rsidP="00782000">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6.5</w:t>
            </w:r>
          </w:p>
        </w:tc>
        <w:tc>
          <w:tcPr>
            <w:tcW w:w="1701"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55.7</w:t>
            </w:r>
          </w:p>
        </w:tc>
        <w:tc>
          <w:tcPr>
            <w:tcW w:w="1275"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15.0</w:t>
            </w:r>
          </w:p>
        </w:tc>
        <w:tc>
          <w:tcPr>
            <w:tcW w:w="1276" w:type="dxa"/>
            <w:shd w:val="clear" w:color="000000" w:fill="FFFFFF"/>
            <w:noWrap/>
            <w:vAlign w:val="bottom"/>
            <w:hideMark/>
          </w:tcPr>
          <w:p w:rsidR="001D73DF" w:rsidRPr="002F17B5" w:rsidRDefault="0035520B">
            <w:pPr>
              <w:autoSpaceDE/>
              <w:autoSpaceDN/>
              <w:adjustRightInd/>
              <w:spacing w:after="0"/>
              <w:ind w:right="175"/>
              <w:jc w:val="right"/>
              <w:rPr>
                <w:rFonts w:eastAsia="Times New Roman" w:cs="Arial"/>
                <w:sz w:val="22"/>
                <w:szCs w:val="22"/>
                <w:lang w:eastAsia="en-GB"/>
              </w:rPr>
            </w:pPr>
            <w:r w:rsidRPr="002F17B5">
              <w:rPr>
                <w:rFonts w:eastAsia="Times New Roman" w:cs="Arial"/>
                <w:sz w:val="22"/>
                <w:szCs w:val="22"/>
                <w:lang w:eastAsia="en-GB"/>
              </w:rPr>
              <w:t>77.2</w:t>
            </w:r>
          </w:p>
        </w:tc>
        <w:tc>
          <w:tcPr>
            <w:tcW w:w="1430" w:type="dxa"/>
            <w:shd w:val="clear" w:color="000000" w:fill="FFFFFF"/>
            <w:noWrap/>
            <w:vAlign w:val="bottom"/>
            <w:hideMark/>
          </w:tcPr>
          <w:p w:rsidR="001D73DF" w:rsidRPr="002F17B5" w:rsidRDefault="0035520B">
            <w:pPr>
              <w:autoSpaceDE/>
              <w:autoSpaceDN/>
              <w:adjustRightInd/>
              <w:spacing w:after="0"/>
              <w:ind w:right="34"/>
              <w:jc w:val="right"/>
              <w:rPr>
                <w:rFonts w:eastAsia="Times New Roman" w:cs="Arial"/>
                <w:sz w:val="22"/>
                <w:szCs w:val="22"/>
                <w:lang w:eastAsia="en-GB"/>
              </w:rPr>
            </w:pPr>
            <w:r w:rsidRPr="002F17B5">
              <w:rPr>
                <w:rFonts w:eastAsia="Times New Roman" w:cs="Arial"/>
                <w:sz w:val="22"/>
                <w:szCs w:val="22"/>
                <w:lang w:eastAsia="en-GB"/>
              </w:rPr>
              <w:t>63.7</w:t>
            </w:r>
          </w:p>
        </w:tc>
      </w:tr>
      <w:tr w:rsidR="00144349" w:rsidRPr="002F17B5" w:rsidTr="00865623">
        <w:trPr>
          <w:trHeight w:hRule="exact" w:val="300"/>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sz w:val="22"/>
                <w:szCs w:val="22"/>
                <w:lang w:eastAsia="en-GB"/>
              </w:rPr>
            </w:pPr>
            <w:r w:rsidRPr="002F17B5">
              <w:rPr>
                <w:rFonts w:eastAsia="Times New Roman" w:cs="Arial"/>
                <w:sz w:val="22"/>
                <w:szCs w:val="22"/>
                <w:lang w:eastAsia="en-GB"/>
              </w:rPr>
              <w:t>Income received</w:t>
            </w:r>
          </w:p>
        </w:tc>
        <w:tc>
          <w:tcPr>
            <w:tcW w:w="895" w:type="dxa"/>
            <w:shd w:val="clear" w:color="000000" w:fill="FFFFFF"/>
            <w:vAlign w:val="bottom"/>
            <w:hideMark/>
          </w:tcPr>
          <w:p w:rsidR="00144349" w:rsidRPr="002F17B5" w:rsidRDefault="0035520B" w:rsidP="00782000">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0.1</w:t>
            </w:r>
          </w:p>
        </w:tc>
        <w:tc>
          <w:tcPr>
            <w:tcW w:w="1701"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7.3</w:t>
            </w:r>
          </w:p>
        </w:tc>
        <w:tc>
          <w:tcPr>
            <w:tcW w:w="1275"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15.</w:t>
            </w:r>
            <w:r w:rsidR="008E1274">
              <w:rPr>
                <w:rFonts w:eastAsia="Times New Roman" w:cs="Arial"/>
                <w:sz w:val="22"/>
                <w:szCs w:val="22"/>
                <w:lang w:eastAsia="en-GB"/>
              </w:rPr>
              <w:t>6</w:t>
            </w:r>
          </w:p>
        </w:tc>
        <w:tc>
          <w:tcPr>
            <w:tcW w:w="1276" w:type="dxa"/>
            <w:shd w:val="clear" w:color="000000" w:fill="FFFFFF"/>
            <w:noWrap/>
            <w:vAlign w:val="bottom"/>
            <w:hideMark/>
          </w:tcPr>
          <w:p w:rsidR="001D73DF" w:rsidRPr="002F17B5" w:rsidRDefault="0035520B">
            <w:pPr>
              <w:autoSpaceDE/>
              <w:autoSpaceDN/>
              <w:adjustRightInd/>
              <w:spacing w:after="0"/>
              <w:ind w:right="175"/>
              <w:jc w:val="right"/>
              <w:rPr>
                <w:rFonts w:eastAsia="Times New Roman" w:cs="Arial"/>
                <w:sz w:val="22"/>
                <w:szCs w:val="22"/>
                <w:lang w:eastAsia="en-GB"/>
              </w:rPr>
            </w:pPr>
            <w:r w:rsidRPr="002F17B5">
              <w:rPr>
                <w:rFonts w:eastAsia="Times New Roman" w:cs="Arial"/>
                <w:sz w:val="22"/>
                <w:szCs w:val="22"/>
                <w:lang w:eastAsia="en-GB"/>
              </w:rPr>
              <w:t>23.0</w:t>
            </w:r>
          </w:p>
        </w:tc>
        <w:tc>
          <w:tcPr>
            <w:tcW w:w="1430" w:type="dxa"/>
            <w:shd w:val="clear" w:color="000000" w:fill="FFFFFF"/>
            <w:noWrap/>
            <w:vAlign w:val="bottom"/>
            <w:hideMark/>
          </w:tcPr>
          <w:p w:rsidR="001D73DF" w:rsidRPr="002F17B5" w:rsidRDefault="0035520B">
            <w:pPr>
              <w:autoSpaceDE/>
              <w:autoSpaceDN/>
              <w:adjustRightInd/>
              <w:spacing w:after="0"/>
              <w:ind w:right="34"/>
              <w:jc w:val="right"/>
              <w:rPr>
                <w:rFonts w:eastAsia="Times New Roman" w:cs="Arial"/>
                <w:sz w:val="22"/>
                <w:szCs w:val="22"/>
                <w:lang w:eastAsia="en-GB"/>
              </w:rPr>
            </w:pPr>
            <w:r w:rsidRPr="002F17B5">
              <w:rPr>
                <w:rFonts w:eastAsia="Times New Roman" w:cs="Arial"/>
                <w:sz w:val="22"/>
                <w:szCs w:val="22"/>
                <w:lang w:eastAsia="en-GB"/>
              </w:rPr>
              <w:t>23.2</w:t>
            </w:r>
          </w:p>
        </w:tc>
      </w:tr>
      <w:tr w:rsidR="00144349" w:rsidRPr="002F17B5" w:rsidTr="00865623">
        <w:trPr>
          <w:trHeight w:hRule="exact" w:val="300"/>
          <w:jc w:val="center"/>
        </w:trPr>
        <w:tc>
          <w:tcPr>
            <w:tcW w:w="3775" w:type="dxa"/>
            <w:gridSpan w:val="2"/>
            <w:shd w:val="clear" w:color="000000" w:fill="FFFFFF"/>
            <w:noWrap/>
            <w:vAlign w:val="bottom"/>
            <w:hideMark/>
          </w:tcPr>
          <w:p w:rsidR="00144349" w:rsidRPr="002F17B5" w:rsidRDefault="00C411F3" w:rsidP="00B70B4B">
            <w:pPr>
              <w:autoSpaceDE/>
              <w:autoSpaceDN/>
              <w:adjustRightInd/>
              <w:spacing w:after="0"/>
              <w:jc w:val="left"/>
              <w:rPr>
                <w:rFonts w:eastAsia="Times New Roman" w:cs="Arial"/>
                <w:sz w:val="22"/>
                <w:szCs w:val="22"/>
                <w:lang w:eastAsia="en-GB"/>
              </w:rPr>
            </w:pPr>
            <w:r>
              <w:rPr>
                <w:rFonts w:eastAsia="Times New Roman" w:cs="Arial"/>
                <w:sz w:val="22"/>
                <w:szCs w:val="22"/>
                <w:lang w:eastAsia="en-GB"/>
              </w:rPr>
              <w:t>Less p</w:t>
            </w:r>
            <w:r w:rsidR="00144349" w:rsidRPr="002F17B5">
              <w:rPr>
                <w:rFonts w:eastAsia="Times New Roman" w:cs="Arial"/>
                <w:sz w:val="22"/>
                <w:szCs w:val="22"/>
                <w:lang w:eastAsia="en-GB"/>
              </w:rPr>
              <w:t>ayments during the year</w:t>
            </w:r>
          </w:p>
        </w:tc>
        <w:tc>
          <w:tcPr>
            <w:tcW w:w="895" w:type="dxa"/>
            <w:shd w:val="clear" w:color="000000" w:fill="FFFFFF"/>
            <w:vAlign w:val="bottom"/>
            <w:hideMark/>
          </w:tcPr>
          <w:p w:rsidR="00144349" w:rsidRPr="002F17B5" w:rsidRDefault="0035520B" w:rsidP="00782000">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w:t>
            </w:r>
          </w:p>
        </w:tc>
        <w:tc>
          <w:tcPr>
            <w:tcW w:w="1701"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0.1</w:t>
            </w:r>
          </w:p>
        </w:tc>
        <w:tc>
          <w:tcPr>
            <w:tcW w:w="1275" w:type="dxa"/>
            <w:shd w:val="clear" w:color="000000" w:fill="FFFFFF"/>
            <w:noWrap/>
            <w:vAlign w:val="bottom"/>
            <w:hideMark/>
          </w:tcPr>
          <w:p w:rsidR="001D73DF" w:rsidRPr="002F17B5" w:rsidRDefault="0035520B">
            <w:pPr>
              <w:autoSpaceDE/>
              <w:autoSpaceDN/>
              <w:adjustRightInd/>
              <w:spacing w:after="0"/>
              <w:jc w:val="right"/>
              <w:rPr>
                <w:rFonts w:eastAsia="Times New Roman" w:cs="Arial"/>
                <w:sz w:val="22"/>
                <w:szCs w:val="22"/>
                <w:lang w:eastAsia="en-GB"/>
              </w:rPr>
            </w:pPr>
            <w:r w:rsidRPr="002F17B5">
              <w:rPr>
                <w:rFonts w:eastAsia="Times New Roman" w:cs="Arial"/>
                <w:sz w:val="22"/>
                <w:szCs w:val="22"/>
                <w:lang w:eastAsia="en-GB"/>
              </w:rPr>
              <w:t>7.6</w:t>
            </w:r>
          </w:p>
        </w:tc>
        <w:tc>
          <w:tcPr>
            <w:tcW w:w="1276" w:type="dxa"/>
            <w:shd w:val="clear" w:color="000000" w:fill="FFFFFF"/>
            <w:noWrap/>
            <w:vAlign w:val="bottom"/>
            <w:hideMark/>
          </w:tcPr>
          <w:p w:rsidR="001D73DF" w:rsidRPr="002F17B5" w:rsidRDefault="0035520B">
            <w:pPr>
              <w:autoSpaceDE/>
              <w:autoSpaceDN/>
              <w:adjustRightInd/>
              <w:spacing w:after="0"/>
              <w:ind w:right="175"/>
              <w:jc w:val="right"/>
              <w:rPr>
                <w:rFonts w:eastAsia="Times New Roman" w:cs="Arial"/>
                <w:sz w:val="22"/>
                <w:szCs w:val="22"/>
                <w:lang w:eastAsia="en-GB"/>
              </w:rPr>
            </w:pPr>
            <w:r w:rsidRPr="002F17B5">
              <w:rPr>
                <w:rFonts w:eastAsia="Times New Roman" w:cs="Arial"/>
                <w:sz w:val="22"/>
                <w:szCs w:val="22"/>
                <w:lang w:eastAsia="en-GB"/>
              </w:rPr>
              <w:t>7.7</w:t>
            </w:r>
          </w:p>
        </w:tc>
        <w:tc>
          <w:tcPr>
            <w:tcW w:w="1430" w:type="dxa"/>
            <w:shd w:val="clear" w:color="000000" w:fill="FFFFFF"/>
            <w:noWrap/>
            <w:vAlign w:val="bottom"/>
            <w:hideMark/>
          </w:tcPr>
          <w:p w:rsidR="001D73DF" w:rsidRPr="002F17B5" w:rsidRDefault="0035520B">
            <w:pPr>
              <w:autoSpaceDE/>
              <w:autoSpaceDN/>
              <w:adjustRightInd/>
              <w:spacing w:after="0"/>
              <w:ind w:right="34"/>
              <w:jc w:val="right"/>
              <w:rPr>
                <w:rFonts w:eastAsia="Times New Roman" w:cs="Arial"/>
                <w:sz w:val="22"/>
                <w:szCs w:val="22"/>
                <w:lang w:eastAsia="en-GB"/>
              </w:rPr>
            </w:pPr>
            <w:r w:rsidRPr="002F17B5">
              <w:rPr>
                <w:rFonts w:eastAsia="Times New Roman" w:cs="Arial"/>
                <w:sz w:val="22"/>
                <w:szCs w:val="22"/>
                <w:lang w:eastAsia="en-GB"/>
              </w:rPr>
              <w:t>9.6</w:t>
            </w:r>
          </w:p>
        </w:tc>
      </w:tr>
      <w:tr w:rsidR="00144349" w:rsidRPr="002F17B5" w:rsidTr="00865623">
        <w:trPr>
          <w:trHeight w:hRule="exact" w:val="300"/>
          <w:jc w:val="center"/>
        </w:trPr>
        <w:tc>
          <w:tcPr>
            <w:tcW w:w="3775" w:type="dxa"/>
            <w:gridSpan w:val="2"/>
            <w:shd w:val="clear" w:color="000000" w:fill="FFFFFF"/>
            <w:noWrap/>
            <w:vAlign w:val="bottom"/>
            <w:hideMark/>
          </w:tcPr>
          <w:p w:rsidR="00144349" w:rsidRPr="002F17B5" w:rsidRDefault="00144349" w:rsidP="00B70B4B">
            <w:pPr>
              <w:autoSpaceDE/>
              <w:autoSpaceDN/>
              <w:adjustRightInd/>
              <w:spacing w:after="0"/>
              <w:jc w:val="left"/>
              <w:rPr>
                <w:rFonts w:eastAsia="Times New Roman" w:cs="Arial"/>
                <w:b/>
                <w:sz w:val="22"/>
                <w:szCs w:val="22"/>
                <w:lang w:eastAsia="en-GB"/>
              </w:rPr>
            </w:pPr>
            <w:r w:rsidRPr="002F17B5">
              <w:rPr>
                <w:rFonts w:eastAsia="Times New Roman" w:cs="Arial"/>
                <w:b/>
                <w:sz w:val="22"/>
                <w:szCs w:val="22"/>
                <w:lang w:eastAsia="en-GB"/>
              </w:rPr>
              <w:t>Balances at 31 March</w:t>
            </w:r>
          </w:p>
          <w:p w:rsidR="0035520B" w:rsidRPr="002F17B5" w:rsidRDefault="0035520B" w:rsidP="00B70B4B">
            <w:pPr>
              <w:autoSpaceDE/>
              <w:autoSpaceDN/>
              <w:adjustRightInd/>
              <w:spacing w:after="0"/>
              <w:jc w:val="left"/>
              <w:rPr>
                <w:rFonts w:eastAsia="Times New Roman" w:cs="Arial"/>
                <w:b/>
                <w:sz w:val="22"/>
                <w:szCs w:val="22"/>
                <w:lang w:eastAsia="en-GB"/>
              </w:rPr>
            </w:pPr>
          </w:p>
        </w:tc>
        <w:tc>
          <w:tcPr>
            <w:tcW w:w="895" w:type="dxa"/>
            <w:shd w:val="clear" w:color="000000" w:fill="FFFFFF"/>
            <w:vAlign w:val="bottom"/>
            <w:hideMark/>
          </w:tcPr>
          <w:p w:rsidR="00144349" w:rsidRPr="002F17B5" w:rsidRDefault="0035520B" w:rsidP="00782000">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6.6</w:t>
            </w:r>
          </w:p>
        </w:tc>
        <w:tc>
          <w:tcPr>
            <w:tcW w:w="1701" w:type="dxa"/>
            <w:shd w:val="clear" w:color="000000" w:fill="FFFFFF"/>
            <w:noWrap/>
            <w:vAlign w:val="bottom"/>
            <w:hideMark/>
          </w:tcPr>
          <w:p w:rsidR="001D73DF" w:rsidRPr="002F17B5" w:rsidRDefault="0035520B">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62.9</w:t>
            </w:r>
          </w:p>
        </w:tc>
        <w:tc>
          <w:tcPr>
            <w:tcW w:w="1275" w:type="dxa"/>
            <w:shd w:val="clear" w:color="000000" w:fill="FFFFFF"/>
            <w:noWrap/>
            <w:vAlign w:val="bottom"/>
            <w:hideMark/>
          </w:tcPr>
          <w:p w:rsidR="001D73DF" w:rsidRPr="002F17B5" w:rsidRDefault="0035520B">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2</w:t>
            </w:r>
            <w:r w:rsidR="008E1274">
              <w:rPr>
                <w:rFonts w:eastAsia="Times New Roman" w:cs="Arial"/>
                <w:b/>
                <w:sz w:val="22"/>
                <w:szCs w:val="22"/>
                <w:lang w:eastAsia="en-GB"/>
              </w:rPr>
              <w:t>3.0</w:t>
            </w:r>
          </w:p>
        </w:tc>
        <w:tc>
          <w:tcPr>
            <w:tcW w:w="1276" w:type="dxa"/>
            <w:shd w:val="clear" w:color="000000" w:fill="FFFFFF"/>
            <w:noWrap/>
            <w:vAlign w:val="bottom"/>
            <w:hideMark/>
          </w:tcPr>
          <w:p w:rsidR="001D73DF" w:rsidRPr="002F17B5" w:rsidRDefault="0035520B">
            <w:pPr>
              <w:autoSpaceDE/>
              <w:autoSpaceDN/>
              <w:adjustRightInd/>
              <w:spacing w:after="0"/>
              <w:ind w:right="175"/>
              <w:jc w:val="right"/>
              <w:rPr>
                <w:rFonts w:eastAsia="Times New Roman" w:cs="Arial"/>
                <w:b/>
                <w:sz w:val="22"/>
                <w:szCs w:val="22"/>
                <w:lang w:eastAsia="en-GB"/>
              </w:rPr>
            </w:pPr>
            <w:r w:rsidRPr="002F17B5">
              <w:rPr>
                <w:rFonts w:eastAsia="Times New Roman" w:cs="Arial"/>
                <w:b/>
                <w:sz w:val="22"/>
                <w:szCs w:val="22"/>
                <w:lang w:eastAsia="en-GB"/>
              </w:rPr>
              <w:t>92.5</w:t>
            </w:r>
          </w:p>
        </w:tc>
        <w:tc>
          <w:tcPr>
            <w:tcW w:w="1430" w:type="dxa"/>
            <w:shd w:val="clear" w:color="000000" w:fill="FFFFFF"/>
            <w:noWrap/>
            <w:vAlign w:val="bottom"/>
            <w:hideMark/>
          </w:tcPr>
          <w:p w:rsidR="001D73DF" w:rsidRPr="002F17B5" w:rsidRDefault="0035520B">
            <w:pPr>
              <w:autoSpaceDE/>
              <w:autoSpaceDN/>
              <w:adjustRightInd/>
              <w:spacing w:after="0"/>
              <w:ind w:right="34"/>
              <w:jc w:val="right"/>
              <w:rPr>
                <w:rFonts w:eastAsia="Times New Roman" w:cs="Arial"/>
                <w:b/>
                <w:sz w:val="22"/>
                <w:szCs w:val="22"/>
                <w:lang w:eastAsia="en-GB"/>
              </w:rPr>
            </w:pPr>
            <w:r w:rsidRPr="002F17B5">
              <w:rPr>
                <w:rFonts w:eastAsia="Times New Roman" w:cs="Arial"/>
                <w:b/>
                <w:sz w:val="22"/>
                <w:szCs w:val="22"/>
                <w:lang w:eastAsia="en-GB"/>
              </w:rPr>
              <w:t>77.2</w:t>
            </w:r>
          </w:p>
        </w:tc>
      </w:tr>
      <w:tr w:rsidR="00865623" w:rsidRPr="002F17B5" w:rsidTr="00865623">
        <w:trPr>
          <w:trHeight w:hRule="exact" w:val="300"/>
          <w:jc w:val="center"/>
        </w:trPr>
        <w:tc>
          <w:tcPr>
            <w:tcW w:w="3775" w:type="dxa"/>
            <w:gridSpan w:val="2"/>
            <w:shd w:val="clear" w:color="000000" w:fill="FFFFFF"/>
            <w:noWrap/>
            <w:vAlign w:val="bottom"/>
            <w:hideMark/>
          </w:tcPr>
          <w:p w:rsidR="00865623" w:rsidRPr="002F17B5" w:rsidRDefault="00865623" w:rsidP="00B70B4B">
            <w:pPr>
              <w:autoSpaceDE/>
              <w:autoSpaceDN/>
              <w:adjustRightInd/>
              <w:spacing w:after="0"/>
              <w:jc w:val="left"/>
              <w:rPr>
                <w:rFonts w:eastAsia="Times New Roman" w:cs="Arial"/>
                <w:b/>
                <w:sz w:val="22"/>
                <w:szCs w:val="22"/>
                <w:lang w:eastAsia="en-GB"/>
              </w:rPr>
            </w:pPr>
          </w:p>
        </w:tc>
        <w:tc>
          <w:tcPr>
            <w:tcW w:w="895" w:type="dxa"/>
            <w:shd w:val="clear" w:color="000000" w:fill="FFFFFF"/>
            <w:vAlign w:val="bottom"/>
            <w:hideMark/>
          </w:tcPr>
          <w:p w:rsidR="00865623" w:rsidRPr="002F17B5" w:rsidRDefault="00865623" w:rsidP="00782000">
            <w:pPr>
              <w:autoSpaceDE/>
              <w:autoSpaceDN/>
              <w:adjustRightInd/>
              <w:spacing w:after="0"/>
              <w:jc w:val="right"/>
              <w:rPr>
                <w:rFonts w:eastAsia="Times New Roman" w:cs="Arial"/>
                <w:b/>
                <w:sz w:val="22"/>
                <w:szCs w:val="22"/>
                <w:lang w:eastAsia="en-GB"/>
              </w:rPr>
            </w:pPr>
          </w:p>
        </w:tc>
        <w:tc>
          <w:tcPr>
            <w:tcW w:w="1701" w:type="dxa"/>
            <w:shd w:val="clear" w:color="000000" w:fill="FFFFFF"/>
            <w:noWrap/>
            <w:vAlign w:val="bottom"/>
            <w:hideMark/>
          </w:tcPr>
          <w:p w:rsidR="001D73DF" w:rsidRPr="002F17B5" w:rsidRDefault="001D73DF">
            <w:pPr>
              <w:autoSpaceDE/>
              <w:autoSpaceDN/>
              <w:adjustRightInd/>
              <w:spacing w:after="0"/>
              <w:jc w:val="right"/>
              <w:rPr>
                <w:rFonts w:eastAsia="Times New Roman" w:cs="Arial"/>
                <w:b/>
                <w:sz w:val="22"/>
                <w:szCs w:val="22"/>
                <w:lang w:eastAsia="en-GB"/>
              </w:rPr>
            </w:pPr>
          </w:p>
        </w:tc>
        <w:tc>
          <w:tcPr>
            <w:tcW w:w="1275" w:type="dxa"/>
            <w:shd w:val="clear" w:color="000000" w:fill="FFFFFF"/>
            <w:noWrap/>
            <w:vAlign w:val="bottom"/>
            <w:hideMark/>
          </w:tcPr>
          <w:p w:rsidR="001D73DF" w:rsidRPr="002F17B5" w:rsidRDefault="001D73DF">
            <w:pPr>
              <w:autoSpaceDE/>
              <w:autoSpaceDN/>
              <w:adjustRightInd/>
              <w:spacing w:after="0"/>
              <w:jc w:val="right"/>
              <w:rPr>
                <w:rFonts w:eastAsia="Times New Roman" w:cs="Arial"/>
                <w:b/>
                <w:sz w:val="22"/>
                <w:szCs w:val="22"/>
                <w:lang w:eastAsia="en-GB"/>
              </w:rPr>
            </w:pPr>
          </w:p>
        </w:tc>
        <w:tc>
          <w:tcPr>
            <w:tcW w:w="1276" w:type="dxa"/>
            <w:shd w:val="clear" w:color="000000" w:fill="FFFFFF"/>
            <w:noWrap/>
            <w:vAlign w:val="bottom"/>
            <w:hideMark/>
          </w:tcPr>
          <w:p w:rsidR="001D73DF" w:rsidRPr="002F17B5" w:rsidRDefault="001D73DF">
            <w:pPr>
              <w:autoSpaceDE/>
              <w:autoSpaceDN/>
              <w:adjustRightInd/>
              <w:spacing w:after="0"/>
              <w:ind w:right="175"/>
              <w:jc w:val="right"/>
              <w:rPr>
                <w:rFonts w:eastAsia="Times New Roman" w:cs="Arial"/>
                <w:b/>
                <w:sz w:val="22"/>
                <w:szCs w:val="22"/>
                <w:lang w:eastAsia="en-GB"/>
              </w:rPr>
            </w:pPr>
          </w:p>
        </w:tc>
        <w:tc>
          <w:tcPr>
            <w:tcW w:w="1430" w:type="dxa"/>
            <w:shd w:val="clear" w:color="000000" w:fill="FFFFFF"/>
            <w:noWrap/>
            <w:vAlign w:val="bottom"/>
            <w:hideMark/>
          </w:tcPr>
          <w:p w:rsidR="001D73DF" w:rsidRPr="002F17B5" w:rsidRDefault="001D73DF">
            <w:pPr>
              <w:autoSpaceDE/>
              <w:autoSpaceDN/>
              <w:adjustRightInd/>
              <w:spacing w:after="0"/>
              <w:ind w:right="34"/>
              <w:jc w:val="right"/>
              <w:rPr>
                <w:rFonts w:eastAsia="Times New Roman" w:cs="Arial"/>
                <w:b/>
                <w:sz w:val="22"/>
                <w:szCs w:val="22"/>
                <w:lang w:eastAsia="en-GB"/>
              </w:rPr>
            </w:pPr>
          </w:p>
        </w:tc>
      </w:tr>
      <w:tr w:rsidR="00144349" w:rsidRPr="002F17B5" w:rsidTr="00865623">
        <w:trPr>
          <w:trHeight w:hRule="exact" w:val="632"/>
          <w:jc w:val="center"/>
        </w:trPr>
        <w:tc>
          <w:tcPr>
            <w:tcW w:w="3775" w:type="dxa"/>
            <w:gridSpan w:val="2"/>
            <w:shd w:val="clear" w:color="000000" w:fill="FFFFFF"/>
            <w:noWrap/>
            <w:vAlign w:val="center"/>
            <w:hideMark/>
          </w:tcPr>
          <w:p w:rsidR="00865623" w:rsidRPr="002F17B5" w:rsidRDefault="00144349" w:rsidP="00B70B4B">
            <w:pPr>
              <w:autoSpaceDE/>
              <w:autoSpaceDN/>
              <w:adjustRightInd/>
              <w:spacing w:after="0"/>
              <w:jc w:val="left"/>
              <w:rPr>
                <w:rFonts w:eastAsia="Times New Roman" w:cs="Arial"/>
                <w:b/>
                <w:sz w:val="22"/>
                <w:szCs w:val="22"/>
                <w:lang w:eastAsia="en-GB"/>
              </w:rPr>
            </w:pPr>
            <w:r w:rsidRPr="002F17B5">
              <w:rPr>
                <w:rFonts w:eastAsia="Times New Roman" w:cs="Arial"/>
                <w:b/>
                <w:sz w:val="22"/>
                <w:szCs w:val="22"/>
                <w:lang w:eastAsia="en-GB"/>
              </w:rPr>
              <w:t xml:space="preserve">AGGREGATE BALANCES at </w:t>
            </w:r>
          </w:p>
          <w:p w:rsidR="00144349" w:rsidRPr="002F17B5" w:rsidRDefault="00144349" w:rsidP="00B70B4B">
            <w:pPr>
              <w:autoSpaceDE/>
              <w:autoSpaceDN/>
              <w:adjustRightInd/>
              <w:spacing w:after="0"/>
              <w:jc w:val="left"/>
              <w:rPr>
                <w:rFonts w:eastAsia="Times New Roman" w:cs="Arial"/>
                <w:b/>
                <w:sz w:val="22"/>
                <w:szCs w:val="22"/>
                <w:lang w:eastAsia="en-GB"/>
              </w:rPr>
            </w:pPr>
            <w:r w:rsidRPr="002F17B5">
              <w:rPr>
                <w:rFonts w:eastAsia="Times New Roman" w:cs="Arial"/>
                <w:b/>
                <w:sz w:val="22"/>
                <w:szCs w:val="22"/>
                <w:lang w:eastAsia="en-GB"/>
              </w:rPr>
              <w:t>31 March (Capital Revenue)</w:t>
            </w:r>
          </w:p>
        </w:tc>
        <w:tc>
          <w:tcPr>
            <w:tcW w:w="895" w:type="dxa"/>
            <w:shd w:val="clear" w:color="000000" w:fill="FFFFFF"/>
            <w:vAlign w:val="center"/>
            <w:hideMark/>
          </w:tcPr>
          <w:p w:rsidR="00144349" w:rsidRPr="002F17B5" w:rsidRDefault="0035520B" w:rsidP="00782000">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10.1</w:t>
            </w:r>
          </w:p>
        </w:tc>
        <w:tc>
          <w:tcPr>
            <w:tcW w:w="1701" w:type="dxa"/>
            <w:shd w:val="clear" w:color="000000" w:fill="FFFFFF"/>
            <w:noWrap/>
            <w:vAlign w:val="center"/>
            <w:hideMark/>
          </w:tcPr>
          <w:p w:rsidR="001D73DF" w:rsidRPr="002F17B5" w:rsidRDefault="0035520B">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259.3</w:t>
            </w:r>
          </w:p>
        </w:tc>
        <w:tc>
          <w:tcPr>
            <w:tcW w:w="1275" w:type="dxa"/>
            <w:shd w:val="clear" w:color="000000" w:fill="FFFFFF"/>
            <w:noWrap/>
            <w:vAlign w:val="center"/>
            <w:hideMark/>
          </w:tcPr>
          <w:p w:rsidR="001D73DF" w:rsidRPr="002F17B5" w:rsidRDefault="0035520B">
            <w:pPr>
              <w:autoSpaceDE/>
              <w:autoSpaceDN/>
              <w:adjustRightInd/>
              <w:spacing w:after="0"/>
              <w:jc w:val="right"/>
              <w:rPr>
                <w:rFonts w:eastAsia="Times New Roman" w:cs="Arial"/>
                <w:b/>
                <w:sz w:val="22"/>
                <w:szCs w:val="22"/>
                <w:lang w:eastAsia="en-GB"/>
              </w:rPr>
            </w:pPr>
            <w:r w:rsidRPr="002F17B5">
              <w:rPr>
                <w:rFonts w:eastAsia="Times New Roman" w:cs="Arial"/>
                <w:b/>
                <w:sz w:val="22"/>
                <w:szCs w:val="22"/>
                <w:lang w:eastAsia="en-GB"/>
              </w:rPr>
              <w:t>23.</w:t>
            </w:r>
            <w:r w:rsidR="008E1274">
              <w:rPr>
                <w:rFonts w:eastAsia="Times New Roman" w:cs="Arial"/>
                <w:b/>
                <w:sz w:val="22"/>
                <w:szCs w:val="22"/>
                <w:lang w:eastAsia="en-GB"/>
              </w:rPr>
              <w:t>8</w:t>
            </w:r>
          </w:p>
        </w:tc>
        <w:tc>
          <w:tcPr>
            <w:tcW w:w="1276" w:type="dxa"/>
            <w:shd w:val="clear" w:color="000000" w:fill="FFFFFF"/>
            <w:noWrap/>
            <w:vAlign w:val="center"/>
            <w:hideMark/>
          </w:tcPr>
          <w:p w:rsidR="001D73DF" w:rsidRPr="002F17B5" w:rsidRDefault="0035520B">
            <w:pPr>
              <w:autoSpaceDE/>
              <w:autoSpaceDN/>
              <w:adjustRightInd/>
              <w:spacing w:after="0"/>
              <w:ind w:right="175"/>
              <w:jc w:val="right"/>
              <w:rPr>
                <w:rFonts w:eastAsia="Times New Roman" w:cs="Arial"/>
                <w:b/>
                <w:sz w:val="22"/>
                <w:szCs w:val="22"/>
                <w:lang w:eastAsia="en-GB"/>
              </w:rPr>
            </w:pPr>
            <w:r w:rsidRPr="002F17B5">
              <w:rPr>
                <w:rFonts w:eastAsia="Times New Roman" w:cs="Arial"/>
                <w:b/>
                <w:sz w:val="22"/>
                <w:szCs w:val="22"/>
                <w:lang w:eastAsia="en-GB"/>
              </w:rPr>
              <w:t>293.2</w:t>
            </w:r>
          </w:p>
        </w:tc>
        <w:tc>
          <w:tcPr>
            <w:tcW w:w="1430" w:type="dxa"/>
            <w:shd w:val="clear" w:color="000000" w:fill="FFFFFF"/>
            <w:noWrap/>
            <w:vAlign w:val="center"/>
            <w:hideMark/>
          </w:tcPr>
          <w:p w:rsidR="001D73DF" w:rsidRPr="002F17B5" w:rsidRDefault="0035520B">
            <w:pPr>
              <w:autoSpaceDE/>
              <w:autoSpaceDN/>
              <w:adjustRightInd/>
              <w:spacing w:after="0"/>
              <w:ind w:right="34"/>
              <w:jc w:val="right"/>
              <w:rPr>
                <w:rFonts w:eastAsia="Times New Roman" w:cs="Arial"/>
                <w:b/>
                <w:sz w:val="22"/>
                <w:szCs w:val="22"/>
                <w:lang w:eastAsia="en-GB"/>
              </w:rPr>
            </w:pPr>
            <w:r w:rsidRPr="002F17B5">
              <w:rPr>
                <w:rFonts w:eastAsia="Times New Roman" w:cs="Arial"/>
                <w:b/>
                <w:sz w:val="22"/>
                <w:szCs w:val="22"/>
                <w:lang w:eastAsia="en-GB"/>
              </w:rPr>
              <w:t>275.4</w:t>
            </w:r>
          </w:p>
        </w:tc>
      </w:tr>
    </w:tbl>
    <w:p w:rsidR="00772854" w:rsidRDefault="00772854" w:rsidP="00772854">
      <w:pPr>
        <w:spacing w:before="8000" w:after="240"/>
        <w:ind w:left="284"/>
        <w:jc w:val="center"/>
      </w:pPr>
    </w:p>
    <w:p w:rsidR="00274914" w:rsidRPr="002F17B5" w:rsidRDefault="00772854" w:rsidP="00772854">
      <w:pPr>
        <w:spacing w:before="6120" w:after="240"/>
        <w:ind w:left="284"/>
        <w:jc w:val="center"/>
      </w:pPr>
      <w:r>
        <w:t>(page left intentionally blank)</w:t>
      </w:r>
    </w:p>
    <w:p w:rsidR="00274914" w:rsidRDefault="00274914" w:rsidP="00274914">
      <w:r w:rsidRPr="002F17B5">
        <w:br w:type="page"/>
      </w:r>
    </w:p>
    <w:p w:rsidR="00772854" w:rsidRPr="002F17B5" w:rsidRDefault="00772854" w:rsidP="00274914"/>
    <w:p w:rsidR="00274914" w:rsidRPr="002F17B5" w:rsidRDefault="00274914" w:rsidP="00274914">
      <w:pPr>
        <w:rPr>
          <w:b/>
          <w:sz w:val="28"/>
          <w:szCs w:val="28"/>
        </w:rPr>
      </w:pPr>
    </w:p>
    <w:p w:rsidR="00274914" w:rsidRPr="002F17B5" w:rsidRDefault="00274914" w:rsidP="00274914">
      <w:pPr>
        <w:rPr>
          <w:b/>
          <w:sz w:val="28"/>
          <w:szCs w:val="28"/>
        </w:rPr>
      </w:pPr>
    </w:p>
    <w:p w:rsidR="00274914" w:rsidRPr="002F17B5" w:rsidRDefault="00274914" w:rsidP="00274914">
      <w:pPr>
        <w:jc w:val="center"/>
        <w:rPr>
          <w:rFonts w:ascii="Univers" w:eastAsiaTheme="majorEastAsia" w:hAnsi="Univers" w:cstheme="majorBidi"/>
          <w:sz w:val="52"/>
          <w:szCs w:val="52"/>
        </w:rPr>
      </w:pPr>
      <w:r w:rsidRPr="002F17B5">
        <w:rPr>
          <w:rFonts w:ascii="Univers" w:eastAsiaTheme="majorEastAsia" w:hAnsi="Univers" w:cstheme="majorBidi"/>
          <w:sz w:val="52"/>
          <w:szCs w:val="52"/>
        </w:rPr>
        <w:t>Lancashire County Pension Fund</w:t>
      </w:r>
    </w:p>
    <w:p w:rsidR="00274914" w:rsidRPr="002F17B5" w:rsidRDefault="00274914" w:rsidP="00274914">
      <w:pPr>
        <w:jc w:val="center"/>
        <w:rPr>
          <w:rFonts w:ascii="Univers" w:eastAsiaTheme="majorEastAsia" w:hAnsi="Univers" w:cstheme="majorBidi"/>
          <w:sz w:val="52"/>
          <w:szCs w:val="52"/>
        </w:rPr>
      </w:pPr>
    </w:p>
    <w:p w:rsidR="00274914" w:rsidRPr="002F17B5" w:rsidRDefault="00274914" w:rsidP="00274914">
      <w:pPr>
        <w:jc w:val="center"/>
        <w:rPr>
          <w:rFonts w:ascii="Univers" w:eastAsiaTheme="majorEastAsia" w:hAnsi="Univers" w:cstheme="majorBidi"/>
          <w:sz w:val="52"/>
          <w:szCs w:val="52"/>
        </w:rPr>
      </w:pPr>
    </w:p>
    <w:p w:rsidR="00274914" w:rsidRPr="002F17B5" w:rsidRDefault="00274914" w:rsidP="00274914">
      <w:pPr>
        <w:jc w:val="center"/>
        <w:rPr>
          <w:rFonts w:ascii="Univers" w:eastAsiaTheme="majorEastAsia" w:hAnsi="Univers" w:cstheme="majorBidi"/>
          <w:sz w:val="52"/>
          <w:szCs w:val="52"/>
        </w:rPr>
      </w:pPr>
    </w:p>
    <w:p w:rsidR="00274914" w:rsidRPr="002F17B5" w:rsidRDefault="00274914" w:rsidP="00274914">
      <w:pPr>
        <w:jc w:val="center"/>
        <w:rPr>
          <w:rFonts w:ascii="Univers" w:eastAsiaTheme="majorEastAsia" w:hAnsi="Univers" w:cstheme="majorBidi"/>
          <w:sz w:val="52"/>
          <w:szCs w:val="52"/>
        </w:rPr>
      </w:pPr>
    </w:p>
    <w:p w:rsidR="00274914" w:rsidRPr="002F17B5" w:rsidRDefault="00274914" w:rsidP="00274914">
      <w:pPr>
        <w:jc w:val="center"/>
        <w:rPr>
          <w:rFonts w:ascii="Univers" w:eastAsiaTheme="majorEastAsia" w:hAnsi="Univers" w:cstheme="majorBidi"/>
          <w:sz w:val="52"/>
          <w:szCs w:val="52"/>
        </w:rPr>
      </w:pPr>
    </w:p>
    <w:p w:rsidR="00274914" w:rsidRPr="002F17B5" w:rsidRDefault="00274914" w:rsidP="00274914">
      <w:pPr>
        <w:jc w:val="center"/>
        <w:rPr>
          <w:rFonts w:ascii="Univers" w:eastAsiaTheme="majorEastAsia" w:hAnsi="Univers" w:cstheme="majorBidi"/>
          <w:sz w:val="52"/>
          <w:szCs w:val="52"/>
        </w:rPr>
      </w:pPr>
    </w:p>
    <w:p w:rsidR="00274914" w:rsidRPr="002F17B5" w:rsidRDefault="00274914" w:rsidP="00274914">
      <w:pPr>
        <w:jc w:val="center"/>
        <w:rPr>
          <w:rFonts w:ascii="Univers" w:eastAsiaTheme="majorEastAsia" w:hAnsi="Univers" w:cstheme="majorBidi"/>
          <w:sz w:val="52"/>
          <w:szCs w:val="52"/>
        </w:rPr>
      </w:pPr>
    </w:p>
    <w:p w:rsidR="00274914" w:rsidRPr="002F17B5" w:rsidRDefault="00274914" w:rsidP="00274914">
      <w:pPr>
        <w:jc w:val="center"/>
        <w:rPr>
          <w:rFonts w:ascii="Univers" w:eastAsiaTheme="majorEastAsia" w:hAnsi="Univers" w:cstheme="majorBidi"/>
          <w:sz w:val="52"/>
          <w:szCs w:val="52"/>
        </w:rPr>
      </w:pPr>
      <w:r w:rsidRPr="002F17B5">
        <w:rPr>
          <w:rFonts w:ascii="Univers" w:eastAsiaTheme="majorEastAsia" w:hAnsi="Univers" w:cstheme="majorBidi"/>
          <w:sz w:val="52"/>
          <w:szCs w:val="52"/>
        </w:rPr>
        <w:t>Accounts</w:t>
      </w:r>
    </w:p>
    <w:p w:rsidR="00274914" w:rsidRPr="002F17B5" w:rsidRDefault="00274914" w:rsidP="00274914">
      <w:pPr>
        <w:tabs>
          <w:tab w:val="left" w:pos="2505"/>
          <w:tab w:val="center" w:pos="5233"/>
        </w:tabs>
        <w:rPr>
          <w:rFonts w:ascii="Univers" w:eastAsiaTheme="majorEastAsia" w:hAnsi="Univers" w:cstheme="majorBidi"/>
          <w:sz w:val="52"/>
          <w:szCs w:val="52"/>
        </w:rPr>
      </w:pPr>
      <w:r w:rsidRPr="002F17B5">
        <w:rPr>
          <w:rFonts w:ascii="Univers" w:eastAsiaTheme="majorEastAsia" w:hAnsi="Univers" w:cstheme="majorBidi"/>
          <w:sz w:val="52"/>
          <w:szCs w:val="52"/>
        </w:rPr>
        <w:tab/>
      </w:r>
      <w:r w:rsidRPr="002F17B5">
        <w:rPr>
          <w:rFonts w:ascii="Univers" w:eastAsiaTheme="majorEastAsia" w:hAnsi="Univers" w:cstheme="majorBidi"/>
          <w:sz w:val="52"/>
          <w:szCs w:val="52"/>
        </w:rPr>
        <w:tab/>
        <w:t>2013 / 2014</w:t>
      </w:r>
    </w:p>
    <w:p w:rsidR="00274914" w:rsidRPr="002F17B5" w:rsidRDefault="00274914" w:rsidP="00274914">
      <w:pPr>
        <w:jc w:val="center"/>
        <w:rPr>
          <w:rFonts w:ascii="Univers" w:eastAsiaTheme="majorEastAsia" w:hAnsi="Univers" w:cstheme="majorBidi"/>
          <w:sz w:val="52"/>
          <w:szCs w:val="52"/>
        </w:rPr>
      </w:pPr>
    </w:p>
    <w:p w:rsidR="00274914" w:rsidRPr="002F17B5" w:rsidRDefault="00274914" w:rsidP="00274914"/>
    <w:p w:rsidR="00274914" w:rsidRPr="002F17B5" w:rsidRDefault="00274914" w:rsidP="00274914"/>
    <w:p w:rsidR="00274914" w:rsidRPr="002F17B5" w:rsidRDefault="00274914" w:rsidP="00274914"/>
    <w:p w:rsidR="00274914" w:rsidRPr="002F17B5" w:rsidRDefault="00274914" w:rsidP="00274914">
      <w:pPr>
        <w:jc w:val="center"/>
        <w:rPr>
          <w:b/>
          <w:sz w:val="28"/>
          <w:szCs w:val="28"/>
        </w:rPr>
      </w:pPr>
    </w:p>
    <w:p w:rsidR="00274914" w:rsidRPr="002F17B5" w:rsidRDefault="00274914" w:rsidP="00274914">
      <w:pPr>
        <w:ind w:left="-567" w:right="-46"/>
        <w:rPr>
          <w:b/>
          <w:sz w:val="28"/>
          <w:szCs w:val="28"/>
        </w:rPr>
      </w:pPr>
    </w:p>
    <w:p w:rsidR="00274914" w:rsidRPr="002F17B5" w:rsidRDefault="00274914" w:rsidP="00274914">
      <w:pPr>
        <w:rPr>
          <w:b/>
          <w:sz w:val="28"/>
          <w:szCs w:val="28"/>
        </w:rPr>
      </w:pPr>
    </w:p>
    <w:p w:rsidR="00274914" w:rsidRPr="002F17B5" w:rsidRDefault="00274914" w:rsidP="00274914">
      <w:pPr>
        <w:rPr>
          <w:b/>
          <w:sz w:val="28"/>
          <w:szCs w:val="28"/>
        </w:rPr>
      </w:pPr>
    </w:p>
    <w:p w:rsidR="00274914" w:rsidRPr="002F17B5" w:rsidRDefault="00274914" w:rsidP="00274914">
      <w:pPr>
        <w:rPr>
          <w:b/>
          <w:sz w:val="28"/>
          <w:szCs w:val="28"/>
        </w:rPr>
      </w:pPr>
    </w:p>
    <w:p w:rsidR="00274914" w:rsidRPr="002F17B5" w:rsidRDefault="00274914" w:rsidP="00274914">
      <w:pPr>
        <w:rPr>
          <w:b/>
          <w:sz w:val="28"/>
          <w:szCs w:val="28"/>
        </w:rPr>
      </w:pPr>
    </w:p>
    <w:p w:rsidR="00274914" w:rsidRPr="002F17B5" w:rsidRDefault="00274914" w:rsidP="00274914">
      <w:pPr>
        <w:rPr>
          <w:b/>
          <w:sz w:val="28"/>
          <w:szCs w:val="28"/>
        </w:rPr>
      </w:pPr>
    </w:p>
    <w:p w:rsidR="00274914" w:rsidRPr="002F17B5" w:rsidRDefault="00274914" w:rsidP="00274914">
      <w:pPr>
        <w:rPr>
          <w:b/>
          <w:sz w:val="28"/>
          <w:szCs w:val="28"/>
        </w:rPr>
      </w:pPr>
      <w:r w:rsidRPr="002F17B5">
        <w:rPr>
          <w:b/>
          <w:sz w:val="28"/>
          <w:szCs w:val="28"/>
        </w:rPr>
        <w:lastRenderedPageBreak/>
        <w:t>Accounts of the Fund</w:t>
      </w:r>
    </w:p>
    <w:p w:rsidR="00274914" w:rsidRPr="002F17B5" w:rsidRDefault="00274914" w:rsidP="00274914">
      <w:pPr>
        <w:rPr>
          <w:b/>
        </w:rPr>
      </w:pPr>
    </w:p>
    <w:p w:rsidR="00274914" w:rsidRPr="002F17B5" w:rsidRDefault="00274914" w:rsidP="00274914">
      <w:pPr>
        <w:rPr>
          <w:b/>
        </w:rPr>
      </w:pPr>
      <w:r w:rsidRPr="002F17B5">
        <w:rPr>
          <w:b/>
        </w:rPr>
        <w:t>Responsibilities for the Statement of Accounts</w:t>
      </w:r>
    </w:p>
    <w:p w:rsidR="00274914" w:rsidRPr="002F17B5" w:rsidRDefault="00274914" w:rsidP="00274914"/>
    <w:p w:rsidR="00274914" w:rsidRPr="002F17B5" w:rsidRDefault="00274914" w:rsidP="00274914">
      <w:pPr>
        <w:pStyle w:val="Heading4"/>
        <w:rPr>
          <w:szCs w:val="24"/>
        </w:rPr>
      </w:pPr>
      <w:r w:rsidRPr="002F17B5">
        <w:rPr>
          <w:szCs w:val="24"/>
        </w:rPr>
        <w:t>The Responsibilities of the Administering Authority</w:t>
      </w:r>
    </w:p>
    <w:p w:rsidR="00274914" w:rsidRPr="002F17B5" w:rsidRDefault="00274914" w:rsidP="00274914"/>
    <w:p w:rsidR="00274914" w:rsidRPr="002F17B5" w:rsidRDefault="00274914" w:rsidP="00274914">
      <w:r w:rsidRPr="002F17B5">
        <w:t>The Administering Authority is required:</w:t>
      </w:r>
    </w:p>
    <w:p w:rsidR="00274914" w:rsidRPr="002F17B5" w:rsidRDefault="00274914" w:rsidP="00274914"/>
    <w:p w:rsidR="00274914" w:rsidRPr="002F17B5" w:rsidRDefault="00274914" w:rsidP="009A4C35">
      <w:pPr>
        <w:numPr>
          <w:ilvl w:val="0"/>
          <w:numId w:val="74"/>
        </w:numPr>
        <w:autoSpaceDE/>
        <w:autoSpaceDN/>
        <w:adjustRightInd/>
        <w:spacing w:before="0" w:after="0"/>
      </w:pPr>
      <w:r w:rsidRPr="002F17B5">
        <w:t>To make arrangements for the proper administration of the financial affairs of the Lancashire County Pension Fund (Pension Fund), and to ensure that an officer has the responsibility for the administration of those affairs.  For Lancashire County Council, the respective officer is the County Treasurer, who is also the Treasurer to the Pension Fund;</w:t>
      </w:r>
    </w:p>
    <w:p w:rsidR="00274914" w:rsidRPr="002F17B5" w:rsidRDefault="00274914" w:rsidP="00274914"/>
    <w:p w:rsidR="00274914" w:rsidRPr="002F17B5" w:rsidRDefault="00274914" w:rsidP="009A4C35">
      <w:pPr>
        <w:numPr>
          <w:ilvl w:val="0"/>
          <w:numId w:val="74"/>
        </w:numPr>
        <w:autoSpaceDE/>
        <w:autoSpaceDN/>
        <w:adjustRightInd/>
        <w:spacing w:before="0" w:after="0"/>
      </w:pPr>
      <w:r w:rsidRPr="002F17B5">
        <w:t>To manage its affairs to secure economic, efficient and effective use of resources, and to safeguard its assets.</w:t>
      </w:r>
    </w:p>
    <w:p w:rsidR="00274914" w:rsidRPr="002F17B5" w:rsidRDefault="00274914" w:rsidP="00274914"/>
    <w:p w:rsidR="00274914" w:rsidRPr="002F17B5" w:rsidRDefault="00274914" w:rsidP="00274914">
      <w:pPr>
        <w:pStyle w:val="Heading4"/>
        <w:rPr>
          <w:szCs w:val="24"/>
        </w:rPr>
      </w:pPr>
      <w:r w:rsidRPr="002F17B5">
        <w:rPr>
          <w:szCs w:val="24"/>
        </w:rPr>
        <w:t>The Responsibilities of the Treasurer to the Pension Fund</w:t>
      </w:r>
    </w:p>
    <w:p w:rsidR="00274914" w:rsidRPr="002F17B5" w:rsidRDefault="00274914" w:rsidP="00274914"/>
    <w:p w:rsidR="00274914" w:rsidRPr="002F17B5" w:rsidRDefault="00274914" w:rsidP="00274914">
      <w:r w:rsidRPr="002F17B5">
        <w:t>The Treasurer to the Pension Fund is responsible for the preparation of the Pension Fund’s statement of accounts.  In accordance with the CIPFA Code of Practice on Local Authority Accounting in Great Britain (the Code), the statement is required to present fairly the financial position of the Pension Fund at the accounting date, and its income and expenditure for the year then ended.</w:t>
      </w:r>
    </w:p>
    <w:p w:rsidR="00274914" w:rsidRPr="002F17B5" w:rsidRDefault="00274914" w:rsidP="00274914"/>
    <w:p w:rsidR="00274914" w:rsidRPr="002F17B5" w:rsidRDefault="00274914" w:rsidP="00274914">
      <w:r w:rsidRPr="002F17B5">
        <w:t>In preparing this statement of accounts, the Treasurer to the Pension Fund has:</w:t>
      </w:r>
    </w:p>
    <w:p w:rsidR="00274914" w:rsidRPr="00803EAA" w:rsidRDefault="00274914" w:rsidP="00274914">
      <w:pPr>
        <w:rPr>
          <w:sz w:val="6"/>
        </w:rPr>
      </w:pPr>
    </w:p>
    <w:p w:rsidR="00274914" w:rsidRPr="002F17B5" w:rsidRDefault="00274914" w:rsidP="009A4C35">
      <w:pPr>
        <w:numPr>
          <w:ilvl w:val="0"/>
          <w:numId w:val="74"/>
        </w:numPr>
        <w:autoSpaceDE/>
        <w:autoSpaceDN/>
        <w:adjustRightInd/>
        <w:spacing w:before="0" w:after="0"/>
        <w:jc w:val="left"/>
      </w:pPr>
      <w:r w:rsidRPr="002F17B5">
        <w:t>Selected suitable accounting policies and then applied them consistently;</w:t>
      </w:r>
      <w:r w:rsidRPr="002F17B5">
        <w:br/>
      </w:r>
    </w:p>
    <w:p w:rsidR="00274914" w:rsidRPr="002F17B5" w:rsidRDefault="00274914" w:rsidP="009A4C35">
      <w:pPr>
        <w:numPr>
          <w:ilvl w:val="0"/>
          <w:numId w:val="74"/>
        </w:numPr>
        <w:autoSpaceDE/>
        <w:autoSpaceDN/>
        <w:adjustRightInd/>
        <w:spacing w:before="0" w:after="0"/>
        <w:jc w:val="left"/>
      </w:pPr>
      <w:r w:rsidRPr="002F17B5">
        <w:t>Made judgements and estimates that were reasonable and prudent;</w:t>
      </w:r>
      <w:r w:rsidRPr="002F17B5">
        <w:br/>
      </w:r>
    </w:p>
    <w:p w:rsidR="00274914" w:rsidRPr="002F17B5" w:rsidRDefault="00274914" w:rsidP="009A4C35">
      <w:pPr>
        <w:numPr>
          <w:ilvl w:val="0"/>
          <w:numId w:val="74"/>
        </w:numPr>
        <w:autoSpaceDE/>
        <w:autoSpaceDN/>
        <w:adjustRightInd/>
        <w:spacing w:before="0" w:after="0"/>
        <w:jc w:val="left"/>
      </w:pPr>
      <w:r w:rsidRPr="002F17B5">
        <w:t>Complied with the Code.</w:t>
      </w:r>
    </w:p>
    <w:p w:rsidR="00274914" w:rsidRPr="002F17B5" w:rsidRDefault="00274914" w:rsidP="00274914"/>
    <w:p w:rsidR="00274914" w:rsidRPr="002F17B5" w:rsidRDefault="00274914" w:rsidP="00274914">
      <w:r w:rsidRPr="002F17B5">
        <w:t>In addition, the Treasurer to the Pension Fund has:</w:t>
      </w:r>
    </w:p>
    <w:p w:rsidR="00274914" w:rsidRPr="00803EAA" w:rsidRDefault="00274914" w:rsidP="00274914">
      <w:pPr>
        <w:rPr>
          <w:sz w:val="14"/>
        </w:rPr>
      </w:pPr>
    </w:p>
    <w:p w:rsidR="00274914" w:rsidRPr="002F17B5" w:rsidRDefault="00274914" w:rsidP="009A4C35">
      <w:pPr>
        <w:numPr>
          <w:ilvl w:val="0"/>
          <w:numId w:val="74"/>
        </w:numPr>
        <w:autoSpaceDE/>
        <w:autoSpaceDN/>
        <w:adjustRightInd/>
        <w:spacing w:before="0" w:after="0"/>
        <w:jc w:val="left"/>
      </w:pPr>
      <w:r w:rsidRPr="002F17B5">
        <w:t>Kept proper accounting records which were up to date;</w:t>
      </w:r>
    </w:p>
    <w:p w:rsidR="00274914" w:rsidRPr="002F17B5" w:rsidRDefault="00274914" w:rsidP="00274914">
      <w:pPr>
        <w:pStyle w:val="Header"/>
      </w:pPr>
    </w:p>
    <w:p w:rsidR="00274914" w:rsidRPr="002F17B5" w:rsidRDefault="00274914" w:rsidP="009A4C35">
      <w:pPr>
        <w:numPr>
          <w:ilvl w:val="0"/>
          <w:numId w:val="74"/>
        </w:numPr>
        <w:autoSpaceDE/>
        <w:autoSpaceDN/>
        <w:adjustRightInd/>
        <w:spacing w:before="0" w:after="0"/>
        <w:jc w:val="left"/>
      </w:pPr>
      <w:r w:rsidRPr="002F17B5">
        <w:t>Taken responsible steps for the prevention and detection of fraud and other irregularities.</w:t>
      </w:r>
    </w:p>
    <w:p w:rsidR="00274914" w:rsidRPr="002F17B5" w:rsidRDefault="00274914" w:rsidP="00274914">
      <w:pPr>
        <w:pStyle w:val="Heading5"/>
        <w:spacing w:line="360" w:lineRule="auto"/>
        <w:jc w:val="center"/>
        <w:rPr>
          <w:szCs w:val="24"/>
        </w:rPr>
      </w:pPr>
    </w:p>
    <w:p w:rsidR="00274914" w:rsidRPr="002F17B5" w:rsidRDefault="00274914" w:rsidP="00274914">
      <w:r w:rsidRPr="002F17B5">
        <w:lastRenderedPageBreak/>
        <w:t>The Statement of Accounts relate to the financial year ended 31 March 2014 and include the Fund Account and the Statement of Net Assets which are prepared in accordance with standard accounting practice as outlined in the notes to the accounts of the Pension Fund.</w:t>
      </w:r>
    </w:p>
    <w:p w:rsidR="00274914" w:rsidRPr="002F17B5" w:rsidRDefault="00274914" w:rsidP="00274914"/>
    <w:p w:rsidR="00274914" w:rsidRPr="002F17B5" w:rsidRDefault="00274914" w:rsidP="00274914"/>
    <w:p w:rsidR="00274914" w:rsidRPr="002F17B5" w:rsidRDefault="00274914" w:rsidP="00274914"/>
    <w:p w:rsidR="00274914" w:rsidRPr="002F17B5" w:rsidRDefault="00274914" w:rsidP="00274914"/>
    <w:p w:rsidR="00274914" w:rsidRPr="002F17B5" w:rsidRDefault="00274914" w:rsidP="00274914">
      <w:r w:rsidRPr="002F17B5">
        <w:t>Gill Kilpatrick CPFA</w:t>
      </w:r>
    </w:p>
    <w:p w:rsidR="00274914" w:rsidRPr="002F17B5" w:rsidRDefault="00274914" w:rsidP="00274914">
      <w:r w:rsidRPr="002F17B5">
        <w:t>Treasurer to the Lancashire County Pension Fund</w:t>
      </w:r>
    </w:p>
    <w:p w:rsidR="00274914" w:rsidRPr="002F17B5" w:rsidRDefault="00D0054C" w:rsidP="00274914">
      <w:r>
        <w:t>29</w:t>
      </w:r>
      <w:r w:rsidR="00274914" w:rsidRPr="002F17B5">
        <w:t xml:space="preserve"> </w:t>
      </w:r>
      <w:r w:rsidR="002C38A1">
        <w:t>September</w:t>
      </w:r>
      <w:r w:rsidR="00274914" w:rsidRPr="002F17B5">
        <w:t xml:space="preserve"> 2014</w:t>
      </w:r>
    </w:p>
    <w:p w:rsidR="00274914" w:rsidRPr="002F17B5" w:rsidRDefault="00274914" w:rsidP="00274914">
      <w:pPr>
        <w:rPr>
          <w:rFonts w:ascii="ArialMT" w:hAnsi="ArialMT" w:cs="ArialMT"/>
        </w:rPr>
      </w:pPr>
      <w:r w:rsidRPr="002F17B5">
        <w:rPr>
          <w:rFonts w:ascii="ArialMT" w:hAnsi="ArialMT" w:cs="ArialMT"/>
        </w:rPr>
        <w:t xml:space="preserve"> </w:t>
      </w:r>
    </w:p>
    <w:p w:rsidR="00274914" w:rsidRPr="002F17B5" w:rsidRDefault="00274914" w:rsidP="00274914">
      <w:pPr>
        <w:rPr>
          <w:b/>
          <w:sz w:val="28"/>
          <w:szCs w:val="28"/>
        </w:rPr>
      </w:pPr>
    </w:p>
    <w:p w:rsidR="00274914" w:rsidRPr="002F17B5" w:rsidRDefault="00274914" w:rsidP="00274914">
      <w:pPr>
        <w:rPr>
          <w:b/>
          <w:sz w:val="28"/>
          <w:szCs w:val="28"/>
        </w:rPr>
      </w:pPr>
    </w:p>
    <w:p w:rsidR="00274914" w:rsidRPr="002F17B5" w:rsidRDefault="00274914" w:rsidP="00274914">
      <w:pPr>
        <w:rPr>
          <w:b/>
          <w:sz w:val="28"/>
          <w:szCs w:val="28"/>
        </w:rPr>
      </w:pPr>
    </w:p>
    <w:p w:rsidR="00274914" w:rsidRPr="002F17B5" w:rsidRDefault="00274914">
      <w:pPr>
        <w:autoSpaceDE/>
        <w:autoSpaceDN/>
        <w:adjustRightInd/>
        <w:spacing w:after="20"/>
        <w:jc w:val="right"/>
        <w:rPr>
          <w:rFonts w:cs="Arial"/>
          <w:b/>
          <w:bCs/>
          <w:sz w:val="26"/>
          <w:szCs w:val="22"/>
        </w:rPr>
      </w:pPr>
      <w:r w:rsidRPr="002F17B5">
        <w:rPr>
          <w:rFonts w:cs="Arial"/>
          <w:b/>
          <w:bCs/>
          <w:sz w:val="26"/>
          <w:szCs w:val="22"/>
        </w:rPr>
        <w:br w:type="page"/>
      </w:r>
    </w:p>
    <w:p w:rsidR="00274914" w:rsidRPr="002F17B5" w:rsidRDefault="00274914" w:rsidP="00274914">
      <w:pPr>
        <w:jc w:val="center"/>
        <w:rPr>
          <w:rFonts w:cs="Arial"/>
          <w:b/>
          <w:bCs/>
          <w:sz w:val="26"/>
          <w:szCs w:val="22"/>
        </w:rPr>
      </w:pPr>
    </w:p>
    <w:p w:rsidR="00274914" w:rsidRPr="009205CF" w:rsidRDefault="00274914" w:rsidP="00274914">
      <w:pPr>
        <w:rPr>
          <w:b/>
          <w:color w:val="FFFFFF" w:themeColor="background1"/>
        </w:rPr>
      </w:pPr>
      <w:r w:rsidRPr="009205CF">
        <w:rPr>
          <w:b/>
          <w:color w:val="FFFFFF" w:themeColor="background1"/>
        </w:rPr>
        <w:t xml:space="preserve">INDEPENDENT AUDITOR’S REPORT TO THE MEMBERS OF LANCASHIRE COUNTY </w:t>
      </w:r>
      <w:r w:rsidR="002C38A1" w:rsidRPr="009205CF">
        <w:rPr>
          <w:b/>
          <w:color w:val="FFFFFF" w:themeColor="background1"/>
        </w:rPr>
        <w:t>COUNCIL</w:t>
      </w:r>
    </w:p>
    <w:p w:rsidR="002C38A1" w:rsidRPr="009205CF" w:rsidRDefault="002C38A1" w:rsidP="00274914">
      <w:pPr>
        <w:rPr>
          <w:b/>
          <w:color w:val="FFFFFF" w:themeColor="background1"/>
        </w:rPr>
      </w:pPr>
    </w:p>
    <w:p w:rsidR="002C38A1" w:rsidRPr="009205CF" w:rsidRDefault="002C38A1" w:rsidP="002C38A1">
      <w:pPr>
        <w:spacing w:after="0"/>
        <w:rPr>
          <w:rFonts w:ascii="Times New Roman" w:hAnsi="Times New Roman"/>
          <w:color w:val="FFFFFF" w:themeColor="background1"/>
          <w:szCs w:val="22"/>
          <w:lang w:eastAsia="en-GB"/>
        </w:rPr>
      </w:pPr>
      <w:r w:rsidRPr="009205CF">
        <w:rPr>
          <w:b/>
          <w:bCs/>
          <w:color w:val="FFFFFF" w:themeColor="background1"/>
          <w:kern w:val="24"/>
          <w:szCs w:val="22"/>
          <w:lang w:eastAsia="en-GB"/>
        </w:rPr>
        <w:t>Opinion on the pension fund financial statements</w:t>
      </w:r>
    </w:p>
    <w:p w:rsidR="002C38A1" w:rsidRPr="009205CF" w:rsidRDefault="002C38A1" w:rsidP="002C38A1">
      <w:pPr>
        <w:spacing w:after="0"/>
        <w:rPr>
          <w:rFonts w:ascii="Times New Roman" w:hAnsi="Times New Roman"/>
          <w:color w:val="FFFFFF" w:themeColor="background1"/>
          <w:lang w:eastAsia="en-GB"/>
        </w:rPr>
      </w:pPr>
      <w:r w:rsidRPr="009205CF">
        <w:rPr>
          <w:b/>
          <w:bCs/>
          <w:color w:val="FFFFFF" w:themeColor="background1"/>
          <w:kern w:val="24"/>
          <w:sz w:val="16"/>
          <w:szCs w:val="16"/>
          <w:lang w:eastAsia="en-GB"/>
        </w:rPr>
        <w:t> </w:t>
      </w:r>
    </w:p>
    <w:p w:rsidR="002C38A1" w:rsidRPr="009205CF" w:rsidRDefault="002C38A1" w:rsidP="002C38A1">
      <w:pPr>
        <w:spacing w:after="0"/>
        <w:rPr>
          <w:rFonts w:ascii="Times New Roman" w:hAnsi="Times New Roman"/>
          <w:color w:val="FFFFFF" w:themeColor="background1"/>
          <w:sz w:val="22"/>
          <w:szCs w:val="22"/>
          <w:lang w:eastAsia="en-GB"/>
        </w:rPr>
      </w:pPr>
      <w:r w:rsidRPr="009205CF">
        <w:rPr>
          <w:color w:val="FFFFFF" w:themeColor="background1"/>
          <w:kern w:val="24"/>
          <w:szCs w:val="22"/>
          <w:lang w:eastAsia="en-GB"/>
        </w:rPr>
        <w:t>We have audited the pension fund financial statements of Lancashire County Council</w:t>
      </w:r>
      <w:r w:rsidRPr="009205CF">
        <w:rPr>
          <w:rFonts w:cs="Arial"/>
          <w:color w:val="FFFFFF" w:themeColor="background1"/>
          <w:kern w:val="24"/>
          <w:szCs w:val="22"/>
          <w:lang w:eastAsia="en-GB"/>
        </w:rPr>
        <w:t xml:space="preserve"> </w:t>
      </w:r>
      <w:r w:rsidRPr="009205CF">
        <w:rPr>
          <w:color w:val="FFFFFF" w:themeColor="background1"/>
          <w:kern w:val="24"/>
          <w:szCs w:val="22"/>
          <w:lang w:eastAsia="en-GB"/>
        </w:rPr>
        <w:t>for the year ended 31 March 2014 under the Audit Commission Act 1998. The pension fund financial statements comprise the Fund Account, the Net Assets Statement and the related notes. The financial reporting framework that has been applied in their preparation is applicable law and the CIPFA/LASAAC Code of Practice on Local Authority Accounting in the United Kingdom 2013/14.</w:t>
      </w:r>
    </w:p>
    <w:p w:rsidR="002C38A1" w:rsidRPr="009205CF" w:rsidRDefault="002C38A1" w:rsidP="002C38A1">
      <w:pPr>
        <w:spacing w:after="0"/>
        <w:rPr>
          <w:rFonts w:ascii="Times New Roman" w:hAnsi="Times New Roman"/>
          <w:color w:val="FFFFFF" w:themeColor="background1"/>
          <w:szCs w:val="22"/>
          <w:lang w:eastAsia="en-GB"/>
        </w:rPr>
      </w:pPr>
      <w:r w:rsidRPr="009205CF">
        <w:rPr>
          <w:color w:val="FFFFFF" w:themeColor="background1"/>
          <w:kern w:val="24"/>
          <w:szCs w:val="22"/>
          <w:lang w:eastAsia="en-GB"/>
        </w:rPr>
        <w:t> </w:t>
      </w:r>
    </w:p>
    <w:p w:rsidR="002C38A1" w:rsidRPr="009205CF" w:rsidRDefault="002C38A1" w:rsidP="002C38A1">
      <w:pPr>
        <w:spacing w:after="0"/>
        <w:rPr>
          <w:rFonts w:ascii="Times New Roman" w:hAnsi="Times New Roman"/>
          <w:color w:val="FFFFFF" w:themeColor="background1"/>
          <w:szCs w:val="22"/>
          <w:lang w:eastAsia="en-GB"/>
        </w:rPr>
      </w:pPr>
      <w:r w:rsidRPr="009205CF">
        <w:rPr>
          <w:color w:val="FFFFFF" w:themeColor="background1"/>
          <w:kern w:val="24"/>
          <w:szCs w:val="22"/>
          <w:lang w:eastAsia="en-GB"/>
        </w:rPr>
        <w:t xml:space="preserve">This report is made solely to the members of Lancashire County Council in accordance with Part II of the Audit Commission Act 1998 and for no other purpose, as set out in paragraph 48 of the Statement of Responsibilities of Auditors and Audited Bodies published by the Audit Commission in March 2010. </w:t>
      </w:r>
      <w:r w:rsidRPr="009205CF">
        <w:rPr>
          <w:rFonts w:cs="Arial"/>
          <w:color w:val="FFFFFF" w:themeColor="background1"/>
          <w:kern w:val="24"/>
          <w:szCs w:val="22"/>
          <w:lang w:eastAsia="en-GB"/>
        </w:rPr>
        <w:t>To the fullest extent permitted by law, we do not accept or assume responsibility to anyone other than the Authority and the Authority's Members as a body, for our audit work, for this report, or for the opinions we have formed.</w:t>
      </w:r>
    </w:p>
    <w:p w:rsidR="00274914" w:rsidRPr="009205CF" w:rsidRDefault="00274914" w:rsidP="00274914">
      <w:pPr>
        <w:rPr>
          <w:rFonts w:cs="Arial"/>
          <w:b/>
          <w:color w:val="FFFFFF" w:themeColor="background1"/>
        </w:rPr>
      </w:pPr>
    </w:p>
    <w:p w:rsidR="00AA2032" w:rsidRPr="009205CF" w:rsidRDefault="00AA2032" w:rsidP="00AA2032">
      <w:pPr>
        <w:autoSpaceDE/>
        <w:autoSpaceDN/>
        <w:adjustRightInd/>
        <w:spacing w:before="0" w:after="0"/>
        <w:jc w:val="left"/>
        <w:rPr>
          <w:rFonts w:eastAsia="Times New Roman" w:cs="Arial"/>
          <w:b/>
          <w:color w:val="FFFFFF" w:themeColor="background1"/>
          <w:szCs w:val="20"/>
          <w:lang w:eastAsia="en-GB"/>
        </w:rPr>
      </w:pPr>
    </w:p>
    <w:p w:rsidR="00AA2032" w:rsidRPr="009205CF" w:rsidRDefault="00AA2032" w:rsidP="00AA2032">
      <w:pPr>
        <w:autoSpaceDE/>
        <w:autoSpaceDN/>
        <w:adjustRightInd/>
        <w:spacing w:before="0" w:after="240"/>
        <w:ind w:right="-180"/>
        <w:jc w:val="left"/>
        <w:rPr>
          <w:rFonts w:eastAsia="Times New Roman" w:cs="Times New Roman"/>
          <w:b/>
          <w:color w:val="FFFFFF" w:themeColor="background1"/>
          <w:lang w:eastAsia="en-GB"/>
        </w:rPr>
      </w:pPr>
      <w:r w:rsidRPr="009205CF">
        <w:rPr>
          <w:rFonts w:eastAsia="Times New Roman" w:cs="Times New Roman"/>
          <w:b/>
          <w:color w:val="FFFFFF" w:themeColor="background1"/>
          <w:lang w:eastAsia="en-GB"/>
        </w:rPr>
        <w:t>Respective responsibilities of the Treasurer and the auditor</w:t>
      </w:r>
    </w:p>
    <w:p w:rsidR="002C38A1" w:rsidRPr="009205CF" w:rsidRDefault="002C38A1" w:rsidP="002C38A1">
      <w:pPr>
        <w:spacing w:after="0"/>
        <w:rPr>
          <w:rFonts w:ascii="Times New Roman" w:hAnsi="Times New Roman"/>
          <w:color w:val="FFFFFF" w:themeColor="background1"/>
          <w:szCs w:val="22"/>
          <w:lang w:eastAsia="en-GB"/>
        </w:rPr>
      </w:pPr>
      <w:r w:rsidRPr="009205CF">
        <w:rPr>
          <w:color w:val="FFFFFF" w:themeColor="background1"/>
          <w:kern w:val="24"/>
          <w:szCs w:val="22"/>
          <w:lang w:eastAsia="en-GB"/>
        </w:rPr>
        <w:t xml:space="preserve">As explained more fully in the Statement of responsibilities for the statement of accounts , the Treasurer is </w:t>
      </w:r>
      <w:r w:rsidRPr="009205CF">
        <w:rPr>
          <w:rFonts w:cs="Arial"/>
          <w:color w:val="FFFFFF" w:themeColor="background1"/>
          <w:kern w:val="24"/>
          <w:szCs w:val="22"/>
          <w:lang w:eastAsia="en-GB"/>
        </w:rPr>
        <w:t>responsible for the preparation of the Authority’s Statement of Accounts, which includes the pension fund financial statements, in accordance with proper practices as set out in the CIPFA/LASAAC Code of Practice on Local Authority Accounting in the United Kingdom, and for being satisfied that they give a true and fair view. Our responsibility is to audit and express an opinion on the financial statements in accordance with applicable law and International Standards on Auditing (UK and Ireland). Those standards require us to comply with the Auditing Practices Board’s Ethical Standards for Auditors.</w:t>
      </w:r>
    </w:p>
    <w:p w:rsidR="002C38A1" w:rsidRPr="009205CF" w:rsidRDefault="002C38A1" w:rsidP="00AA2032">
      <w:pPr>
        <w:autoSpaceDE/>
        <w:autoSpaceDN/>
        <w:adjustRightInd/>
        <w:spacing w:before="0" w:after="240"/>
        <w:ind w:right="-180"/>
        <w:jc w:val="left"/>
        <w:rPr>
          <w:rFonts w:eastAsia="Times New Roman" w:cs="Times New Roman"/>
          <w:b/>
          <w:color w:val="FFFFFF" w:themeColor="background1"/>
          <w:lang w:eastAsia="en-GB"/>
        </w:rPr>
      </w:pPr>
    </w:p>
    <w:p w:rsidR="002C38A1" w:rsidRPr="009205CF" w:rsidRDefault="002C38A1" w:rsidP="002C38A1">
      <w:pPr>
        <w:spacing w:after="0"/>
        <w:rPr>
          <w:rFonts w:ascii="Times New Roman" w:hAnsi="Times New Roman"/>
          <w:color w:val="FFFFFF" w:themeColor="background1"/>
          <w:szCs w:val="22"/>
          <w:lang w:eastAsia="en-GB"/>
        </w:rPr>
      </w:pPr>
      <w:r w:rsidRPr="009205CF">
        <w:rPr>
          <w:rFonts w:cs="Arial"/>
          <w:b/>
          <w:bCs/>
          <w:color w:val="FFFFFF" w:themeColor="background1"/>
          <w:kern w:val="24"/>
          <w:szCs w:val="22"/>
          <w:lang w:eastAsia="en-GB"/>
        </w:rPr>
        <w:t>Scope of the audit of the pension fund financial statements</w:t>
      </w:r>
    </w:p>
    <w:p w:rsidR="002C38A1" w:rsidRPr="009205CF" w:rsidRDefault="002C38A1" w:rsidP="002C38A1">
      <w:pPr>
        <w:spacing w:after="0"/>
        <w:rPr>
          <w:rFonts w:ascii="Times New Roman" w:hAnsi="Times New Roman"/>
          <w:color w:val="FFFFFF" w:themeColor="background1"/>
          <w:lang w:eastAsia="en-GB"/>
        </w:rPr>
      </w:pPr>
      <w:r w:rsidRPr="009205CF">
        <w:rPr>
          <w:rFonts w:cs="Arial"/>
          <w:b/>
          <w:bCs/>
          <w:color w:val="FFFFFF" w:themeColor="background1"/>
          <w:kern w:val="24"/>
          <w:sz w:val="16"/>
          <w:szCs w:val="16"/>
          <w:lang w:eastAsia="en-GB"/>
        </w:rPr>
        <w:t> </w:t>
      </w:r>
    </w:p>
    <w:p w:rsidR="002C38A1" w:rsidRPr="009205CF" w:rsidRDefault="002C38A1" w:rsidP="002C38A1">
      <w:pPr>
        <w:pStyle w:val="NormalWeb"/>
        <w:spacing w:before="0" w:after="0"/>
        <w:rPr>
          <w:color w:val="FFFFFF" w:themeColor="background1"/>
          <w:szCs w:val="22"/>
        </w:rPr>
      </w:pPr>
      <w:r w:rsidRPr="009205CF">
        <w:rPr>
          <w:rFonts w:ascii="Arial" w:hAnsi="Arial" w:cs="Arial"/>
          <w:color w:val="FFFFFF" w:themeColor="background1"/>
          <w:kern w:val="24"/>
          <w:szCs w:val="22"/>
        </w:rPr>
        <w:t>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fund’s circumstances and have been consistently applied and adequately disclosed; the reasonableness of significant accounting estimates made by the Treasurer; and the overall presentation of the financial statements. In addition, we read all the financial and non-financial information in the Introduction</w:t>
      </w:r>
      <w:r w:rsidRPr="009205CF">
        <w:rPr>
          <w:rFonts w:cs="Arial"/>
          <w:color w:val="FFFFFF" w:themeColor="background1"/>
          <w:kern w:val="24"/>
          <w:sz w:val="28"/>
          <w:szCs w:val="16"/>
        </w:rPr>
        <w:t xml:space="preserve"> </w:t>
      </w:r>
      <w:r w:rsidRPr="009205CF">
        <w:rPr>
          <w:rFonts w:ascii="Arial" w:hAnsi="Arial" w:cs="Arial"/>
          <w:color w:val="FFFFFF" w:themeColor="background1"/>
          <w:kern w:val="24"/>
          <w:szCs w:val="22"/>
        </w:rPr>
        <w:t xml:space="preserve">to identify material inconsistencies with the audited financial statements </w:t>
      </w:r>
      <w:r w:rsidRPr="009205CF">
        <w:rPr>
          <w:rFonts w:ascii="Arial" w:hAnsi="Arial"/>
          <w:color w:val="FFFFFF" w:themeColor="background1"/>
          <w:kern w:val="24"/>
          <w:szCs w:val="22"/>
        </w:rPr>
        <w:t>and to identify any information that is apparently materially incorrect based on, or materially inconsistent with, the knowledge acquired by us in the course of performing the audit</w:t>
      </w:r>
      <w:r w:rsidRPr="009205CF">
        <w:rPr>
          <w:rFonts w:ascii="Arial" w:hAnsi="Arial" w:cs="Arial"/>
          <w:color w:val="FFFFFF" w:themeColor="background1"/>
          <w:kern w:val="24"/>
          <w:szCs w:val="22"/>
        </w:rPr>
        <w:t>. If we become aware of any apparent material misstatements or inconsistencies we consider the implications for our report.</w:t>
      </w:r>
    </w:p>
    <w:p w:rsidR="00AA2032" w:rsidRPr="002C38A1" w:rsidRDefault="00AA2032" w:rsidP="00AA2032">
      <w:pPr>
        <w:autoSpaceDE/>
        <w:autoSpaceDN/>
        <w:adjustRightInd/>
        <w:spacing w:before="0" w:after="240"/>
        <w:ind w:right="-180"/>
        <w:jc w:val="left"/>
        <w:rPr>
          <w:rFonts w:eastAsia="Times New Roman" w:cs="Times New Roman"/>
          <w:b/>
          <w:color w:val="auto"/>
          <w:sz w:val="28"/>
          <w:lang w:eastAsia="en-GB"/>
        </w:rPr>
      </w:pPr>
    </w:p>
    <w:p w:rsidR="002C38A1" w:rsidRPr="002C38A1" w:rsidRDefault="002C38A1" w:rsidP="00AA2032">
      <w:pPr>
        <w:autoSpaceDE/>
        <w:autoSpaceDN/>
        <w:adjustRightInd/>
        <w:spacing w:before="0" w:after="240"/>
        <w:ind w:right="-180"/>
        <w:jc w:val="left"/>
        <w:rPr>
          <w:rFonts w:eastAsia="Times New Roman" w:cs="Times New Roman"/>
          <w:color w:val="auto"/>
          <w:sz w:val="28"/>
          <w:lang w:eastAsia="en-GB"/>
        </w:rPr>
      </w:pPr>
    </w:p>
    <w:p w:rsidR="002C38A1" w:rsidRPr="009205CF" w:rsidRDefault="002C38A1" w:rsidP="002C38A1">
      <w:pPr>
        <w:pStyle w:val="NormalWeb"/>
        <w:spacing w:before="0" w:after="0"/>
        <w:rPr>
          <w:color w:val="FFFFFF" w:themeColor="background1"/>
          <w:szCs w:val="24"/>
        </w:rPr>
      </w:pPr>
      <w:r w:rsidRPr="009205CF">
        <w:rPr>
          <w:rFonts w:ascii="Arial" w:hAnsi="Arial" w:cs="Arial"/>
          <w:b/>
          <w:bCs/>
          <w:color w:val="FFFFFF" w:themeColor="background1"/>
          <w:kern w:val="24"/>
          <w:szCs w:val="24"/>
        </w:rPr>
        <w:t>Opinion on the pension fund financial statements</w:t>
      </w:r>
    </w:p>
    <w:p w:rsidR="002C38A1" w:rsidRPr="009205CF" w:rsidRDefault="002C38A1" w:rsidP="002C38A1">
      <w:pPr>
        <w:pStyle w:val="NormalWeb"/>
        <w:spacing w:before="0" w:after="0"/>
        <w:rPr>
          <w:color w:val="FFFFFF" w:themeColor="background1"/>
          <w:szCs w:val="24"/>
        </w:rPr>
      </w:pPr>
      <w:r w:rsidRPr="009205CF">
        <w:rPr>
          <w:rFonts w:ascii="Arial" w:hAnsi="Arial" w:cs="Arial"/>
          <w:b/>
          <w:bCs/>
          <w:color w:val="FFFFFF" w:themeColor="background1"/>
          <w:kern w:val="24"/>
          <w:szCs w:val="24"/>
        </w:rPr>
        <w:t> </w:t>
      </w:r>
    </w:p>
    <w:p w:rsidR="002C38A1" w:rsidRPr="009205CF" w:rsidRDefault="002C38A1" w:rsidP="002C38A1">
      <w:pPr>
        <w:pStyle w:val="NormalWeb"/>
        <w:spacing w:before="0" w:after="0"/>
        <w:rPr>
          <w:color w:val="FFFFFF" w:themeColor="background1"/>
          <w:szCs w:val="24"/>
        </w:rPr>
      </w:pPr>
      <w:r w:rsidRPr="009205CF">
        <w:rPr>
          <w:rFonts w:ascii="Arial" w:hAnsi="Arial" w:cs="Arial"/>
          <w:color w:val="FFFFFF" w:themeColor="background1"/>
          <w:kern w:val="24"/>
          <w:szCs w:val="24"/>
        </w:rPr>
        <w:t>In our opinion the pension fund’s financial statements:</w:t>
      </w:r>
    </w:p>
    <w:p w:rsidR="002C38A1" w:rsidRPr="009205CF" w:rsidRDefault="002C38A1" w:rsidP="009A4C35">
      <w:pPr>
        <w:pStyle w:val="ListParagraph"/>
        <w:numPr>
          <w:ilvl w:val="0"/>
          <w:numId w:val="87"/>
        </w:numPr>
        <w:tabs>
          <w:tab w:val="left" w:pos="757"/>
        </w:tabs>
        <w:autoSpaceDE/>
        <w:autoSpaceDN/>
        <w:adjustRightInd/>
        <w:spacing w:before="0" w:after="0"/>
        <w:jc w:val="left"/>
        <w:rPr>
          <w:color w:val="FFFFFF" w:themeColor="background1"/>
        </w:rPr>
      </w:pPr>
      <w:r w:rsidRPr="009205CF">
        <w:rPr>
          <w:rFonts w:cs="Arial"/>
          <w:color w:val="FFFFFF" w:themeColor="background1"/>
          <w:kern w:val="24"/>
        </w:rPr>
        <w:t>give a true and fair view of the financial transactions of the pension fund during the year ended 31 March 2014 and the amount and disposition of the fund’s assets and liabilities as at 31 March 2014; and</w:t>
      </w:r>
    </w:p>
    <w:p w:rsidR="002C38A1" w:rsidRPr="009205CF" w:rsidRDefault="002C38A1" w:rsidP="009A4C35">
      <w:pPr>
        <w:pStyle w:val="ListParagraph"/>
        <w:numPr>
          <w:ilvl w:val="0"/>
          <w:numId w:val="87"/>
        </w:numPr>
        <w:tabs>
          <w:tab w:val="left" w:pos="757"/>
        </w:tabs>
        <w:autoSpaceDE/>
        <w:autoSpaceDN/>
        <w:adjustRightInd/>
        <w:spacing w:before="0" w:after="0"/>
        <w:jc w:val="left"/>
        <w:rPr>
          <w:color w:val="FFFFFF" w:themeColor="background1"/>
        </w:rPr>
      </w:pPr>
      <w:r w:rsidRPr="009205CF">
        <w:rPr>
          <w:rFonts w:cs="Arial"/>
          <w:color w:val="FFFFFF" w:themeColor="background1"/>
          <w:kern w:val="24"/>
        </w:rPr>
        <w:t>have been properly prepared in accordance with the CIPFA/LASAAC Code of Practice on Local Authority Accounting in the United Kingdom 2013/14 and applicable law.</w:t>
      </w:r>
    </w:p>
    <w:p w:rsidR="002C38A1" w:rsidRPr="009205CF" w:rsidRDefault="002C38A1" w:rsidP="002C38A1">
      <w:pPr>
        <w:pStyle w:val="NormalWeb"/>
        <w:spacing w:before="0" w:after="0"/>
        <w:rPr>
          <w:color w:val="FFFFFF" w:themeColor="background1"/>
          <w:szCs w:val="24"/>
        </w:rPr>
      </w:pPr>
      <w:r w:rsidRPr="009205CF">
        <w:rPr>
          <w:rFonts w:ascii="Arial" w:hAnsi="Arial" w:cs="Arial"/>
          <w:color w:val="FFFFFF" w:themeColor="background1"/>
          <w:kern w:val="24"/>
          <w:szCs w:val="24"/>
        </w:rPr>
        <w:t> </w:t>
      </w:r>
      <w:r w:rsidRPr="009205CF">
        <w:rPr>
          <w:rFonts w:ascii="Arial" w:hAnsi="Arial" w:cstheme="minorBidi"/>
          <w:b/>
          <w:bCs/>
          <w:color w:val="FFFFFF" w:themeColor="background1"/>
          <w:kern w:val="24"/>
          <w:szCs w:val="24"/>
        </w:rPr>
        <w:t> </w:t>
      </w:r>
    </w:p>
    <w:p w:rsidR="002C38A1" w:rsidRPr="009205CF" w:rsidRDefault="002C38A1" w:rsidP="002C38A1">
      <w:pPr>
        <w:pStyle w:val="NormalWeb"/>
        <w:spacing w:before="0" w:after="0"/>
        <w:rPr>
          <w:color w:val="FFFFFF" w:themeColor="background1"/>
          <w:szCs w:val="24"/>
        </w:rPr>
      </w:pPr>
      <w:r w:rsidRPr="009205CF">
        <w:rPr>
          <w:rFonts w:ascii="Arial" w:hAnsi="Arial" w:cs="Arial"/>
          <w:b/>
          <w:bCs/>
          <w:color w:val="FFFFFF" w:themeColor="background1"/>
          <w:kern w:val="24"/>
          <w:szCs w:val="24"/>
        </w:rPr>
        <w:t>Opinion on other matters</w:t>
      </w:r>
    </w:p>
    <w:p w:rsidR="002C38A1" w:rsidRPr="009205CF" w:rsidRDefault="002C38A1" w:rsidP="002C38A1">
      <w:pPr>
        <w:pStyle w:val="NormalWeb"/>
        <w:spacing w:before="0" w:after="0"/>
        <w:rPr>
          <w:color w:val="FFFFFF" w:themeColor="background1"/>
          <w:szCs w:val="24"/>
        </w:rPr>
      </w:pPr>
      <w:r w:rsidRPr="009205CF">
        <w:rPr>
          <w:rFonts w:ascii="Arial" w:hAnsi="Arial" w:cs="Arial"/>
          <w:b/>
          <w:bCs/>
          <w:color w:val="FFFFFF" w:themeColor="background1"/>
          <w:kern w:val="24"/>
          <w:szCs w:val="24"/>
        </w:rPr>
        <w:t> </w:t>
      </w:r>
    </w:p>
    <w:p w:rsidR="002C38A1" w:rsidRPr="009205CF" w:rsidRDefault="002C38A1" w:rsidP="002C38A1">
      <w:pPr>
        <w:pStyle w:val="NormalWeb"/>
        <w:spacing w:before="0" w:after="0"/>
        <w:rPr>
          <w:color w:val="FFFFFF" w:themeColor="background1"/>
          <w:szCs w:val="24"/>
        </w:rPr>
      </w:pPr>
      <w:r w:rsidRPr="009205CF">
        <w:rPr>
          <w:rFonts w:ascii="Arial" w:hAnsi="Arial" w:cs="Arial"/>
          <w:color w:val="FFFFFF" w:themeColor="background1"/>
          <w:kern w:val="24"/>
          <w:szCs w:val="24"/>
        </w:rPr>
        <w:t>In our opinion, the information given in the Introduction for the financial year for which the financial statements are prepared is consistent with the financial statements.</w:t>
      </w:r>
    </w:p>
    <w:p w:rsidR="002C38A1" w:rsidRPr="009205CF" w:rsidRDefault="002C38A1" w:rsidP="002C38A1">
      <w:pPr>
        <w:pStyle w:val="NormalWeb"/>
        <w:spacing w:before="120" w:after="0" w:line="264" w:lineRule="auto"/>
        <w:rPr>
          <w:rFonts w:ascii="Arial" w:hAnsi="Arial" w:cstheme="minorBidi"/>
          <w:color w:val="FFFFFF" w:themeColor="background1"/>
          <w:kern w:val="24"/>
          <w:szCs w:val="24"/>
        </w:rPr>
      </w:pPr>
    </w:p>
    <w:p w:rsidR="002C38A1" w:rsidRPr="009205CF" w:rsidRDefault="002C38A1" w:rsidP="002C38A1">
      <w:pPr>
        <w:pStyle w:val="NormalWeb"/>
        <w:spacing w:before="120" w:after="0" w:line="264" w:lineRule="auto"/>
        <w:rPr>
          <w:rFonts w:ascii="Arial" w:hAnsi="Arial" w:cstheme="minorBidi"/>
          <w:color w:val="FFFFFF" w:themeColor="background1"/>
          <w:kern w:val="24"/>
          <w:szCs w:val="24"/>
        </w:rPr>
      </w:pPr>
    </w:p>
    <w:p w:rsidR="002C38A1" w:rsidRPr="009205CF" w:rsidRDefault="002C38A1" w:rsidP="002C38A1">
      <w:pPr>
        <w:pStyle w:val="NormalWeb"/>
        <w:spacing w:before="120" w:after="0" w:line="264" w:lineRule="auto"/>
        <w:rPr>
          <w:rFonts w:ascii="Arial" w:hAnsi="Arial" w:cstheme="minorBidi"/>
          <w:color w:val="FFFFFF" w:themeColor="background1"/>
          <w:kern w:val="24"/>
          <w:szCs w:val="24"/>
        </w:rPr>
      </w:pPr>
    </w:p>
    <w:p w:rsidR="002C38A1" w:rsidRPr="009205CF" w:rsidRDefault="002C38A1" w:rsidP="002C38A1">
      <w:pPr>
        <w:pStyle w:val="NormalWeb"/>
        <w:spacing w:before="120" w:after="0" w:line="264" w:lineRule="auto"/>
        <w:rPr>
          <w:color w:val="FFFFFF" w:themeColor="background1"/>
          <w:szCs w:val="24"/>
        </w:rPr>
      </w:pPr>
      <w:r w:rsidRPr="009205CF">
        <w:rPr>
          <w:rFonts w:ascii="Arial" w:hAnsi="Arial" w:cstheme="minorBidi"/>
          <w:color w:val="FFFFFF" w:themeColor="background1"/>
          <w:kern w:val="24"/>
          <w:szCs w:val="24"/>
        </w:rPr>
        <w:t> </w:t>
      </w:r>
    </w:p>
    <w:p w:rsidR="002C38A1" w:rsidRPr="009205CF" w:rsidRDefault="002C38A1" w:rsidP="002C38A1">
      <w:pPr>
        <w:pStyle w:val="NormalWeb"/>
        <w:spacing w:before="0" w:after="0"/>
        <w:rPr>
          <w:color w:val="FFFFFF" w:themeColor="background1"/>
          <w:szCs w:val="24"/>
        </w:rPr>
      </w:pPr>
      <w:r w:rsidRPr="009205CF">
        <w:rPr>
          <w:rFonts w:ascii="Arial" w:eastAsiaTheme="minorEastAsia" w:hAnsi="Arial" w:cs="Arial"/>
          <w:color w:val="FFFFFF" w:themeColor="background1"/>
          <w:kern w:val="24"/>
          <w:szCs w:val="24"/>
        </w:rPr>
        <w:t>Karen Murray</w:t>
      </w:r>
    </w:p>
    <w:p w:rsidR="002C38A1" w:rsidRPr="009205CF" w:rsidRDefault="002C38A1" w:rsidP="002C38A1">
      <w:pPr>
        <w:pStyle w:val="NormalWeb"/>
        <w:spacing w:before="0" w:after="0"/>
        <w:rPr>
          <w:color w:val="FFFFFF" w:themeColor="background1"/>
          <w:szCs w:val="24"/>
        </w:rPr>
      </w:pPr>
      <w:r w:rsidRPr="009205CF">
        <w:rPr>
          <w:rFonts w:ascii="Arial" w:eastAsiaTheme="minorEastAsia" w:hAnsi="Arial" w:cs="Arial"/>
          <w:color w:val="FFFFFF" w:themeColor="background1"/>
          <w:kern w:val="24"/>
          <w:szCs w:val="24"/>
        </w:rPr>
        <w:t>Director for and on behalf of Grant Thornton UK LLP, Appointed Auditor</w:t>
      </w:r>
    </w:p>
    <w:p w:rsidR="002C38A1" w:rsidRPr="009205CF" w:rsidRDefault="002C38A1" w:rsidP="002C38A1">
      <w:pPr>
        <w:pStyle w:val="NormalWeb"/>
        <w:spacing w:before="0" w:after="0"/>
        <w:rPr>
          <w:color w:val="FFFFFF" w:themeColor="background1"/>
          <w:szCs w:val="24"/>
        </w:rPr>
      </w:pPr>
      <w:r w:rsidRPr="009205CF">
        <w:rPr>
          <w:rFonts w:ascii="Arial" w:eastAsiaTheme="minorEastAsia" w:hAnsi="Arial" w:cs="Arial"/>
          <w:color w:val="FFFFFF" w:themeColor="background1"/>
          <w:kern w:val="24"/>
          <w:szCs w:val="24"/>
        </w:rPr>
        <w:t> </w:t>
      </w:r>
    </w:p>
    <w:p w:rsidR="002C38A1" w:rsidRPr="009205CF" w:rsidRDefault="002C38A1" w:rsidP="002C38A1">
      <w:pPr>
        <w:pStyle w:val="NormalWeb"/>
        <w:spacing w:before="0" w:after="0"/>
        <w:rPr>
          <w:color w:val="FFFFFF" w:themeColor="background1"/>
          <w:szCs w:val="24"/>
        </w:rPr>
      </w:pPr>
      <w:r w:rsidRPr="009205CF">
        <w:rPr>
          <w:rFonts w:ascii="Arial" w:eastAsiaTheme="minorEastAsia" w:hAnsi="Arial" w:cs="Arial"/>
          <w:color w:val="FFFFFF" w:themeColor="background1"/>
          <w:kern w:val="24"/>
          <w:szCs w:val="24"/>
        </w:rPr>
        <w:t>Grant Thornton UK LLP</w:t>
      </w:r>
    </w:p>
    <w:p w:rsidR="002C38A1" w:rsidRPr="009205CF" w:rsidRDefault="002C38A1" w:rsidP="002C38A1">
      <w:pPr>
        <w:pStyle w:val="NormalWeb"/>
        <w:spacing w:before="0" w:after="0"/>
        <w:rPr>
          <w:color w:val="FFFFFF" w:themeColor="background1"/>
          <w:szCs w:val="24"/>
        </w:rPr>
      </w:pPr>
      <w:r w:rsidRPr="009205CF">
        <w:rPr>
          <w:rFonts w:ascii="Arial" w:eastAsiaTheme="minorEastAsia" w:hAnsi="Arial" w:cs="Arial"/>
          <w:color w:val="FFFFFF" w:themeColor="background1"/>
          <w:kern w:val="24"/>
          <w:szCs w:val="24"/>
        </w:rPr>
        <w:t>4 Hardman Square</w:t>
      </w:r>
    </w:p>
    <w:p w:rsidR="002C38A1" w:rsidRPr="009205CF" w:rsidRDefault="002C38A1" w:rsidP="002C38A1">
      <w:pPr>
        <w:pStyle w:val="NormalWeb"/>
        <w:spacing w:before="0" w:after="0"/>
        <w:rPr>
          <w:color w:val="FFFFFF" w:themeColor="background1"/>
          <w:szCs w:val="24"/>
        </w:rPr>
      </w:pPr>
      <w:proofErr w:type="spellStart"/>
      <w:r w:rsidRPr="009205CF">
        <w:rPr>
          <w:rFonts w:ascii="Arial" w:eastAsiaTheme="minorEastAsia" w:hAnsi="Arial" w:cs="Arial"/>
          <w:color w:val="FFFFFF" w:themeColor="background1"/>
          <w:kern w:val="24"/>
          <w:szCs w:val="24"/>
        </w:rPr>
        <w:t>Spinningfields</w:t>
      </w:r>
      <w:proofErr w:type="spellEnd"/>
    </w:p>
    <w:p w:rsidR="002C38A1" w:rsidRPr="009205CF" w:rsidRDefault="002C38A1" w:rsidP="002C38A1">
      <w:pPr>
        <w:pStyle w:val="NormalWeb"/>
        <w:spacing w:before="0" w:after="0"/>
        <w:rPr>
          <w:color w:val="FFFFFF" w:themeColor="background1"/>
          <w:szCs w:val="24"/>
        </w:rPr>
      </w:pPr>
      <w:r w:rsidRPr="009205CF">
        <w:rPr>
          <w:rFonts w:ascii="Arial" w:eastAsiaTheme="minorEastAsia" w:hAnsi="Arial" w:cs="Arial"/>
          <w:color w:val="FFFFFF" w:themeColor="background1"/>
          <w:kern w:val="24"/>
          <w:szCs w:val="24"/>
        </w:rPr>
        <w:t>Manchester M3 3EB</w:t>
      </w:r>
    </w:p>
    <w:p w:rsidR="002C38A1" w:rsidRPr="009205CF" w:rsidRDefault="002C38A1" w:rsidP="002C38A1">
      <w:pPr>
        <w:pStyle w:val="NormalWeb"/>
        <w:spacing w:before="0" w:after="0"/>
        <w:rPr>
          <w:rFonts w:ascii="Arial" w:eastAsiaTheme="minorEastAsia" w:hAnsi="Arial" w:cs="Arial"/>
          <w:color w:val="FFFFFF" w:themeColor="background1"/>
          <w:kern w:val="24"/>
          <w:szCs w:val="24"/>
        </w:rPr>
      </w:pPr>
    </w:p>
    <w:p w:rsidR="002C38A1" w:rsidRPr="009205CF" w:rsidRDefault="002C38A1" w:rsidP="002C38A1">
      <w:pPr>
        <w:pStyle w:val="NormalWeb"/>
        <w:spacing w:before="0" w:after="0"/>
        <w:rPr>
          <w:color w:val="FFFFFF" w:themeColor="background1"/>
          <w:szCs w:val="24"/>
        </w:rPr>
      </w:pPr>
      <w:r w:rsidRPr="009205CF">
        <w:rPr>
          <w:rFonts w:ascii="Arial" w:eastAsiaTheme="minorEastAsia" w:hAnsi="Arial" w:cs="Arial"/>
          <w:color w:val="FFFFFF" w:themeColor="background1"/>
          <w:kern w:val="24"/>
          <w:szCs w:val="24"/>
        </w:rPr>
        <w:t>29th September 2014</w:t>
      </w:r>
    </w:p>
    <w:p w:rsidR="00AA2032" w:rsidRPr="002C38A1" w:rsidRDefault="00AA2032" w:rsidP="00AA2032">
      <w:pPr>
        <w:autoSpaceDE/>
        <w:autoSpaceDN/>
        <w:adjustRightInd/>
        <w:spacing w:before="0" w:after="240"/>
        <w:ind w:right="-180"/>
        <w:jc w:val="left"/>
        <w:rPr>
          <w:rFonts w:eastAsia="Times New Roman" w:cs="Times New Roman"/>
          <w:color w:val="auto"/>
          <w:lang w:eastAsia="en-GB"/>
        </w:rPr>
      </w:pPr>
    </w:p>
    <w:p w:rsidR="00AA2032" w:rsidRPr="002C38A1" w:rsidRDefault="00AA2032" w:rsidP="00AA2032">
      <w:pPr>
        <w:autoSpaceDE/>
        <w:autoSpaceDN/>
        <w:adjustRightInd/>
        <w:spacing w:before="0" w:after="0"/>
        <w:ind w:right="-180"/>
        <w:jc w:val="left"/>
        <w:rPr>
          <w:rFonts w:eastAsia="Times New Roman" w:cs="Arial"/>
          <w:color w:val="auto"/>
          <w:lang w:eastAsia="en-GB"/>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74914" w:rsidRPr="002F17B5" w:rsidRDefault="00274914" w:rsidP="00274914">
      <w:pPr>
        <w:jc w:val="center"/>
        <w:rPr>
          <w:rFonts w:cs="Arial"/>
          <w:b/>
          <w:bCs/>
          <w:sz w:val="26"/>
          <w:szCs w:val="22"/>
        </w:rPr>
      </w:pPr>
    </w:p>
    <w:p w:rsidR="002C38A1" w:rsidRDefault="002C38A1" w:rsidP="00274914">
      <w:pPr>
        <w:jc w:val="center"/>
        <w:rPr>
          <w:rFonts w:cs="Arial"/>
          <w:b/>
          <w:bCs/>
          <w:sz w:val="26"/>
          <w:szCs w:val="22"/>
        </w:rPr>
      </w:pPr>
    </w:p>
    <w:p w:rsidR="00274914" w:rsidRPr="002F17B5" w:rsidRDefault="00274914" w:rsidP="00274914">
      <w:pPr>
        <w:jc w:val="center"/>
        <w:rPr>
          <w:rFonts w:cs="Arial"/>
          <w:b/>
          <w:bCs/>
          <w:sz w:val="26"/>
          <w:szCs w:val="22"/>
        </w:rPr>
      </w:pPr>
      <w:r w:rsidRPr="002F17B5">
        <w:rPr>
          <w:rFonts w:cs="Arial"/>
          <w:b/>
          <w:bCs/>
          <w:sz w:val="26"/>
          <w:szCs w:val="22"/>
        </w:rPr>
        <w:t>Fund Account</w:t>
      </w:r>
    </w:p>
    <w:p w:rsidR="00274914" w:rsidRPr="002F17B5" w:rsidRDefault="00274914" w:rsidP="00274914">
      <w:pPr>
        <w:rPr>
          <w:sz w:val="1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2126"/>
        <w:gridCol w:w="1559"/>
        <w:gridCol w:w="430"/>
        <w:gridCol w:w="1555"/>
      </w:tblGrid>
      <w:tr w:rsidR="00274914" w:rsidRPr="002F17B5" w:rsidTr="00274914">
        <w:tc>
          <w:tcPr>
            <w:tcW w:w="4208" w:type="dxa"/>
          </w:tcPr>
          <w:p w:rsidR="00274914" w:rsidRPr="002F17B5" w:rsidRDefault="00274914" w:rsidP="00274914">
            <w:pPr>
              <w:rPr>
                <w:b/>
              </w:rPr>
            </w:pPr>
          </w:p>
          <w:p w:rsidR="00274914" w:rsidRPr="002F17B5" w:rsidRDefault="00274914" w:rsidP="00274914">
            <w:pPr>
              <w:jc w:val="right"/>
              <w:rPr>
                <w:b/>
              </w:rPr>
            </w:pPr>
          </w:p>
        </w:tc>
        <w:tc>
          <w:tcPr>
            <w:tcW w:w="2126" w:type="dxa"/>
          </w:tcPr>
          <w:p w:rsidR="00274914" w:rsidRPr="002F17B5" w:rsidRDefault="00274914" w:rsidP="00274914">
            <w:pPr>
              <w:rPr>
                <w:b/>
              </w:rPr>
            </w:pPr>
          </w:p>
          <w:p w:rsidR="00274914" w:rsidRPr="002F17B5" w:rsidRDefault="00274914" w:rsidP="00274914">
            <w:pPr>
              <w:jc w:val="center"/>
              <w:rPr>
                <w:b/>
              </w:rPr>
            </w:pPr>
            <w:r w:rsidRPr="002F17B5">
              <w:rPr>
                <w:b/>
              </w:rPr>
              <w:t>Note</w:t>
            </w:r>
          </w:p>
        </w:tc>
        <w:tc>
          <w:tcPr>
            <w:tcW w:w="1559" w:type="dxa"/>
          </w:tcPr>
          <w:p w:rsidR="00274914" w:rsidRPr="002F17B5" w:rsidRDefault="00274914" w:rsidP="00274914">
            <w:pPr>
              <w:jc w:val="right"/>
              <w:rPr>
                <w:b/>
              </w:rPr>
            </w:pPr>
            <w:r w:rsidRPr="002F17B5">
              <w:rPr>
                <w:b/>
              </w:rPr>
              <w:t>2013/14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555" w:type="dxa"/>
            <w:tcBorders>
              <w:left w:val="single" w:sz="4" w:space="0" w:color="FFFFFF" w:themeColor="background1"/>
            </w:tcBorders>
          </w:tcPr>
          <w:p w:rsidR="00274914" w:rsidRPr="002F17B5" w:rsidRDefault="00274914" w:rsidP="00274914">
            <w:pPr>
              <w:jc w:val="right"/>
              <w:rPr>
                <w:b/>
              </w:rPr>
            </w:pPr>
            <w:r w:rsidRPr="002F17B5">
              <w:rPr>
                <w:b/>
              </w:rPr>
              <w:t>2012/13</w:t>
            </w:r>
          </w:p>
          <w:p w:rsidR="00274914" w:rsidRPr="002F17B5" w:rsidRDefault="00274914" w:rsidP="00274914">
            <w:pPr>
              <w:jc w:val="right"/>
              <w:rPr>
                <w:b/>
              </w:rPr>
            </w:pPr>
            <w:r w:rsidRPr="002F17B5">
              <w:rPr>
                <w:b/>
              </w:rPr>
              <w:t>£m</w:t>
            </w:r>
          </w:p>
          <w:p w:rsidR="00274914" w:rsidRPr="002F17B5" w:rsidRDefault="00274914" w:rsidP="00274914">
            <w:pPr>
              <w:jc w:val="right"/>
              <w:rPr>
                <w:b/>
              </w:rPr>
            </w:pPr>
          </w:p>
        </w:tc>
      </w:tr>
      <w:tr w:rsidR="00274914" w:rsidRPr="002F17B5" w:rsidTr="00274914">
        <w:tc>
          <w:tcPr>
            <w:tcW w:w="4208" w:type="dxa"/>
          </w:tcPr>
          <w:p w:rsidR="00274914" w:rsidRPr="002F17B5" w:rsidRDefault="00274914" w:rsidP="00274914">
            <w:pPr>
              <w:rPr>
                <w:b/>
              </w:rPr>
            </w:pPr>
            <w:r w:rsidRPr="002F17B5">
              <w:rPr>
                <w:b/>
              </w:rPr>
              <w:t>Dealing with members, employers and others directly involved in the fund</w:t>
            </w:r>
          </w:p>
        </w:tc>
        <w:tc>
          <w:tcPr>
            <w:tcW w:w="2126" w:type="dxa"/>
          </w:tcPr>
          <w:p w:rsidR="00274914" w:rsidRPr="002F17B5" w:rsidRDefault="00274914" w:rsidP="00274914">
            <w:pPr>
              <w:jc w:val="right"/>
            </w:pPr>
          </w:p>
        </w:tc>
        <w:tc>
          <w:tcPr>
            <w:tcW w:w="1559" w:type="dxa"/>
          </w:tcPr>
          <w:p w:rsidR="00274914" w:rsidRPr="002F17B5" w:rsidRDefault="00274914" w:rsidP="00274914">
            <w:pPr>
              <w:jc w:val="right"/>
            </w:pP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tcBorders>
          </w:tcPr>
          <w:p w:rsidR="00274914" w:rsidRPr="002F17B5" w:rsidRDefault="00274914" w:rsidP="00274914">
            <w:pPr>
              <w:jc w:val="right"/>
            </w:pPr>
          </w:p>
        </w:tc>
      </w:tr>
      <w:tr w:rsidR="00274914" w:rsidRPr="002F17B5" w:rsidTr="00274914">
        <w:tc>
          <w:tcPr>
            <w:tcW w:w="4208" w:type="dxa"/>
          </w:tcPr>
          <w:p w:rsidR="00274914" w:rsidRPr="002F17B5" w:rsidRDefault="00274914" w:rsidP="00274914">
            <w:r w:rsidRPr="002F17B5">
              <w:t>Contributions</w:t>
            </w:r>
          </w:p>
        </w:tc>
        <w:tc>
          <w:tcPr>
            <w:tcW w:w="2126" w:type="dxa"/>
          </w:tcPr>
          <w:p w:rsidR="00274914" w:rsidRPr="002F17B5" w:rsidRDefault="002C38A1" w:rsidP="00274914">
            <w:pPr>
              <w:tabs>
                <w:tab w:val="left" w:pos="1026"/>
              </w:tabs>
              <w:jc w:val="center"/>
            </w:pPr>
            <w:r>
              <w:t>6</w:t>
            </w:r>
          </w:p>
        </w:tc>
        <w:tc>
          <w:tcPr>
            <w:tcW w:w="1559" w:type="dxa"/>
          </w:tcPr>
          <w:p w:rsidR="00274914" w:rsidRPr="002F17B5" w:rsidRDefault="00274914" w:rsidP="00274914">
            <w:pPr>
              <w:jc w:val="right"/>
            </w:pPr>
            <w:r w:rsidRPr="002F17B5">
              <w:t>214.0</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tcBorders>
          </w:tcPr>
          <w:p w:rsidR="00274914" w:rsidRPr="002F17B5" w:rsidRDefault="00274914" w:rsidP="00274914">
            <w:pPr>
              <w:jc w:val="right"/>
            </w:pPr>
            <w:r w:rsidRPr="002F17B5">
              <w:t>202.7</w:t>
            </w:r>
          </w:p>
        </w:tc>
      </w:tr>
      <w:tr w:rsidR="00274914" w:rsidRPr="002F17B5" w:rsidTr="00274914">
        <w:tc>
          <w:tcPr>
            <w:tcW w:w="4208" w:type="dxa"/>
          </w:tcPr>
          <w:p w:rsidR="00274914" w:rsidRPr="002F17B5" w:rsidRDefault="00274914" w:rsidP="00274914">
            <w:r w:rsidRPr="002F17B5">
              <w:t>Transfers in</w:t>
            </w:r>
          </w:p>
        </w:tc>
        <w:tc>
          <w:tcPr>
            <w:tcW w:w="2126" w:type="dxa"/>
          </w:tcPr>
          <w:p w:rsidR="00274914" w:rsidRPr="002F17B5" w:rsidRDefault="002C38A1" w:rsidP="00274914">
            <w:pPr>
              <w:tabs>
                <w:tab w:val="left" w:pos="1026"/>
              </w:tabs>
              <w:jc w:val="center"/>
            </w:pPr>
            <w:r>
              <w:t>7</w:t>
            </w:r>
          </w:p>
        </w:tc>
        <w:tc>
          <w:tcPr>
            <w:tcW w:w="1559" w:type="dxa"/>
            <w:tcBorders>
              <w:bottom w:val="single" w:sz="18" w:space="0" w:color="auto"/>
            </w:tcBorders>
          </w:tcPr>
          <w:p w:rsidR="00274914" w:rsidRPr="002F17B5" w:rsidRDefault="00274914" w:rsidP="00274914">
            <w:pPr>
              <w:jc w:val="right"/>
            </w:pPr>
            <w:r w:rsidRPr="002F17B5">
              <w:t>7.1</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bottom w:val="single" w:sz="18" w:space="0" w:color="auto"/>
            </w:tcBorders>
          </w:tcPr>
          <w:p w:rsidR="00274914" w:rsidRPr="002F17B5" w:rsidRDefault="00274914" w:rsidP="00274914">
            <w:pPr>
              <w:jc w:val="right"/>
            </w:pPr>
            <w:r w:rsidRPr="002F17B5">
              <w:t>9.9</w:t>
            </w:r>
          </w:p>
        </w:tc>
      </w:tr>
      <w:tr w:rsidR="00274914" w:rsidRPr="002F17B5" w:rsidTr="00274914">
        <w:tc>
          <w:tcPr>
            <w:tcW w:w="4208" w:type="dxa"/>
          </w:tcPr>
          <w:p w:rsidR="00274914" w:rsidRPr="002F17B5" w:rsidRDefault="00274914" w:rsidP="00274914"/>
        </w:tc>
        <w:tc>
          <w:tcPr>
            <w:tcW w:w="2126" w:type="dxa"/>
          </w:tcPr>
          <w:p w:rsidR="00274914" w:rsidRPr="002F17B5" w:rsidRDefault="00274914" w:rsidP="00274914">
            <w:pPr>
              <w:jc w:val="right"/>
            </w:pPr>
          </w:p>
        </w:tc>
        <w:tc>
          <w:tcPr>
            <w:tcW w:w="1559" w:type="dxa"/>
            <w:tcBorders>
              <w:top w:val="single" w:sz="18" w:space="0" w:color="auto"/>
              <w:bottom w:val="single" w:sz="18" w:space="0" w:color="auto"/>
            </w:tcBorders>
          </w:tcPr>
          <w:p w:rsidR="00274914" w:rsidRPr="002F17B5" w:rsidRDefault="00274914" w:rsidP="00274914">
            <w:pPr>
              <w:jc w:val="right"/>
            </w:pPr>
            <w:r w:rsidRPr="002F17B5">
              <w:t>221.1</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top w:val="single" w:sz="18" w:space="0" w:color="auto"/>
              <w:left w:val="single" w:sz="4" w:space="0" w:color="FFFFFF" w:themeColor="background1"/>
              <w:bottom w:val="single" w:sz="18" w:space="0" w:color="auto"/>
            </w:tcBorders>
          </w:tcPr>
          <w:p w:rsidR="00274914" w:rsidRPr="002F17B5" w:rsidRDefault="00274914" w:rsidP="00274914">
            <w:pPr>
              <w:jc w:val="right"/>
            </w:pPr>
            <w:r w:rsidRPr="002F17B5">
              <w:t>212.6</w:t>
            </w:r>
          </w:p>
        </w:tc>
      </w:tr>
      <w:tr w:rsidR="00274914" w:rsidRPr="002F17B5" w:rsidTr="00274914">
        <w:tc>
          <w:tcPr>
            <w:tcW w:w="4208" w:type="dxa"/>
          </w:tcPr>
          <w:p w:rsidR="00274914" w:rsidRPr="002F17B5" w:rsidRDefault="00274914" w:rsidP="00274914"/>
          <w:p w:rsidR="00274914" w:rsidRPr="002F17B5" w:rsidRDefault="00274914" w:rsidP="00274914">
            <w:r w:rsidRPr="002F17B5">
              <w:t>Benefits</w:t>
            </w:r>
          </w:p>
        </w:tc>
        <w:tc>
          <w:tcPr>
            <w:tcW w:w="2126" w:type="dxa"/>
          </w:tcPr>
          <w:p w:rsidR="00274914" w:rsidRPr="002F17B5" w:rsidRDefault="00274914" w:rsidP="00274914">
            <w:pPr>
              <w:tabs>
                <w:tab w:val="left" w:pos="1026"/>
              </w:tabs>
              <w:jc w:val="center"/>
            </w:pPr>
          </w:p>
          <w:p w:rsidR="00274914" w:rsidRPr="002F17B5" w:rsidRDefault="002C38A1" w:rsidP="00274914">
            <w:pPr>
              <w:tabs>
                <w:tab w:val="left" w:pos="1026"/>
              </w:tabs>
              <w:jc w:val="center"/>
            </w:pPr>
            <w:r>
              <w:t>8</w:t>
            </w:r>
          </w:p>
        </w:tc>
        <w:tc>
          <w:tcPr>
            <w:tcW w:w="1559" w:type="dxa"/>
            <w:tcBorders>
              <w:top w:val="single" w:sz="18" w:space="0" w:color="auto"/>
            </w:tcBorders>
          </w:tcPr>
          <w:p w:rsidR="00274914" w:rsidRPr="002F17B5" w:rsidRDefault="00274914" w:rsidP="00274914">
            <w:pPr>
              <w:jc w:val="right"/>
            </w:pPr>
          </w:p>
          <w:p w:rsidR="00274914" w:rsidRPr="002F17B5" w:rsidRDefault="00274914" w:rsidP="00274914">
            <w:pPr>
              <w:jc w:val="right"/>
            </w:pPr>
            <w:r w:rsidRPr="002F17B5">
              <w:t>(221.1)</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top w:val="single" w:sz="18" w:space="0" w:color="auto"/>
              <w:left w:val="single" w:sz="4" w:space="0" w:color="FFFFFF" w:themeColor="background1"/>
            </w:tcBorders>
          </w:tcPr>
          <w:p w:rsidR="00274914" w:rsidRPr="002F17B5" w:rsidRDefault="00274914" w:rsidP="00274914">
            <w:pPr>
              <w:jc w:val="right"/>
            </w:pPr>
          </w:p>
          <w:p w:rsidR="00274914" w:rsidRPr="002F17B5" w:rsidRDefault="00274914" w:rsidP="00274914">
            <w:pPr>
              <w:jc w:val="right"/>
            </w:pPr>
            <w:r w:rsidRPr="002F17B5">
              <w:t>(210.2)</w:t>
            </w:r>
          </w:p>
        </w:tc>
      </w:tr>
      <w:tr w:rsidR="00274914" w:rsidRPr="002F17B5" w:rsidTr="00274914">
        <w:tc>
          <w:tcPr>
            <w:tcW w:w="4208" w:type="dxa"/>
          </w:tcPr>
          <w:p w:rsidR="00274914" w:rsidRPr="002F17B5" w:rsidRDefault="00274914" w:rsidP="00274914">
            <w:r w:rsidRPr="002F17B5">
              <w:t>Payments to and on account of leavers</w:t>
            </w:r>
          </w:p>
          <w:p w:rsidR="00274914" w:rsidRPr="002F17B5" w:rsidRDefault="00274914" w:rsidP="00274914">
            <w:r w:rsidRPr="002F17B5">
              <w:t xml:space="preserve">Administrative expenses       </w:t>
            </w:r>
          </w:p>
          <w:p w:rsidR="00274914" w:rsidRPr="002F17B5" w:rsidRDefault="00274914" w:rsidP="00274914"/>
        </w:tc>
        <w:tc>
          <w:tcPr>
            <w:tcW w:w="2126" w:type="dxa"/>
          </w:tcPr>
          <w:p w:rsidR="00274914" w:rsidRPr="002F17B5" w:rsidRDefault="002C38A1" w:rsidP="00274914">
            <w:pPr>
              <w:tabs>
                <w:tab w:val="left" w:pos="1026"/>
              </w:tabs>
              <w:jc w:val="center"/>
            </w:pPr>
            <w:r>
              <w:t>9</w:t>
            </w:r>
          </w:p>
          <w:p w:rsidR="00274914" w:rsidRPr="002F17B5" w:rsidRDefault="00274914" w:rsidP="00274914">
            <w:pPr>
              <w:tabs>
                <w:tab w:val="left" w:pos="1026"/>
              </w:tabs>
              <w:jc w:val="center"/>
            </w:pPr>
          </w:p>
          <w:p w:rsidR="00274914" w:rsidRPr="002F17B5" w:rsidRDefault="002C38A1" w:rsidP="00274914">
            <w:pPr>
              <w:tabs>
                <w:tab w:val="left" w:pos="1026"/>
              </w:tabs>
              <w:jc w:val="center"/>
            </w:pPr>
            <w:r>
              <w:t>10</w:t>
            </w:r>
          </w:p>
        </w:tc>
        <w:tc>
          <w:tcPr>
            <w:tcW w:w="1559" w:type="dxa"/>
            <w:tcBorders>
              <w:bottom w:val="single" w:sz="18" w:space="0" w:color="auto"/>
            </w:tcBorders>
          </w:tcPr>
          <w:p w:rsidR="00274914" w:rsidRPr="002F17B5" w:rsidRDefault="00274914" w:rsidP="00274914">
            <w:pPr>
              <w:jc w:val="right"/>
            </w:pPr>
            <w:r w:rsidRPr="002F17B5">
              <w:t>(15.3)</w:t>
            </w:r>
          </w:p>
          <w:p w:rsidR="00274914" w:rsidRPr="002F17B5" w:rsidRDefault="00274914" w:rsidP="00274914">
            <w:pPr>
              <w:jc w:val="right"/>
            </w:pPr>
          </w:p>
          <w:p w:rsidR="00274914" w:rsidRPr="002F17B5" w:rsidRDefault="00274914" w:rsidP="00274914">
            <w:pPr>
              <w:jc w:val="right"/>
            </w:pPr>
          </w:p>
          <w:p w:rsidR="00274914" w:rsidRPr="002F17B5" w:rsidRDefault="00274914" w:rsidP="00274914">
            <w:pPr>
              <w:jc w:val="right"/>
            </w:pPr>
            <w:r w:rsidRPr="002F17B5">
              <w:t>(4.5)</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bottom w:val="single" w:sz="18" w:space="0" w:color="auto"/>
            </w:tcBorders>
          </w:tcPr>
          <w:p w:rsidR="00274914" w:rsidRPr="002F17B5" w:rsidRDefault="00274914" w:rsidP="00274914">
            <w:pPr>
              <w:jc w:val="right"/>
            </w:pPr>
            <w:r w:rsidRPr="002F17B5">
              <w:t>(12.6)</w:t>
            </w:r>
          </w:p>
          <w:p w:rsidR="00274914" w:rsidRPr="002F17B5" w:rsidRDefault="00274914" w:rsidP="00274914">
            <w:pPr>
              <w:jc w:val="right"/>
            </w:pPr>
          </w:p>
          <w:p w:rsidR="00274914" w:rsidRPr="002F17B5" w:rsidRDefault="00274914" w:rsidP="00274914">
            <w:pPr>
              <w:jc w:val="right"/>
            </w:pPr>
          </w:p>
          <w:p w:rsidR="00274914" w:rsidRPr="002F17B5" w:rsidRDefault="00274914" w:rsidP="00274914">
            <w:pPr>
              <w:jc w:val="right"/>
            </w:pPr>
            <w:r w:rsidRPr="002F17B5">
              <w:t>(5.0)</w:t>
            </w:r>
          </w:p>
        </w:tc>
      </w:tr>
      <w:tr w:rsidR="00274914" w:rsidRPr="002F17B5" w:rsidTr="00274914">
        <w:tc>
          <w:tcPr>
            <w:tcW w:w="4208" w:type="dxa"/>
          </w:tcPr>
          <w:p w:rsidR="00274914" w:rsidRPr="002F17B5" w:rsidRDefault="00274914" w:rsidP="00274914"/>
        </w:tc>
        <w:tc>
          <w:tcPr>
            <w:tcW w:w="2126" w:type="dxa"/>
          </w:tcPr>
          <w:p w:rsidR="00274914" w:rsidRPr="002F17B5" w:rsidRDefault="00274914" w:rsidP="00274914">
            <w:pPr>
              <w:jc w:val="right"/>
            </w:pPr>
          </w:p>
        </w:tc>
        <w:tc>
          <w:tcPr>
            <w:tcW w:w="1559" w:type="dxa"/>
            <w:tcBorders>
              <w:top w:val="single" w:sz="18" w:space="0" w:color="auto"/>
              <w:bottom w:val="single" w:sz="18" w:space="0" w:color="auto"/>
            </w:tcBorders>
          </w:tcPr>
          <w:p w:rsidR="00274914" w:rsidRPr="002F17B5" w:rsidRDefault="00274914" w:rsidP="00274914">
            <w:pPr>
              <w:jc w:val="right"/>
            </w:pPr>
            <w:r w:rsidRPr="002F17B5">
              <w:t>(240.9)</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top w:val="single" w:sz="18" w:space="0" w:color="auto"/>
              <w:left w:val="single" w:sz="4" w:space="0" w:color="FFFFFF" w:themeColor="background1"/>
              <w:bottom w:val="single" w:sz="18" w:space="0" w:color="auto"/>
            </w:tcBorders>
          </w:tcPr>
          <w:p w:rsidR="00274914" w:rsidRPr="002F17B5" w:rsidRDefault="00274914" w:rsidP="00274914">
            <w:pPr>
              <w:jc w:val="right"/>
            </w:pPr>
            <w:r w:rsidRPr="002F17B5">
              <w:t>(227.8)</w:t>
            </w:r>
          </w:p>
        </w:tc>
      </w:tr>
      <w:tr w:rsidR="00274914" w:rsidRPr="002F17B5" w:rsidTr="00274914">
        <w:tc>
          <w:tcPr>
            <w:tcW w:w="4208" w:type="dxa"/>
          </w:tcPr>
          <w:p w:rsidR="00274914" w:rsidRPr="002F17B5" w:rsidRDefault="00274914" w:rsidP="00274914">
            <w:pPr>
              <w:spacing w:before="120"/>
              <w:rPr>
                <w:b/>
              </w:rPr>
            </w:pPr>
            <w:r w:rsidRPr="002F17B5">
              <w:rPr>
                <w:b/>
              </w:rPr>
              <w:t>Net withdrawals from dealings with members</w:t>
            </w:r>
          </w:p>
        </w:tc>
        <w:tc>
          <w:tcPr>
            <w:tcW w:w="2126" w:type="dxa"/>
          </w:tcPr>
          <w:p w:rsidR="00274914" w:rsidRPr="002F17B5" w:rsidRDefault="00274914" w:rsidP="00274914">
            <w:pPr>
              <w:spacing w:before="120"/>
              <w:jc w:val="right"/>
              <w:rPr>
                <w:b/>
              </w:rPr>
            </w:pPr>
          </w:p>
        </w:tc>
        <w:tc>
          <w:tcPr>
            <w:tcW w:w="1559" w:type="dxa"/>
            <w:tcBorders>
              <w:top w:val="single" w:sz="18" w:space="0" w:color="auto"/>
              <w:bottom w:val="single" w:sz="18" w:space="0" w:color="auto"/>
            </w:tcBorders>
          </w:tcPr>
          <w:p w:rsidR="00274914" w:rsidRPr="002F17B5" w:rsidRDefault="00274914" w:rsidP="00274914">
            <w:pPr>
              <w:spacing w:before="120"/>
              <w:jc w:val="right"/>
              <w:rPr>
                <w:b/>
              </w:rPr>
            </w:pPr>
            <w:r w:rsidRPr="002F17B5">
              <w:rPr>
                <w:b/>
              </w:rPr>
              <w:t>(19.8)</w:t>
            </w:r>
          </w:p>
        </w:tc>
        <w:tc>
          <w:tcPr>
            <w:tcW w:w="430" w:type="dxa"/>
            <w:tcBorders>
              <w:right w:val="single" w:sz="4" w:space="0" w:color="FFFFFF" w:themeColor="background1"/>
            </w:tcBorders>
          </w:tcPr>
          <w:p w:rsidR="00274914" w:rsidRPr="002F17B5" w:rsidRDefault="00274914" w:rsidP="00274914">
            <w:pPr>
              <w:spacing w:before="120"/>
              <w:jc w:val="right"/>
              <w:rPr>
                <w:b/>
              </w:rPr>
            </w:pPr>
          </w:p>
        </w:tc>
        <w:tc>
          <w:tcPr>
            <w:tcW w:w="1555" w:type="dxa"/>
            <w:tcBorders>
              <w:top w:val="single" w:sz="18" w:space="0" w:color="auto"/>
              <w:left w:val="single" w:sz="4" w:space="0" w:color="FFFFFF" w:themeColor="background1"/>
              <w:bottom w:val="single" w:sz="18" w:space="0" w:color="auto"/>
            </w:tcBorders>
          </w:tcPr>
          <w:p w:rsidR="00274914" w:rsidRPr="002F17B5" w:rsidRDefault="00274914" w:rsidP="00274914">
            <w:pPr>
              <w:spacing w:before="120"/>
              <w:jc w:val="right"/>
              <w:rPr>
                <w:b/>
              </w:rPr>
            </w:pPr>
            <w:r w:rsidRPr="002F17B5">
              <w:rPr>
                <w:b/>
              </w:rPr>
              <w:t>(15.2)</w:t>
            </w:r>
          </w:p>
        </w:tc>
      </w:tr>
    </w:tbl>
    <w:p w:rsidR="00274914" w:rsidRPr="002F17B5" w:rsidRDefault="00274914" w:rsidP="00274914"/>
    <w:p w:rsidR="00274914" w:rsidRPr="002F17B5" w:rsidRDefault="00274914" w:rsidP="00274914"/>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2126"/>
        <w:gridCol w:w="1559"/>
        <w:gridCol w:w="430"/>
        <w:gridCol w:w="1555"/>
      </w:tblGrid>
      <w:tr w:rsidR="00274914" w:rsidRPr="002F17B5" w:rsidTr="00274914">
        <w:tc>
          <w:tcPr>
            <w:tcW w:w="4208" w:type="dxa"/>
          </w:tcPr>
          <w:p w:rsidR="00274914" w:rsidRPr="002F17B5" w:rsidRDefault="00274914" w:rsidP="00274914">
            <w:pPr>
              <w:rPr>
                <w:b/>
              </w:rPr>
            </w:pPr>
            <w:r w:rsidRPr="002F17B5">
              <w:rPr>
                <w:b/>
              </w:rPr>
              <w:t>Return on investments</w:t>
            </w:r>
          </w:p>
        </w:tc>
        <w:tc>
          <w:tcPr>
            <w:tcW w:w="2126" w:type="dxa"/>
          </w:tcPr>
          <w:p w:rsidR="00274914" w:rsidRPr="002F17B5" w:rsidRDefault="00274914" w:rsidP="00274914">
            <w:pPr>
              <w:jc w:val="right"/>
            </w:pPr>
          </w:p>
        </w:tc>
        <w:tc>
          <w:tcPr>
            <w:tcW w:w="1559" w:type="dxa"/>
          </w:tcPr>
          <w:p w:rsidR="00274914" w:rsidRPr="002F17B5" w:rsidRDefault="00274914" w:rsidP="00274914">
            <w:pPr>
              <w:jc w:val="right"/>
            </w:pP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tcBorders>
          </w:tcPr>
          <w:p w:rsidR="00274914" w:rsidRPr="002F17B5" w:rsidRDefault="00274914" w:rsidP="00274914">
            <w:pPr>
              <w:jc w:val="right"/>
            </w:pPr>
          </w:p>
        </w:tc>
      </w:tr>
      <w:tr w:rsidR="00274914" w:rsidRPr="002F17B5" w:rsidTr="00274914">
        <w:tc>
          <w:tcPr>
            <w:tcW w:w="4208" w:type="dxa"/>
          </w:tcPr>
          <w:p w:rsidR="00274914" w:rsidRPr="002F17B5" w:rsidRDefault="00274914" w:rsidP="00274914">
            <w:r w:rsidRPr="002F17B5">
              <w:t>Investment income</w:t>
            </w:r>
          </w:p>
        </w:tc>
        <w:tc>
          <w:tcPr>
            <w:tcW w:w="2126" w:type="dxa"/>
          </w:tcPr>
          <w:p w:rsidR="00274914" w:rsidRPr="002F17B5" w:rsidRDefault="00274914" w:rsidP="002C38A1">
            <w:pPr>
              <w:tabs>
                <w:tab w:val="left" w:pos="1026"/>
              </w:tabs>
              <w:jc w:val="center"/>
            </w:pPr>
            <w:r w:rsidRPr="002F17B5">
              <w:t>1</w:t>
            </w:r>
            <w:r w:rsidR="002C38A1">
              <w:t>1</w:t>
            </w:r>
          </w:p>
        </w:tc>
        <w:tc>
          <w:tcPr>
            <w:tcW w:w="1559" w:type="dxa"/>
          </w:tcPr>
          <w:p w:rsidR="00274914" w:rsidRPr="002F17B5" w:rsidRDefault="00274914" w:rsidP="00274914">
            <w:pPr>
              <w:jc w:val="right"/>
            </w:pPr>
            <w:r w:rsidRPr="002F17B5">
              <w:t>105.3</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tcBorders>
          </w:tcPr>
          <w:p w:rsidR="00274914" w:rsidRPr="002F17B5" w:rsidRDefault="00274914" w:rsidP="00274914">
            <w:pPr>
              <w:jc w:val="right"/>
            </w:pPr>
            <w:r w:rsidRPr="002F17B5">
              <w:t>120.8</w:t>
            </w:r>
          </w:p>
        </w:tc>
      </w:tr>
      <w:tr w:rsidR="00274914" w:rsidRPr="002F17B5" w:rsidTr="00274914">
        <w:tc>
          <w:tcPr>
            <w:tcW w:w="4208" w:type="dxa"/>
          </w:tcPr>
          <w:p w:rsidR="00274914" w:rsidRPr="002F17B5" w:rsidRDefault="00274914" w:rsidP="00274914">
            <w:r w:rsidRPr="002F17B5">
              <w:t>Profit and loss on disposal of investments and change in market value of investments</w:t>
            </w:r>
          </w:p>
        </w:tc>
        <w:tc>
          <w:tcPr>
            <w:tcW w:w="2126" w:type="dxa"/>
          </w:tcPr>
          <w:p w:rsidR="00274914" w:rsidRPr="002F17B5" w:rsidRDefault="00274914" w:rsidP="002C38A1">
            <w:pPr>
              <w:tabs>
                <w:tab w:val="left" w:pos="1026"/>
              </w:tabs>
              <w:jc w:val="center"/>
            </w:pPr>
            <w:r w:rsidRPr="002F17B5">
              <w:t>1</w:t>
            </w:r>
            <w:r w:rsidR="002C38A1">
              <w:t>5</w:t>
            </w:r>
          </w:p>
        </w:tc>
        <w:tc>
          <w:tcPr>
            <w:tcW w:w="1559" w:type="dxa"/>
          </w:tcPr>
          <w:p w:rsidR="00274914" w:rsidRPr="002F17B5" w:rsidRDefault="00274914" w:rsidP="00274914">
            <w:pPr>
              <w:jc w:val="right"/>
            </w:pPr>
            <w:r w:rsidRPr="002F17B5">
              <w:t>102.9</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tcBorders>
          </w:tcPr>
          <w:p w:rsidR="00274914" w:rsidRPr="002F17B5" w:rsidRDefault="00274914" w:rsidP="00274914">
            <w:pPr>
              <w:jc w:val="right"/>
            </w:pPr>
            <w:r w:rsidRPr="002F17B5">
              <w:t>532.6</w:t>
            </w:r>
          </w:p>
        </w:tc>
      </w:tr>
      <w:tr w:rsidR="00274914" w:rsidRPr="002F17B5" w:rsidTr="00274914">
        <w:tc>
          <w:tcPr>
            <w:tcW w:w="4208" w:type="dxa"/>
          </w:tcPr>
          <w:p w:rsidR="00274914" w:rsidRPr="002F17B5" w:rsidRDefault="00274914" w:rsidP="00274914">
            <w:r w:rsidRPr="002F17B5">
              <w:t>Investment management expenses</w:t>
            </w:r>
          </w:p>
        </w:tc>
        <w:tc>
          <w:tcPr>
            <w:tcW w:w="2126" w:type="dxa"/>
          </w:tcPr>
          <w:p w:rsidR="00274914" w:rsidRPr="002F17B5" w:rsidRDefault="002C38A1" w:rsidP="00274914">
            <w:pPr>
              <w:tabs>
                <w:tab w:val="left" w:pos="1026"/>
              </w:tabs>
              <w:jc w:val="center"/>
            </w:pPr>
            <w:r>
              <w:t>21</w:t>
            </w:r>
          </w:p>
        </w:tc>
        <w:tc>
          <w:tcPr>
            <w:tcW w:w="1559" w:type="dxa"/>
            <w:tcBorders>
              <w:bottom w:val="single" w:sz="18" w:space="0" w:color="auto"/>
            </w:tcBorders>
          </w:tcPr>
          <w:p w:rsidR="00274914" w:rsidRPr="002F17B5" w:rsidRDefault="00274914" w:rsidP="00274914">
            <w:pPr>
              <w:jc w:val="right"/>
            </w:pPr>
            <w:r w:rsidRPr="002F17B5">
              <w:t>(11.3)</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bottom w:val="single" w:sz="18" w:space="0" w:color="auto"/>
            </w:tcBorders>
          </w:tcPr>
          <w:p w:rsidR="00274914" w:rsidRPr="002F17B5" w:rsidRDefault="00274914" w:rsidP="00274914">
            <w:pPr>
              <w:jc w:val="right"/>
            </w:pPr>
            <w:r w:rsidRPr="002F17B5">
              <w:t>(7.2)</w:t>
            </w:r>
          </w:p>
        </w:tc>
      </w:tr>
      <w:tr w:rsidR="00274914" w:rsidRPr="002F17B5" w:rsidTr="00274914">
        <w:tc>
          <w:tcPr>
            <w:tcW w:w="4208" w:type="dxa"/>
          </w:tcPr>
          <w:p w:rsidR="00274914" w:rsidRPr="002F17B5" w:rsidRDefault="00274914" w:rsidP="00274914">
            <w:pPr>
              <w:rPr>
                <w:b/>
              </w:rPr>
            </w:pPr>
            <w:r w:rsidRPr="002F17B5">
              <w:rPr>
                <w:b/>
              </w:rPr>
              <w:t>Net return on investments</w:t>
            </w:r>
          </w:p>
        </w:tc>
        <w:tc>
          <w:tcPr>
            <w:tcW w:w="2126" w:type="dxa"/>
          </w:tcPr>
          <w:p w:rsidR="00274914" w:rsidRPr="002F17B5" w:rsidRDefault="00274914" w:rsidP="00274914">
            <w:pPr>
              <w:jc w:val="right"/>
              <w:rPr>
                <w:b/>
              </w:rPr>
            </w:pPr>
          </w:p>
        </w:tc>
        <w:tc>
          <w:tcPr>
            <w:tcW w:w="1559" w:type="dxa"/>
            <w:tcBorders>
              <w:top w:val="single" w:sz="18" w:space="0" w:color="auto"/>
              <w:bottom w:val="single" w:sz="18" w:space="0" w:color="auto"/>
            </w:tcBorders>
          </w:tcPr>
          <w:p w:rsidR="00274914" w:rsidRPr="002F17B5" w:rsidRDefault="00274914" w:rsidP="00274914">
            <w:pPr>
              <w:jc w:val="right"/>
              <w:rPr>
                <w:b/>
              </w:rPr>
            </w:pPr>
            <w:r w:rsidRPr="002F17B5">
              <w:rPr>
                <w:b/>
              </w:rPr>
              <w:t>196.9</w:t>
            </w:r>
          </w:p>
        </w:tc>
        <w:tc>
          <w:tcPr>
            <w:tcW w:w="430" w:type="dxa"/>
            <w:tcBorders>
              <w:right w:val="single" w:sz="4" w:space="0" w:color="FFFFFF" w:themeColor="background1"/>
            </w:tcBorders>
          </w:tcPr>
          <w:p w:rsidR="00274914" w:rsidRPr="002F17B5" w:rsidRDefault="00274914" w:rsidP="00274914">
            <w:pPr>
              <w:jc w:val="right"/>
              <w:rPr>
                <w:b/>
              </w:rPr>
            </w:pPr>
          </w:p>
        </w:tc>
        <w:tc>
          <w:tcPr>
            <w:tcW w:w="1555" w:type="dxa"/>
            <w:tcBorders>
              <w:top w:val="single" w:sz="18" w:space="0" w:color="auto"/>
              <w:left w:val="single" w:sz="4" w:space="0" w:color="FFFFFF" w:themeColor="background1"/>
              <w:bottom w:val="single" w:sz="18" w:space="0" w:color="auto"/>
            </w:tcBorders>
          </w:tcPr>
          <w:p w:rsidR="00274914" w:rsidRPr="002F17B5" w:rsidRDefault="00274914" w:rsidP="00274914">
            <w:pPr>
              <w:jc w:val="right"/>
              <w:rPr>
                <w:b/>
              </w:rPr>
            </w:pPr>
            <w:r w:rsidRPr="002F17B5">
              <w:rPr>
                <w:b/>
              </w:rPr>
              <w:t>646.2</w:t>
            </w:r>
          </w:p>
        </w:tc>
      </w:tr>
      <w:tr w:rsidR="00274914" w:rsidRPr="002F17B5" w:rsidTr="00274914">
        <w:tc>
          <w:tcPr>
            <w:tcW w:w="4208" w:type="dxa"/>
          </w:tcPr>
          <w:p w:rsidR="00274914" w:rsidRPr="002F17B5" w:rsidRDefault="00274914" w:rsidP="00274914">
            <w:pPr>
              <w:spacing w:before="120"/>
              <w:rPr>
                <w:b/>
              </w:rPr>
            </w:pPr>
            <w:r w:rsidRPr="002F17B5">
              <w:rPr>
                <w:b/>
              </w:rPr>
              <w:t>Net increase (decrease) in the net assets available for benefits during the year</w:t>
            </w:r>
          </w:p>
        </w:tc>
        <w:tc>
          <w:tcPr>
            <w:tcW w:w="2126" w:type="dxa"/>
          </w:tcPr>
          <w:p w:rsidR="00274914" w:rsidRPr="002F17B5" w:rsidRDefault="00274914" w:rsidP="00274914">
            <w:pPr>
              <w:spacing w:before="120"/>
              <w:jc w:val="right"/>
              <w:rPr>
                <w:b/>
              </w:rPr>
            </w:pPr>
          </w:p>
        </w:tc>
        <w:tc>
          <w:tcPr>
            <w:tcW w:w="1559" w:type="dxa"/>
            <w:tcBorders>
              <w:top w:val="single" w:sz="18" w:space="0" w:color="auto"/>
              <w:bottom w:val="double" w:sz="12" w:space="0" w:color="auto"/>
            </w:tcBorders>
          </w:tcPr>
          <w:p w:rsidR="00274914" w:rsidRPr="002F17B5" w:rsidRDefault="00274914" w:rsidP="00274914">
            <w:pPr>
              <w:spacing w:before="120"/>
              <w:jc w:val="right"/>
              <w:rPr>
                <w:b/>
              </w:rPr>
            </w:pPr>
            <w:r w:rsidRPr="002F17B5">
              <w:rPr>
                <w:b/>
              </w:rPr>
              <w:t>177.1</w:t>
            </w:r>
          </w:p>
        </w:tc>
        <w:tc>
          <w:tcPr>
            <w:tcW w:w="430" w:type="dxa"/>
            <w:tcBorders>
              <w:right w:val="single" w:sz="4" w:space="0" w:color="FFFFFF" w:themeColor="background1"/>
            </w:tcBorders>
          </w:tcPr>
          <w:p w:rsidR="00274914" w:rsidRPr="002F17B5" w:rsidRDefault="00274914" w:rsidP="00274914">
            <w:pPr>
              <w:spacing w:before="120"/>
              <w:jc w:val="right"/>
              <w:rPr>
                <w:b/>
              </w:rPr>
            </w:pPr>
          </w:p>
        </w:tc>
        <w:tc>
          <w:tcPr>
            <w:tcW w:w="1555" w:type="dxa"/>
            <w:tcBorders>
              <w:top w:val="single" w:sz="18" w:space="0" w:color="auto"/>
              <w:left w:val="single" w:sz="4" w:space="0" w:color="FFFFFF" w:themeColor="background1"/>
              <w:bottom w:val="double" w:sz="12" w:space="0" w:color="auto"/>
            </w:tcBorders>
          </w:tcPr>
          <w:p w:rsidR="00274914" w:rsidRPr="002F17B5" w:rsidRDefault="00274914" w:rsidP="00274914">
            <w:pPr>
              <w:spacing w:before="120"/>
              <w:jc w:val="right"/>
              <w:rPr>
                <w:b/>
              </w:rPr>
            </w:pPr>
            <w:r w:rsidRPr="002F17B5">
              <w:rPr>
                <w:b/>
              </w:rPr>
              <w:t>631.0</w:t>
            </w:r>
          </w:p>
        </w:tc>
      </w:tr>
    </w:tbl>
    <w:p w:rsidR="00274914" w:rsidRPr="002F17B5" w:rsidRDefault="00274914" w:rsidP="00274914"/>
    <w:p w:rsidR="00274914" w:rsidRPr="002F17B5" w:rsidRDefault="00274914" w:rsidP="00274914">
      <w:pPr>
        <w:pStyle w:val="Heading5"/>
        <w:spacing w:line="360" w:lineRule="auto"/>
        <w:jc w:val="center"/>
        <w:rPr>
          <w:i w:val="0"/>
          <w:szCs w:val="24"/>
        </w:rPr>
      </w:pPr>
      <w:r w:rsidRPr="002F17B5">
        <w:rPr>
          <w:i w:val="0"/>
          <w:szCs w:val="24"/>
        </w:rPr>
        <w:lastRenderedPageBreak/>
        <w:t xml:space="preserve">Net Asset statement </w:t>
      </w:r>
    </w:p>
    <w:p w:rsidR="00274914" w:rsidRPr="002F17B5" w:rsidRDefault="00274914" w:rsidP="00274914"/>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2126"/>
        <w:gridCol w:w="1559"/>
        <w:gridCol w:w="430"/>
        <w:gridCol w:w="1555"/>
      </w:tblGrid>
      <w:tr w:rsidR="00274914" w:rsidRPr="002F17B5" w:rsidTr="00274914">
        <w:tc>
          <w:tcPr>
            <w:tcW w:w="4208" w:type="dxa"/>
          </w:tcPr>
          <w:p w:rsidR="00274914" w:rsidRPr="002F17B5" w:rsidRDefault="00274914" w:rsidP="00274914">
            <w:pPr>
              <w:rPr>
                <w:b/>
              </w:rPr>
            </w:pPr>
          </w:p>
          <w:p w:rsidR="00274914" w:rsidRPr="002F17B5" w:rsidRDefault="00274914" w:rsidP="00274914">
            <w:pPr>
              <w:jc w:val="right"/>
              <w:rPr>
                <w:b/>
              </w:rPr>
            </w:pPr>
          </w:p>
        </w:tc>
        <w:tc>
          <w:tcPr>
            <w:tcW w:w="2126" w:type="dxa"/>
          </w:tcPr>
          <w:p w:rsidR="00274914" w:rsidRPr="002F17B5" w:rsidRDefault="00274914" w:rsidP="00274914">
            <w:pPr>
              <w:rPr>
                <w:b/>
              </w:rPr>
            </w:pPr>
          </w:p>
          <w:p w:rsidR="00274914" w:rsidRPr="002F17B5" w:rsidRDefault="00274914" w:rsidP="00274914">
            <w:pPr>
              <w:jc w:val="center"/>
              <w:rPr>
                <w:b/>
              </w:rPr>
            </w:pPr>
            <w:r w:rsidRPr="002F17B5">
              <w:rPr>
                <w:b/>
              </w:rPr>
              <w:t>Note</w:t>
            </w:r>
          </w:p>
        </w:tc>
        <w:tc>
          <w:tcPr>
            <w:tcW w:w="1559" w:type="dxa"/>
          </w:tcPr>
          <w:p w:rsidR="00274914" w:rsidRPr="002F17B5" w:rsidRDefault="00A13302" w:rsidP="00274914">
            <w:pPr>
              <w:jc w:val="right"/>
              <w:rPr>
                <w:b/>
              </w:rPr>
            </w:pPr>
            <w:r w:rsidRPr="002F17B5">
              <w:rPr>
                <w:b/>
              </w:rPr>
              <w:t>31/03/14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555" w:type="dxa"/>
            <w:tcBorders>
              <w:left w:val="single" w:sz="4" w:space="0" w:color="FFFFFF" w:themeColor="background1"/>
            </w:tcBorders>
          </w:tcPr>
          <w:p w:rsidR="00274914" w:rsidRPr="002F17B5" w:rsidRDefault="00A13302" w:rsidP="00274914">
            <w:pPr>
              <w:jc w:val="right"/>
              <w:rPr>
                <w:b/>
              </w:rPr>
            </w:pPr>
            <w:r w:rsidRPr="002F17B5">
              <w:rPr>
                <w:b/>
              </w:rPr>
              <w:t>31/03/13</w:t>
            </w:r>
          </w:p>
          <w:p w:rsidR="00274914" w:rsidRPr="002F17B5" w:rsidRDefault="00274914" w:rsidP="00274914">
            <w:pPr>
              <w:jc w:val="right"/>
              <w:rPr>
                <w:b/>
              </w:rPr>
            </w:pPr>
            <w:r w:rsidRPr="002F17B5">
              <w:rPr>
                <w:b/>
              </w:rPr>
              <w:t>£m</w:t>
            </w:r>
          </w:p>
          <w:p w:rsidR="00274914" w:rsidRPr="002F17B5" w:rsidRDefault="00274914" w:rsidP="00274914">
            <w:pPr>
              <w:jc w:val="right"/>
              <w:rPr>
                <w:b/>
              </w:rPr>
            </w:pPr>
          </w:p>
        </w:tc>
      </w:tr>
      <w:tr w:rsidR="00274914" w:rsidRPr="002F17B5" w:rsidTr="00274914">
        <w:tc>
          <w:tcPr>
            <w:tcW w:w="4208" w:type="dxa"/>
          </w:tcPr>
          <w:p w:rsidR="00274914" w:rsidRPr="002F17B5" w:rsidRDefault="00274914" w:rsidP="00274914">
            <w:r w:rsidRPr="002F17B5">
              <w:t>Investment assets</w:t>
            </w:r>
          </w:p>
        </w:tc>
        <w:tc>
          <w:tcPr>
            <w:tcW w:w="2126" w:type="dxa"/>
          </w:tcPr>
          <w:p w:rsidR="00274914" w:rsidRPr="002F17B5" w:rsidRDefault="00274914" w:rsidP="002C38A1">
            <w:pPr>
              <w:tabs>
                <w:tab w:val="left" w:pos="1026"/>
              </w:tabs>
              <w:jc w:val="center"/>
            </w:pPr>
            <w:r w:rsidRPr="002F17B5">
              <w:t>1</w:t>
            </w:r>
            <w:r w:rsidR="002C38A1">
              <w:t>5</w:t>
            </w:r>
          </w:p>
        </w:tc>
        <w:tc>
          <w:tcPr>
            <w:tcW w:w="1559" w:type="dxa"/>
          </w:tcPr>
          <w:p w:rsidR="00274914" w:rsidRPr="002F17B5" w:rsidRDefault="00274914" w:rsidP="00274914">
            <w:pPr>
              <w:jc w:val="right"/>
            </w:pPr>
            <w:r w:rsidRPr="002F17B5">
              <w:t>5,192.8</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tcBorders>
          </w:tcPr>
          <w:p w:rsidR="00274914" w:rsidRPr="002F17B5" w:rsidRDefault="002C38A1" w:rsidP="002C38A1">
            <w:pPr>
              <w:jc w:val="right"/>
            </w:pPr>
            <w:r>
              <w:t>*5</w:t>
            </w:r>
            <w:r w:rsidR="00E20042">
              <w:t>,</w:t>
            </w:r>
            <w:r>
              <w:t>107.4</w:t>
            </w:r>
          </w:p>
        </w:tc>
      </w:tr>
      <w:tr w:rsidR="00274914" w:rsidRPr="002F17B5" w:rsidTr="00274914">
        <w:tc>
          <w:tcPr>
            <w:tcW w:w="4208" w:type="dxa"/>
          </w:tcPr>
          <w:p w:rsidR="00274914" w:rsidRPr="002F17B5" w:rsidRDefault="00274914" w:rsidP="00274914">
            <w:r w:rsidRPr="002F17B5">
              <w:t>Investment liabilities</w:t>
            </w:r>
          </w:p>
        </w:tc>
        <w:tc>
          <w:tcPr>
            <w:tcW w:w="2126" w:type="dxa"/>
          </w:tcPr>
          <w:p w:rsidR="00274914" w:rsidRPr="002F17B5" w:rsidRDefault="00274914" w:rsidP="002C38A1">
            <w:pPr>
              <w:tabs>
                <w:tab w:val="left" w:pos="1026"/>
              </w:tabs>
              <w:jc w:val="center"/>
            </w:pPr>
            <w:r w:rsidRPr="002F17B5">
              <w:t>1</w:t>
            </w:r>
            <w:r w:rsidR="002C38A1">
              <w:t>5</w:t>
            </w:r>
          </w:p>
        </w:tc>
        <w:tc>
          <w:tcPr>
            <w:tcW w:w="1559" w:type="dxa"/>
          </w:tcPr>
          <w:p w:rsidR="00274914" w:rsidRPr="002F17B5" w:rsidRDefault="00274914" w:rsidP="00274914">
            <w:pPr>
              <w:jc w:val="right"/>
            </w:pPr>
            <w:r w:rsidRPr="002F17B5">
              <w:t>(21.3)</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tcBorders>
          </w:tcPr>
          <w:p w:rsidR="00274914" w:rsidRPr="002F17B5" w:rsidRDefault="002C38A1" w:rsidP="002C38A1">
            <w:pPr>
              <w:jc w:val="right"/>
            </w:pPr>
            <w:r>
              <w:t>*</w:t>
            </w:r>
            <w:r w:rsidR="00274914" w:rsidRPr="002F17B5">
              <w:t>(1</w:t>
            </w:r>
            <w:r>
              <w:t>18</w:t>
            </w:r>
            <w:r w:rsidR="00E20042">
              <w:t>.</w:t>
            </w:r>
            <w:r>
              <w:t>4</w:t>
            </w:r>
            <w:r w:rsidR="00274914" w:rsidRPr="002F17B5">
              <w:t>)</w:t>
            </w:r>
          </w:p>
        </w:tc>
      </w:tr>
      <w:tr w:rsidR="00274914" w:rsidRPr="002F17B5" w:rsidTr="00274914">
        <w:tc>
          <w:tcPr>
            <w:tcW w:w="4208" w:type="dxa"/>
          </w:tcPr>
          <w:p w:rsidR="00274914" w:rsidRPr="002F17B5" w:rsidRDefault="00274914" w:rsidP="00274914">
            <w:r w:rsidRPr="002F17B5">
              <w:t>Current assets</w:t>
            </w:r>
          </w:p>
        </w:tc>
        <w:tc>
          <w:tcPr>
            <w:tcW w:w="2126" w:type="dxa"/>
          </w:tcPr>
          <w:p w:rsidR="00274914" w:rsidRPr="002F17B5" w:rsidRDefault="00274914" w:rsidP="002C38A1">
            <w:pPr>
              <w:tabs>
                <w:tab w:val="left" w:pos="1026"/>
              </w:tabs>
              <w:jc w:val="center"/>
            </w:pPr>
            <w:r w:rsidRPr="002F17B5">
              <w:t>2</w:t>
            </w:r>
            <w:r w:rsidR="002C38A1">
              <w:t>2</w:t>
            </w:r>
          </w:p>
        </w:tc>
        <w:tc>
          <w:tcPr>
            <w:tcW w:w="1559" w:type="dxa"/>
          </w:tcPr>
          <w:p w:rsidR="00274914" w:rsidRPr="002F17B5" w:rsidRDefault="00274914" w:rsidP="00274914">
            <w:pPr>
              <w:jc w:val="right"/>
            </w:pPr>
            <w:r w:rsidRPr="002F17B5">
              <w:t>28.3</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tcBorders>
          </w:tcPr>
          <w:p w:rsidR="00274914" w:rsidRPr="002F17B5" w:rsidRDefault="00274914" w:rsidP="00274914">
            <w:pPr>
              <w:jc w:val="right"/>
            </w:pPr>
            <w:r w:rsidRPr="002F17B5">
              <w:t>31.7</w:t>
            </w:r>
          </w:p>
        </w:tc>
      </w:tr>
      <w:tr w:rsidR="00274914" w:rsidRPr="002F17B5" w:rsidTr="00274914">
        <w:tc>
          <w:tcPr>
            <w:tcW w:w="4208" w:type="dxa"/>
          </w:tcPr>
          <w:p w:rsidR="00274914" w:rsidRPr="002F17B5" w:rsidRDefault="00274914" w:rsidP="00274914">
            <w:r w:rsidRPr="002F17B5">
              <w:t>Current liabilities</w:t>
            </w:r>
          </w:p>
        </w:tc>
        <w:tc>
          <w:tcPr>
            <w:tcW w:w="2126" w:type="dxa"/>
          </w:tcPr>
          <w:p w:rsidR="00274914" w:rsidRPr="002F17B5" w:rsidRDefault="00274914" w:rsidP="002C38A1">
            <w:pPr>
              <w:tabs>
                <w:tab w:val="left" w:pos="1026"/>
              </w:tabs>
              <w:jc w:val="center"/>
            </w:pPr>
            <w:r w:rsidRPr="002F17B5">
              <w:t>2</w:t>
            </w:r>
            <w:r w:rsidR="002C38A1">
              <w:t>3</w:t>
            </w:r>
          </w:p>
        </w:tc>
        <w:tc>
          <w:tcPr>
            <w:tcW w:w="1559" w:type="dxa"/>
            <w:tcBorders>
              <w:bottom w:val="single" w:sz="18" w:space="0" w:color="auto"/>
            </w:tcBorders>
          </w:tcPr>
          <w:p w:rsidR="00274914" w:rsidRPr="002F17B5" w:rsidRDefault="00274914" w:rsidP="00274914">
            <w:pPr>
              <w:jc w:val="right"/>
            </w:pPr>
            <w:r w:rsidRPr="002F17B5">
              <w:t>(11.7)</w:t>
            </w:r>
          </w:p>
        </w:tc>
        <w:tc>
          <w:tcPr>
            <w:tcW w:w="430" w:type="dxa"/>
            <w:tcBorders>
              <w:right w:val="single" w:sz="4" w:space="0" w:color="FFFFFF" w:themeColor="background1"/>
            </w:tcBorders>
          </w:tcPr>
          <w:p w:rsidR="00274914" w:rsidRPr="002F17B5" w:rsidRDefault="00274914" w:rsidP="00274914">
            <w:pPr>
              <w:jc w:val="right"/>
            </w:pPr>
          </w:p>
        </w:tc>
        <w:tc>
          <w:tcPr>
            <w:tcW w:w="1555" w:type="dxa"/>
            <w:tcBorders>
              <w:left w:val="single" w:sz="4" w:space="0" w:color="FFFFFF" w:themeColor="background1"/>
              <w:bottom w:val="single" w:sz="18" w:space="0" w:color="auto"/>
            </w:tcBorders>
          </w:tcPr>
          <w:p w:rsidR="00274914" w:rsidRPr="002F17B5" w:rsidRDefault="00274914" w:rsidP="00274914">
            <w:pPr>
              <w:jc w:val="right"/>
            </w:pPr>
            <w:r w:rsidRPr="002F17B5">
              <w:t>(9.7)</w:t>
            </w:r>
          </w:p>
        </w:tc>
      </w:tr>
      <w:tr w:rsidR="00274914" w:rsidRPr="002F17B5" w:rsidTr="00274914">
        <w:tc>
          <w:tcPr>
            <w:tcW w:w="4208" w:type="dxa"/>
          </w:tcPr>
          <w:p w:rsidR="00274914" w:rsidRPr="002F17B5" w:rsidRDefault="00274914" w:rsidP="00274914">
            <w:pPr>
              <w:spacing w:before="120"/>
            </w:pPr>
            <w:r w:rsidRPr="002F17B5">
              <w:t>Net assets of the fund available to fund benefits at the period end</w:t>
            </w:r>
          </w:p>
        </w:tc>
        <w:tc>
          <w:tcPr>
            <w:tcW w:w="2126" w:type="dxa"/>
          </w:tcPr>
          <w:p w:rsidR="00274914" w:rsidRPr="002F17B5" w:rsidRDefault="00274914" w:rsidP="00274914">
            <w:pPr>
              <w:spacing w:before="120"/>
              <w:jc w:val="right"/>
            </w:pPr>
          </w:p>
        </w:tc>
        <w:tc>
          <w:tcPr>
            <w:tcW w:w="1559" w:type="dxa"/>
            <w:tcBorders>
              <w:top w:val="single" w:sz="18" w:space="0" w:color="auto"/>
              <w:bottom w:val="single" w:sz="18" w:space="0" w:color="auto"/>
            </w:tcBorders>
          </w:tcPr>
          <w:p w:rsidR="00274914" w:rsidRPr="002F17B5" w:rsidRDefault="00274914" w:rsidP="00274914">
            <w:pPr>
              <w:spacing w:before="120"/>
              <w:jc w:val="right"/>
            </w:pPr>
            <w:r w:rsidRPr="002F17B5">
              <w:t>5,188.1</w:t>
            </w:r>
          </w:p>
        </w:tc>
        <w:tc>
          <w:tcPr>
            <w:tcW w:w="430" w:type="dxa"/>
            <w:tcBorders>
              <w:right w:val="single" w:sz="4" w:space="0" w:color="FFFFFF" w:themeColor="background1"/>
            </w:tcBorders>
          </w:tcPr>
          <w:p w:rsidR="00274914" w:rsidRPr="002F17B5" w:rsidRDefault="00274914" w:rsidP="00274914">
            <w:pPr>
              <w:spacing w:before="120"/>
            </w:pPr>
          </w:p>
        </w:tc>
        <w:tc>
          <w:tcPr>
            <w:tcW w:w="1555" w:type="dxa"/>
            <w:tcBorders>
              <w:top w:val="single" w:sz="18" w:space="0" w:color="auto"/>
              <w:left w:val="single" w:sz="4" w:space="0" w:color="FFFFFF" w:themeColor="background1"/>
              <w:bottom w:val="single" w:sz="18" w:space="0" w:color="auto"/>
            </w:tcBorders>
          </w:tcPr>
          <w:p w:rsidR="00274914" w:rsidRPr="002F17B5" w:rsidRDefault="00274914" w:rsidP="00274914">
            <w:pPr>
              <w:spacing w:before="120"/>
              <w:jc w:val="right"/>
            </w:pPr>
            <w:r w:rsidRPr="002F17B5">
              <w:t>5,011.0</w:t>
            </w:r>
          </w:p>
        </w:tc>
      </w:tr>
    </w:tbl>
    <w:p w:rsidR="00274914" w:rsidRPr="002F17B5" w:rsidRDefault="00274914" w:rsidP="00274914"/>
    <w:p w:rsidR="00274914" w:rsidRPr="002F17B5" w:rsidRDefault="00274914" w:rsidP="00274914"/>
    <w:p w:rsidR="002C38A1" w:rsidRDefault="002C38A1" w:rsidP="002C38A1">
      <w:pPr>
        <w:pStyle w:val="ListParagraph"/>
        <w:ind w:left="426"/>
      </w:pPr>
      <w:r>
        <w:t>*The prior year has been restated to present new forward currency contracts in a comparable manner</w:t>
      </w:r>
    </w:p>
    <w:p w:rsidR="002C38A1" w:rsidRDefault="002C38A1" w:rsidP="002C38A1">
      <w:pPr>
        <w:pStyle w:val="ListParagraph"/>
      </w:pPr>
    </w:p>
    <w:p w:rsidR="00274914" w:rsidRPr="002F17B5" w:rsidRDefault="00274914" w:rsidP="002C38A1">
      <w:pPr>
        <w:ind w:left="360"/>
      </w:pPr>
      <w:r w:rsidRPr="002F17B5">
        <w:t>The Pension Fund's financial statements do not take account of liabilities to pay pensions and other benefits after the period end.</w:t>
      </w:r>
    </w:p>
    <w:p w:rsidR="00274914" w:rsidRPr="002F17B5" w:rsidRDefault="00274914" w:rsidP="00274914"/>
    <w:p w:rsidR="00274914" w:rsidRPr="00384419" w:rsidRDefault="00274914" w:rsidP="002C38A1">
      <w:pPr>
        <w:pStyle w:val="Heading3"/>
        <w:ind w:left="426"/>
        <w:rPr>
          <w:rFonts w:ascii="Arial" w:hAnsi="Arial" w:cs="Arial"/>
          <w:b w:val="0"/>
          <w:i w:val="0"/>
          <w:sz w:val="24"/>
          <w:szCs w:val="24"/>
          <w:lang w:eastAsia="en-GB"/>
        </w:rPr>
      </w:pPr>
      <w:r w:rsidRPr="00384419">
        <w:rPr>
          <w:rFonts w:ascii="Arial" w:hAnsi="Arial" w:cs="Arial"/>
          <w:b w:val="0"/>
          <w:i w:val="0"/>
          <w:sz w:val="24"/>
          <w:szCs w:val="24"/>
          <w:lang w:eastAsia="en-GB"/>
        </w:rPr>
        <w:t>This statement of accounts is that upon which the auditor should enter his certificate and opinion.  It presents fairly the position of the Lancashire County Pension Fund at 31 March 2014 and its income and expenditure for the year then ended.</w:t>
      </w:r>
    </w:p>
    <w:p w:rsidR="00274914" w:rsidRPr="002F17B5" w:rsidRDefault="00274914" w:rsidP="00274914"/>
    <w:p w:rsidR="00274914" w:rsidRPr="002F17B5" w:rsidRDefault="00274914" w:rsidP="00274914"/>
    <w:p w:rsidR="00274914" w:rsidRPr="002F17B5" w:rsidRDefault="00274914" w:rsidP="00274914"/>
    <w:p w:rsidR="00274914" w:rsidRPr="002F17B5" w:rsidRDefault="00274914" w:rsidP="00274914"/>
    <w:p w:rsidR="00274914" w:rsidRPr="002F17B5" w:rsidRDefault="00274914" w:rsidP="00274914"/>
    <w:p w:rsidR="00274914" w:rsidRPr="002F17B5" w:rsidRDefault="00274914" w:rsidP="00274914"/>
    <w:p w:rsidR="00274914" w:rsidRPr="002F17B5" w:rsidRDefault="00274914" w:rsidP="00274914"/>
    <w:tbl>
      <w:tblPr>
        <w:tblW w:w="0" w:type="auto"/>
        <w:tblLook w:val="04A0" w:firstRow="1" w:lastRow="0" w:firstColumn="1" w:lastColumn="0" w:noHBand="0" w:noVBand="1"/>
      </w:tblPr>
      <w:tblGrid>
        <w:gridCol w:w="4926"/>
        <w:gridCol w:w="4927"/>
      </w:tblGrid>
      <w:tr w:rsidR="00274914" w:rsidRPr="002F17B5" w:rsidTr="00274914">
        <w:tc>
          <w:tcPr>
            <w:tcW w:w="4926" w:type="dxa"/>
          </w:tcPr>
          <w:p w:rsidR="00274914" w:rsidRPr="002F17B5" w:rsidRDefault="00274914" w:rsidP="00274914">
            <w:pPr>
              <w:rPr>
                <w:b/>
              </w:rPr>
            </w:pPr>
            <w:r w:rsidRPr="002F17B5">
              <w:rPr>
                <w:b/>
              </w:rPr>
              <w:t>Gill Kilpatrick CPFA</w:t>
            </w:r>
            <w:r w:rsidRPr="002F17B5">
              <w:rPr>
                <w:b/>
              </w:rPr>
              <w:tab/>
              <w:t xml:space="preserve"> </w:t>
            </w:r>
          </w:p>
        </w:tc>
        <w:tc>
          <w:tcPr>
            <w:tcW w:w="4927" w:type="dxa"/>
          </w:tcPr>
          <w:p w:rsidR="00274914" w:rsidRPr="002F17B5" w:rsidRDefault="00274914" w:rsidP="00274914">
            <w:pPr>
              <w:rPr>
                <w:b/>
              </w:rPr>
            </w:pPr>
            <w:r w:rsidRPr="002F17B5">
              <w:rPr>
                <w:b/>
              </w:rPr>
              <w:t>County Councillor Clare Pritchard</w:t>
            </w:r>
          </w:p>
        </w:tc>
      </w:tr>
      <w:tr w:rsidR="00274914" w:rsidRPr="002F17B5" w:rsidTr="00274914">
        <w:tc>
          <w:tcPr>
            <w:tcW w:w="4926" w:type="dxa"/>
          </w:tcPr>
          <w:p w:rsidR="00274914" w:rsidRPr="002F17B5" w:rsidRDefault="00274914" w:rsidP="00274914">
            <w:pPr>
              <w:rPr>
                <w:b/>
              </w:rPr>
            </w:pPr>
          </w:p>
        </w:tc>
        <w:tc>
          <w:tcPr>
            <w:tcW w:w="4927" w:type="dxa"/>
          </w:tcPr>
          <w:p w:rsidR="00274914" w:rsidRPr="002F17B5" w:rsidRDefault="00274914" w:rsidP="00274914">
            <w:pPr>
              <w:rPr>
                <w:b/>
              </w:rPr>
            </w:pPr>
          </w:p>
        </w:tc>
      </w:tr>
      <w:tr w:rsidR="00274914" w:rsidRPr="002F17B5" w:rsidTr="00274914">
        <w:tc>
          <w:tcPr>
            <w:tcW w:w="4926" w:type="dxa"/>
          </w:tcPr>
          <w:p w:rsidR="00274914" w:rsidRPr="002F17B5" w:rsidRDefault="00274914" w:rsidP="00274914">
            <w:pPr>
              <w:rPr>
                <w:b/>
              </w:rPr>
            </w:pPr>
            <w:r w:rsidRPr="002F17B5">
              <w:rPr>
                <w:b/>
              </w:rPr>
              <w:t>Treasurer to the Lancashire</w:t>
            </w:r>
          </w:p>
          <w:p w:rsidR="00274914" w:rsidRPr="002F17B5" w:rsidRDefault="00274914" w:rsidP="00274914">
            <w:pPr>
              <w:rPr>
                <w:b/>
              </w:rPr>
            </w:pPr>
            <w:r w:rsidRPr="002F17B5">
              <w:rPr>
                <w:b/>
              </w:rPr>
              <w:t>County Pension Fund</w:t>
            </w:r>
          </w:p>
        </w:tc>
        <w:tc>
          <w:tcPr>
            <w:tcW w:w="4927" w:type="dxa"/>
          </w:tcPr>
          <w:p w:rsidR="00274914" w:rsidRPr="002F17B5" w:rsidRDefault="00274914" w:rsidP="00274914">
            <w:pPr>
              <w:rPr>
                <w:b/>
              </w:rPr>
            </w:pPr>
            <w:r w:rsidRPr="002F17B5">
              <w:rPr>
                <w:b/>
              </w:rPr>
              <w:t>Chair of the Audit Committee</w:t>
            </w:r>
          </w:p>
        </w:tc>
      </w:tr>
      <w:tr w:rsidR="00274914" w:rsidRPr="002F17B5" w:rsidTr="00274914">
        <w:tc>
          <w:tcPr>
            <w:tcW w:w="4926" w:type="dxa"/>
          </w:tcPr>
          <w:p w:rsidR="00274914" w:rsidRPr="002F17B5" w:rsidRDefault="00274914" w:rsidP="00274914">
            <w:pPr>
              <w:rPr>
                <w:b/>
              </w:rPr>
            </w:pPr>
          </w:p>
        </w:tc>
        <w:tc>
          <w:tcPr>
            <w:tcW w:w="4927" w:type="dxa"/>
          </w:tcPr>
          <w:p w:rsidR="00274914" w:rsidRPr="002F17B5" w:rsidRDefault="00274914" w:rsidP="00274914">
            <w:pPr>
              <w:rPr>
                <w:b/>
              </w:rPr>
            </w:pPr>
          </w:p>
        </w:tc>
      </w:tr>
    </w:tbl>
    <w:p w:rsidR="00274914" w:rsidRPr="002C38A1" w:rsidRDefault="00274914" w:rsidP="002C38A1">
      <w:pPr>
        <w:rPr>
          <w:b/>
          <w:i/>
        </w:rPr>
      </w:pPr>
      <w:r w:rsidRPr="002F17B5">
        <w:br w:type="page"/>
      </w:r>
      <w:r w:rsidR="002C38A1" w:rsidRPr="002C38A1">
        <w:rPr>
          <w:b/>
        </w:rPr>
        <w:lastRenderedPageBreak/>
        <w:t>No</w:t>
      </w:r>
      <w:r w:rsidRPr="002C38A1">
        <w:rPr>
          <w:b/>
        </w:rPr>
        <w:t>tes to the Financial Statements</w:t>
      </w:r>
    </w:p>
    <w:p w:rsidR="00274914" w:rsidRPr="002F17B5" w:rsidRDefault="00274914" w:rsidP="00274914"/>
    <w:p w:rsidR="00274914" w:rsidRPr="002F17B5" w:rsidRDefault="00274914" w:rsidP="009A4C35">
      <w:pPr>
        <w:numPr>
          <w:ilvl w:val="0"/>
          <w:numId w:val="75"/>
        </w:numPr>
        <w:tabs>
          <w:tab w:val="num" w:pos="567"/>
        </w:tabs>
        <w:autoSpaceDE/>
        <w:autoSpaceDN/>
        <w:adjustRightInd/>
        <w:spacing w:before="0" w:after="240"/>
        <w:rPr>
          <w:b/>
        </w:rPr>
      </w:pPr>
      <w:r w:rsidRPr="002F17B5">
        <w:rPr>
          <w:b/>
        </w:rPr>
        <w:t xml:space="preserve">Pension Fund Operations and Membership </w:t>
      </w:r>
    </w:p>
    <w:p w:rsidR="00274914" w:rsidRPr="002F17B5" w:rsidRDefault="00274914" w:rsidP="00274914">
      <w:pPr>
        <w:ind w:left="567"/>
      </w:pPr>
      <w:r w:rsidRPr="002F17B5">
        <w:t xml:space="preserve">The Lancashire County Pension Fund is part of the Local Government Pension Scheme and is administered by Lancashire County Council. The county council is the reporting entity for this pension fund.  </w:t>
      </w:r>
    </w:p>
    <w:p w:rsidR="00274914" w:rsidRPr="002F17B5" w:rsidRDefault="00274914" w:rsidP="00274914">
      <w:pPr>
        <w:ind w:left="567"/>
      </w:pPr>
    </w:p>
    <w:p w:rsidR="00274914" w:rsidRPr="002F17B5" w:rsidRDefault="00274914" w:rsidP="00274914">
      <w:pPr>
        <w:ind w:left="567"/>
      </w:pPr>
      <w:r w:rsidRPr="002F17B5">
        <w:t xml:space="preserve">The published accounts show that in </w:t>
      </w:r>
      <w:r w:rsidRPr="002F17B5">
        <w:rPr>
          <w:caps/>
        </w:rPr>
        <w:t>2013/14</w:t>
      </w:r>
      <w:r w:rsidRPr="002F17B5">
        <w:t xml:space="preserve"> cash inflows during the year consisted of £326.4 million and cash outflows were £252.2 million, representing a net cash inflow of £74.2 million (compared with an inflow of £98.4 million in the previous year).  Benefits payable amounted to £221.1 million and were partially offset by net investment income of £105.3 million (including £12.4 million accrued dividends); contributions of £214.0 million and transfers in of £7.1 million produced the positive cash inflow.</w:t>
      </w:r>
    </w:p>
    <w:p w:rsidR="00274914" w:rsidRPr="002F17B5" w:rsidRDefault="00274914" w:rsidP="00274914">
      <w:pPr>
        <w:ind w:left="567"/>
      </w:pPr>
    </w:p>
    <w:p w:rsidR="00274914" w:rsidRPr="002F17B5" w:rsidRDefault="00274914" w:rsidP="009A4C35">
      <w:pPr>
        <w:pStyle w:val="ListParagraph"/>
        <w:numPr>
          <w:ilvl w:val="0"/>
          <w:numId w:val="80"/>
        </w:numPr>
        <w:autoSpaceDE/>
        <w:autoSpaceDN/>
        <w:adjustRightInd/>
        <w:spacing w:before="0" w:after="0"/>
        <w:ind w:left="993" w:hanging="426"/>
        <w:jc w:val="left"/>
        <w:rPr>
          <w:b/>
        </w:rPr>
      </w:pPr>
      <w:r w:rsidRPr="002F17B5">
        <w:rPr>
          <w:b/>
        </w:rPr>
        <w:t>General</w:t>
      </w:r>
    </w:p>
    <w:p w:rsidR="00274914" w:rsidRPr="002F17B5" w:rsidRDefault="00274914" w:rsidP="00274914">
      <w:pPr>
        <w:ind w:left="567"/>
      </w:pPr>
    </w:p>
    <w:p w:rsidR="00274914" w:rsidRPr="002F17B5" w:rsidRDefault="00274914" w:rsidP="00274914">
      <w:pPr>
        <w:ind w:left="567"/>
      </w:pPr>
      <w:r w:rsidRPr="002F17B5">
        <w:t>The Fund is governed by the Superannuation Act 1972.  The fund is administered in accordance with the following secondary legislation:</w:t>
      </w:r>
    </w:p>
    <w:p w:rsidR="00274914" w:rsidRPr="002F17B5" w:rsidRDefault="00274914" w:rsidP="00274914">
      <w:pPr>
        <w:ind w:left="567"/>
      </w:pPr>
    </w:p>
    <w:p w:rsidR="00274914" w:rsidRPr="002F17B5" w:rsidRDefault="00274914" w:rsidP="009A4C35">
      <w:pPr>
        <w:pStyle w:val="ListParagraph"/>
        <w:numPr>
          <w:ilvl w:val="0"/>
          <w:numId w:val="81"/>
        </w:numPr>
        <w:autoSpaceDE/>
        <w:autoSpaceDN/>
        <w:adjustRightInd/>
        <w:spacing w:before="0" w:after="0"/>
        <w:jc w:val="left"/>
      </w:pPr>
      <w:r w:rsidRPr="002F17B5">
        <w:t>the LGPS (Benefits, Membership and Contributions) Regulations 2007 (as amended)</w:t>
      </w:r>
    </w:p>
    <w:p w:rsidR="00274914" w:rsidRPr="002F17B5" w:rsidRDefault="00274914" w:rsidP="009A4C35">
      <w:pPr>
        <w:pStyle w:val="ListParagraph"/>
        <w:numPr>
          <w:ilvl w:val="0"/>
          <w:numId w:val="81"/>
        </w:numPr>
        <w:autoSpaceDE/>
        <w:autoSpaceDN/>
        <w:adjustRightInd/>
        <w:spacing w:before="0" w:after="0"/>
        <w:jc w:val="left"/>
      </w:pPr>
      <w:r w:rsidRPr="002F17B5">
        <w:t>the LGPS (Administration) Regulations 2008 (as amended)</w:t>
      </w:r>
    </w:p>
    <w:p w:rsidR="00274914" w:rsidRPr="002F17B5" w:rsidRDefault="00274914" w:rsidP="009A4C35">
      <w:pPr>
        <w:pStyle w:val="ListParagraph"/>
        <w:numPr>
          <w:ilvl w:val="0"/>
          <w:numId w:val="81"/>
        </w:numPr>
        <w:autoSpaceDE/>
        <w:autoSpaceDN/>
        <w:adjustRightInd/>
        <w:spacing w:before="0" w:after="0"/>
        <w:jc w:val="left"/>
      </w:pPr>
      <w:r w:rsidRPr="002F17B5">
        <w:t>the LGPS (Management and Investment of Funds) Regulations 2009</w:t>
      </w:r>
    </w:p>
    <w:p w:rsidR="00274914" w:rsidRPr="002F17B5" w:rsidRDefault="00274914" w:rsidP="00274914">
      <w:pPr>
        <w:ind w:left="567"/>
      </w:pPr>
    </w:p>
    <w:p w:rsidR="00274914" w:rsidRPr="002F17B5" w:rsidRDefault="00274914" w:rsidP="00274914">
      <w:pPr>
        <w:ind w:left="567"/>
      </w:pPr>
      <w:r w:rsidRPr="002F17B5">
        <w:t>The fund is a contributory defined benefit pension scheme administered by Lancashire County Council to provide pensions and other benefits for pensionable employees of Lancashire County Council, the district councils in Lancashire and a range of other scheduled and admitted bodies within the county area.  Teachers, police officers and fire-fighters are not included within the Fund as they come within other national pension schemes.</w:t>
      </w:r>
    </w:p>
    <w:p w:rsidR="00274914" w:rsidRPr="002F17B5" w:rsidRDefault="00274914" w:rsidP="00274914">
      <w:pPr>
        <w:ind w:left="567"/>
      </w:pPr>
    </w:p>
    <w:p w:rsidR="00274914" w:rsidRPr="002F17B5" w:rsidRDefault="00274914" w:rsidP="00274914">
      <w:pPr>
        <w:ind w:left="567"/>
      </w:pPr>
      <w:r w:rsidRPr="002F17B5">
        <w:t xml:space="preserve">The investments of the Pension Fund are managed by eleven external investment managers.  The asset allocation and policy in respect of the investments of the Fund is determined by the Pension Fund Committee, which meets four times a year with the Investment Panel in attendance.  The Investment Panel meet at least quarterly, or otherwise as necessary.  The </w:t>
      </w:r>
      <w:r w:rsidR="009205CF">
        <w:t>P</w:t>
      </w:r>
      <w:r w:rsidRPr="002F17B5">
        <w:t xml:space="preserve">anel are responsible for making recommendations to the Pension Fund Committee in relation to the investment strategy of the fund as well as monitoring the activities and performance of the investment managers.  Full details of the Panel and Committees responsibilities are published in the Funds Statement of Investment Principles and are available from the Funds website at </w:t>
      </w:r>
      <w:hyperlink r:id="rId56" w:history="1">
        <w:r w:rsidRPr="002F17B5">
          <w:rPr>
            <w:rStyle w:val="Hyperlink"/>
          </w:rPr>
          <w:t>http://www.yourpensionservice.org.uk</w:t>
        </w:r>
      </w:hyperlink>
    </w:p>
    <w:p w:rsidR="00274914" w:rsidRPr="002F17B5" w:rsidRDefault="00274914" w:rsidP="00274914">
      <w:pPr>
        <w:ind w:left="567"/>
      </w:pPr>
    </w:p>
    <w:p w:rsidR="00274914" w:rsidRDefault="00274914" w:rsidP="00274914">
      <w:pPr>
        <w:ind w:left="567"/>
      </w:pPr>
    </w:p>
    <w:p w:rsidR="00515C2F" w:rsidRPr="002F17B5" w:rsidRDefault="00515C2F" w:rsidP="00274914">
      <w:pPr>
        <w:ind w:left="567"/>
      </w:pPr>
    </w:p>
    <w:p w:rsidR="00274914" w:rsidRPr="002F17B5" w:rsidRDefault="00274914" w:rsidP="009A4C35">
      <w:pPr>
        <w:pStyle w:val="ListParagraph"/>
        <w:numPr>
          <w:ilvl w:val="0"/>
          <w:numId w:val="80"/>
        </w:numPr>
        <w:autoSpaceDE/>
        <w:autoSpaceDN/>
        <w:adjustRightInd/>
        <w:spacing w:before="0" w:after="0"/>
        <w:ind w:left="993" w:hanging="426"/>
        <w:jc w:val="left"/>
      </w:pPr>
      <w:r w:rsidRPr="002F17B5">
        <w:rPr>
          <w:b/>
        </w:rPr>
        <w:t>Membership</w:t>
      </w:r>
    </w:p>
    <w:p w:rsidR="00274914" w:rsidRPr="002F17B5" w:rsidRDefault="00274914" w:rsidP="00274914">
      <w:pPr>
        <w:ind w:left="567"/>
      </w:pPr>
    </w:p>
    <w:p w:rsidR="00274914" w:rsidRPr="002F17B5" w:rsidRDefault="00274914" w:rsidP="00274914">
      <w:pPr>
        <w:ind w:left="567"/>
      </w:pPr>
      <w:r w:rsidRPr="002F17B5">
        <w:t>Membership of the LGPS is voluntary and employees are free to choose whether to join the scheme, remain in the scheme or make their own personal arrangements outside the scheme.</w:t>
      </w:r>
    </w:p>
    <w:p w:rsidR="00274914" w:rsidRPr="002F17B5" w:rsidRDefault="00274914" w:rsidP="00274914">
      <w:pPr>
        <w:ind w:left="567"/>
      </w:pPr>
    </w:p>
    <w:p w:rsidR="00274914" w:rsidRPr="002F17B5" w:rsidRDefault="00274914" w:rsidP="00274914">
      <w:pPr>
        <w:ind w:left="567"/>
      </w:pPr>
      <w:r w:rsidRPr="002F17B5">
        <w:t>The 297 organisations participating in the Lancashire County Pension Fund include:</w:t>
      </w:r>
    </w:p>
    <w:p w:rsidR="00274914" w:rsidRPr="002F17B5" w:rsidRDefault="00274914" w:rsidP="00274914">
      <w:pPr>
        <w:ind w:left="567"/>
      </w:pPr>
    </w:p>
    <w:p w:rsidR="00274914" w:rsidRPr="002F17B5" w:rsidRDefault="00274914" w:rsidP="009A4C35">
      <w:pPr>
        <w:pStyle w:val="ListParagraph"/>
        <w:numPr>
          <w:ilvl w:val="0"/>
          <w:numId w:val="82"/>
        </w:numPr>
        <w:autoSpaceDE/>
        <w:autoSpaceDN/>
        <w:adjustRightInd/>
        <w:spacing w:before="0" w:after="0"/>
        <w:jc w:val="left"/>
      </w:pPr>
      <w:r w:rsidRPr="002F17B5">
        <w:t>Scheduled bodies, which are local authorities and similar bodies whose staff are automatically entitled to be members of the fund.</w:t>
      </w:r>
    </w:p>
    <w:p w:rsidR="00274914" w:rsidRPr="002F17B5" w:rsidRDefault="00274914" w:rsidP="009A4C35">
      <w:pPr>
        <w:pStyle w:val="ListParagraph"/>
        <w:numPr>
          <w:ilvl w:val="0"/>
          <w:numId w:val="82"/>
        </w:numPr>
        <w:autoSpaceDE/>
        <w:autoSpaceDN/>
        <w:adjustRightInd/>
        <w:spacing w:before="0" w:after="0"/>
        <w:jc w:val="left"/>
      </w:pPr>
      <w:r w:rsidRPr="002F17B5">
        <w:t xml:space="preserve">Admitted bodies, which are other organisations that participate in the fund under an admission agreement between the fund and the relevant organisation.  </w:t>
      </w:r>
    </w:p>
    <w:p w:rsidR="00274914" w:rsidRPr="002F17B5" w:rsidRDefault="00274914" w:rsidP="009A4C35">
      <w:pPr>
        <w:pStyle w:val="ListParagraph"/>
        <w:numPr>
          <w:ilvl w:val="0"/>
          <w:numId w:val="82"/>
        </w:numPr>
        <w:autoSpaceDE/>
        <w:autoSpaceDN/>
        <w:adjustRightInd/>
        <w:spacing w:before="0" w:after="0"/>
        <w:jc w:val="left"/>
      </w:pPr>
      <w:r w:rsidRPr="002F17B5">
        <w:t>Admitted bodies include voluntary, charitable and similar bodies or private contractors undertaking a local authority function following outsourcing to the private sector.</w:t>
      </w:r>
    </w:p>
    <w:p w:rsidR="00274914" w:rsidRPr="002F17B5" w:rsidRDefault="00274914" w:rsidP="00274914"/>
    <w:p w:rsidR="00274914" w:rsidRPr="00384419" w:rsidRDefault="00274914" w:rsidP="00274914">
      <w:pPr>
        <w:pStyle w:val="Heading1"/>
        <w:spacing w:before="0" w:after="0"/>
        <w:ind w:left="567"/>
        <w:rPr>
          <w:rFonts w:ascii="Arial" w:hAnsi="Arial" w:cs="Arial"/>
          <w:snapToGrid w:val="0"/>
          <w:color w:val="000000"/>
          <w:sz w:val="24"/>
          <w:szCs w:val="24"/>
        </w:rPr>
      </w:pPr>
      <w:r w:rsidRPr="00384419">
        <w:rPr>
          <w:rFonts w:ascii="Arial" w:hAnsi="Arial" w:cs="Arial"/>
          <w:snapToGrid w:val="0"/>
          <w:color w:val="000000"/>
          <w:sz w:val="24"/>
          <w:szCs w:val="24"/>
        </w:rPr>
        <w:t>Participation in the Pension Fund</w:t>
      </w:r>
    </w:p>
    <w:p w:rsidR="00274914" w:rsidRPr="002F17B5" w:rsidRDefault="00274914" w:rsidP="00274914"/>
    <w:tbl>
      <w:tblPr>
        <w:tblStyle w:val="TableGrid"/>
        <w:tblW w:w="0" w:type="auto"/>
        <w:tblInd w:w="675" w:type="dxa"/>
        <w:tblLook w:val="04A0" w:firstRow="1" w:lastRow="0" w:firstColumn="1" w:lastColumn="0" w:noHBand="0" w:noVBand="1"/>
      </w:tblPr>
      <w:tblGrid>
        <w:gridCol w:w="4111"/>
        <w:gridCol w:w="2552"/>
        <w:gridCol w:w="2268"/>
      </w:tblGrid>
      <w:tr w:rsidR="00274914" w:rsidRPr="002F17B5" w:rsidTr="00274914">
        <w:tc>
          <w:tcPr>
            <w:tcW w:w="4111"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tc>
        <w:tc>
          <w:tcPr>
            <w:tcW w:w="2552" w:type="dxa"/>
            <w:tcBorders>
              <w:top w:val="single" w:sz="18" w:space="0" w:color="auto"/>
              <w:left w:val="single" w:sz="18" w:space="0" w:color="auto"/>
              <w:bottom w:val="single" w:sz="18" w:space="0" w:color="auto"/>
              <w:right w:val="single" w:sz="18" w:space="0" w:color="auto"/>
            </w:tcBorders>
          </w:tcPr>
          <w:p w:rsidR="00274914" w:rsidRPr="002F17B5" w:rsidRDefault="00274914" w:rsidP="00A13302">
            <w:pPr>
              <w:jc w:val="right"/>
              <w:rPr>
                <w:b/>
              </w:rPr>
            </w:pPr>
            <w:r w:rsidRPr="002F17B5">
              <w:rPr>
                <w:b/>
              </w:rPr>
              <w:t xml:space="preserve">Number at </w:t>
            </w:r>
          </w:p>
          <w:p w:rsidR="00274914" w:rsidRPr="002F17B5" w:rsidRDefault="00A13302" w:rsidP="00A13302">
            <w:pPr>
              <w:jc w:val="right"/>
              <w:rPr>
                <w:b/>
              </w:rPr>
            </w:pPr>
            <w:r w:rsidRPr="002F17B5">
              <w:rPr>
                <w:b/>
              </w:rPr>
              <w:t>31/03/14</w:t>
            </w:r>
          </w:p>
        </w:tc>
        <w:tc>
          <w:tcPr>
            <w:tcW w:w="2268" w:type="dxa"/>
            <w:tcBorders>
              <w:top w:val="single" w:sz="18" w:space="0" w:color="auto"/>
              <w:left w:val="single" w:sz="18" w:space="0" w:color="auto"/>
              <w:bottom w:val="single" w:sz="18" w:space="0" w:color="auto"/>
              <w:right w:val="single" w:sz="18" w:space="0" w:color="auto"/>
            </w:tcBorders>
          </w:tcPr>
          <w:p w:rsidR="00274914" w:rsidRPr="002F17B5" w:rsidRDefault="00274914" w:rsidP="00A13302">
            <w:pPr>
              <w:jc w:val="right"/>
              <w:rPr>
                <w:b/>
              </w:rPr>
            </w:pPr>
            <w:r w:rsidRPr="002F17B5">
              <w:rPr>
                <w:b/>
              </w:rPr>
              <w:t xml:space="preserve">Number at </w:t>
            </w:r>
          </w:p>
          <w:p w:rsidR="00274914" w:rsidRPr="002F17B5" w:rsidRDefault="00274914" w:rsidP="00A13302">
            <w:pPr>
              <w:jc w:val="right"/>
              <w:rPr>
                <w:b/>
              </w:rPr>
            </w:pPr>
            <w:r w:rsidRPr="002F17B5">
              <w:rPr>
                <w:b/>
              </w:rPr>
              <w:t>31</w:t>
            </w:r>
            <w:r w:rsidR="00A13302" w:rsidRPr="002F17B5">
              <w:rPr>
                <w:b/>
              </w:rPr>
              <w:t>/03/</w:t>
            </w:r>
            <w:r w:rsidRPr="002F17B5">
              <w:rPr>
                <w:b/>
              </w:rPr>
              <w:t>13</w:t>
            </w:r>
          </w:p>
        </w:tc>
      </w:tr>
      <w:tr w:rsidR="00274914" w:rsidRPr="002F17B5" w:rsidTr="00274914">
        <w:tc>
          <w:tcPr>
            <w:tcW w:w="4111" w:type="dxa"/>
            <w:tcBorders>
              <w:top w:val="single" w:sz="18" w:space="0" w:color="auto"/>
              <w:left w:val="single" w:sz="18" w:space="0" w:color="auto"/>
              <w:bottom w:val="single" w:sz="18" w:space="0" w:color="FFFFFF" w:themeColor="background1"/>
              <w:right w:val="single" w:sz="18" w:space="0" w:color="auto"/>
            </w:tcBorders>
          </w:tcPr>
          <w:p w:rsidR="00274914" w:rsidRPr="002F17B5" w:rsidRDefault="00274914" w:rsidP="009A4C35">
            <w:pPr>
              <w:pStyle w:val="ListParagraph"/>
              <w:numPr>
                <w:ilvl w:val="0"/>
                <w:numId w:val="79"/>
              </w:numPr>
              <w:autoSpaceDE/>
              <w:autoSpaceDN/>
              <w:adjustRightInd/>
              <w:spacing w:before="0" w:after="0"/>
              <w:ind w:hanging="686"/>
              <w:jc w:val="left"/>
            </w:pPr>
            <w:r w:rsidRPr="002F17B5">
              <w:t>Active Scheme Members</w:t>
            </w:r>
          </w:p>
          <w:p w:rsidR="00274914" w:rsidRPr="002F17B5" w:rsidRDefault="00274914" w:rsidP="00274914">
            <w:pPr>
              <w:pStyle w:val="ListParagraph"/>
            </w:pPr>
          </w:p>
          <w:p w:rsidR="00274914" w:rsidRPr="002F17B5" w:rsidRDefault="00274914" w:rsidP="00274914">
            <w:pPr>
              <w:pStyle w:val="ListParagraph"/>
            </w:pPr>
            <w:r w:rsidRPr="002F17B5">
              <w:t>Scheduled Bodies</w:t>
            </w:r>
          </w:p>
        </w:tc>
        <w:tc>
          <w:tcPr>
            <w:tcW w:w="2552" w:type="dxa"/>
            <w:vMerge w:val="restart"/>
            <w:tcBorders>
              <w:top w:val="single" w:sz="18" w:space="0" w:color="auto"/>
              <w:left w:val="single" w:sz="18" w:space="0" w:color="auto"/>
              <w:right w:val="single" w:sz="18" w:space="0" w:color="auto"/>
            </w:tcBorders>
          </w:tcPr>
          <w:p w:rsidR="00274914" w:rsidRPr="002F17B5" w:rsidRDefault="00274914" w:rsidP="00274914">
            <w:pPr>
              <w:jc w:val="right"/>
            </w:pPr>
          </w:p>
          <w:p w:rsidR="00274914" w:rsidRPr="002F17B5" w:rsidRDefault="00274914" w:rsidP="00274914">
            <w:pPr>
              <w:jc w:val="right"/>
            </w:pPr>
          </w:p>
          <w:p w:rsidR="00274914" w:rsidRPr="002F17B5" w:rsidRDefault="00274914" w:rsidP="00274914">
            <w:pPr>
              <w:jc w:val="right"/>
            </w:pPr>
            <w:r w:rsidRPr="002F17B5">
              <w:t>50,536</w:t>
            </w:r>
          </w:p>
          <w:p w:rsidR="00274914" w:rsidRPr="002F17B5" w:rsidRDefault="00274914" w:rsidP="00274914">
            <w:pPr>
              <w:jc w:val="right"/>
            </w:pPr>
            <w:r w:rsidRPr="002F17B5">
              <w:t>4,208</w:t>
            </w:r>
          </w:p>
        </w:tc>
        <w:tc>
          <w:tcPr>
            <w:tcW w:w="2268" w:type="dxa"/>
            <w:vMerge w:val="restart"/>
            <w:tcBorders>
              <w:top w:val="single" w:sz="18" w:space="0" w:color="auto"/>
              <w:left w:val="single" w:sz="18" w:space="0" w:color="auto"/>
              <w:right w:val="single" w:sz="18" w:space="0" w:color="auto"/>
            </w:tcBorders>
          </w:tcPr>
          <w:p w:rsidR="00274914" w:rsidRPr="002F17B5" w:rsidRDefault="00274914" w:rsidP="00274914">
            <w:pPr>
              <w:jc w:val="right"/>
            </w:pPr>
          </w:p>
          <w:p w:rsidR="00274914" w:rsidRPr="002F17B5" w:rsidRDefault="00274914" w:rsidP="00274914">
            <w:pPr>
              <w:jc w:val="right"/>
            </w:pPr>
          </w:p>
          <w:p w:rsidR="00274914" w:rsidRPr="002F17B5" w:rsidRDefault="00274914" w:rsidP="00274914">
            <w:pPr>
              <w:jc w:val="right"/>
            </w:pPr>
            <w:r w:rsidRPr="002F17B5">
              <w:t>49,391</w:t>
            </w:r>
          </w:p>
          <w:p w:rsidR="00274914" w:rsidRPr="002F17B5" w:rsidRDefault="00274914" w:rsidP="00274914">
            <w:pPr>
              <w:jc w:val="right"/>
            </w:pPr>
            <w:r w:rsidRPr="002F17B5">
              <w:t>3,572</w:t>
            </w:r>
          </w:p>
        </w:tc>
      </w:tr>
      <w:tr w:rsidR="00274914" w:rsidRPr="002F17B5" w:rsidTr="00274914">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274914" w:rsidRPr="002F17B5" w:rsidRDefault="00274914" w:rsidP="00274914">
            <w:pPr>
              <w:pStyle w:val="ListParagraph"/>
            </w:pPr>
            <w:r w:rsidRPr="002F17B5">
              <w:t>Admitted Bodies</w:t>
            </w:r>
          </w:p>
        </w:tc>
        <w:tc>
          <w:tcPr>
            <w:tcW w:w="2552" w:type="dxa"/>
            <w:vMerge/>
            <w:tcBorders>
              <w:left w:val="single" w:sz="18" w:space="0" w:color="auto"/>
              <w:bottom w:val="single" w:sz="18" w:space="0" w:color="auto"/>
              <w:right w:val="single" w:sz="18" w:space="0" w:color="auto"/>
            </w:tcBorders>
          </w:tcPr>
          <w:p w:rsidR="00274914" w:rsidRPr="002F17B5" w:rsidRDefault="00274914" w:rsidP="00274914">
            <w:pPr>
              <w:jc w:val="right"/>
            </w:pPr>
          </w:p>
        </w:tc>
        <w:tc>
          <w:tcPr>
            <w:tcW w:w="2268" w:type="dxa"/>
            <w:vMerge/>
            <w:tcBorders>
              <w:left w:val="single" w:sz="18" w:space="0" w:color="auto"/>
              <w:bottom w:val="single" w:sz="18" w:space="0" w:color="auto"/>
              <w:right w:val="single" w:sz="18" w:space="0" w:color="auto"/>
            </w:tcBorders>
          </w:tcPr>
          <w:p w:rsidR="00274914" w:rsidRPr="002F17B5" w:rsidRDefault="00274914" w:rsidP="00274914">
            <w:pPr>
              <w:jc w:val="right"/>
            </w:pPr>
          </w:p>
        </w:tc>
      </w:tr>
      <w:tr w:rsidR="00274914" w:rsidRPr="002F17B5" w:rsidTr="00274914">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274914" w:rsidRPr="002F17B5" w:rsidRDefault="00274914" w:rsidP="00274914">
            <w:pPr>
              <w:pStyle w:val="ListParagraph"/>
              <w:rPr>
                <w:b/>
              </w:rPr>
            </w:pPr>
            <w:r w:rsidRPr="002F17B5">
              <w:rPr>
                <w:b/>
              </w:rPr>
              <w:t>Total</w:t>
            </w:r>
          </w:p>
        </w:tc>
        <w:tc>
          <w:tcPr>
            <w:tcW w:w="2552"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pPr>
              <w:jc w:val="right"/>
              <w:rPr>
                <w:b/>
              </w:rPr>
            </w:pPr>
            <w:r w:rsidRPr="002F17B5">
              <w:rPr>
                <w:b/>
              </w:rPr>
              <w:t>54,744</w:t>
            </w:r>
          </w:p>
        </w:tc>
        <w:tc>
          <w:tcPr>
            <w:tcW w:w="2268"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pPr>
              <w:jc w:val="right"/>
              <w:rPr>
                <w:b/>
              </w:rPr>
            </w:pPr>
            <w:r w:rsidRPr="002F17B5">
              <w:rPr>
                <w:b/>
              </w:rPr>
              <w:t>52,963</w:t>
            </w:r>
          </w:p>
        </w:tc>
      </w:tr>
      <w:tr w:rsidR="00274914" w:rsidRPr="002F17B5" w:rsidTr="00274914">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274914" w:rsidRPr="002F17B5" w:rsidRDefault="00274914" w:rsidP="009A4C35">
            <w:pPr>
              <w:pStyle w:val="ListParagraph"/>
              <w:numPr>
                <w:ilvl w:val="0"/>
                <w:numId w:val="79"/>
              </w:numPr>
              <w:autoSpaceDE/>
              <w:autoSpaceDN/>
              <w:adjustRightInd/>
              <w:spacing w:before="240" w:after="0"/>
              <w:ind w:hanging="686"/>
              <w:jc w:val="left"/>
            </w:pPr>
            <w:r w:rsidRPr="002F17B5">
              <w:t>Pensioners</w:t>
            </w:r>
          </w:p>
          <w:p w:rsidR="00274914" w:rsidRPr="002F17B5" w:rsidRDefault="00274914" w:rsidP="00274914">
            <w:pPr>
              <w:pStyle w:val="ListParagraph"/>
            </w:pPr>
          </w:p>
          <w:p w:rsidR="00274914" w:rsidRPr="002F17B5" w:rsidRDefault="00274914" w:rsidP="00274914">
            <w:pPr>
              <w:pStyle w:val="ListParagraph"/>
            </w:pPr>
            <w:r w:rsidRPr="002F17B5">
              <w:t>Pensions in Payment</w:t>
            </w:r>
          </w:p>
        </w:tc>
        <w:tc>
          <w:tcPr>
            <w:tcW w:w="2552" w:type="dxa"/>
            <w:vMerge w:val="restart"/>
            <w:tcBorders>
              <w:top w:val="single" w:sz="18" w:space="0" w:color="FFFFFF" w:themeColor="background1"/>
              <w:left w:val="single" w:sz="18" w:space="0" w:color="auto"/>
              <w:right w:val="single" w:sz="18" w:space="0" w:color="auto"/>
            </w:tcBorders>
          </w:tcPr>
          <w:p w:rsidR="00274914" w:rsidRPr="002F17B5" w:rsidRDefault="00274914" w:rsidP="00274914">
            <w:pPr>
              <w:jc w:val="right"/>
            </w:pPr>
          </w:p>
          <w:p w:rsidR="00274914" w:rsidRPr="002F17B5" w:rsidRDefault="00274914" w:rsidP="00274914">
            <w:pPr>
              <w:jc w:val="right"/>
            </w:pPr>
          </w:p>
          <w:p w:rsidR="00274914" w:rsidRPr="002F17B5" w:rsidRDefault="00274914" w:rsidP="00274914">
            <w:pPr>
              <w:jc w:val="right"/>
            </w:pPr>
          </w:p>
          <w:p w:rsidR="00274914" w:rsidRPr="002F17B5" w:rsidRDefault="00274914" w:rsidP="00274914">
            <w:pPr>
              <w:jc w:val="right"/>
            </w:pPr>
            <w:r w:rsidRPr="002F17B5">
              <w:t>42,278</w:t>
            </w:r>
          </w:p>
          <w:p w:rsidR="00274914" w:rsidRPr="002F17B5" w:rsidRDefault="00274914" w:rsidP="00274914">
            <w:pPr>
              <w:jc w:val="right"/>
            </w:pPr>
            <w:r w:rsidRPr="002F17B5">
              <w:t>53,895</w:t>
            </w:r>
          </w:p>
        </w:tc>
        <w:tc>
          <w:tcPr>
            <w:tcW w:w="2268" w:type="dxa"/>
            <w:vMerge w:val="restart"/>
            <w:tcBorders>
              <w:top w:val="single" w:sz="18" w:space="0" w:color="FFFFFF" w:themeColor="background1"/>
              <w:left w:val="single" w:sz="18" w:space="0" w:color="auto"/>
              <w:right w:val="single" w:sz="18" w:space="0" w:color="auto"/>
            </w:tcBorders>
          </w:tcPr>
          <w:p w:rsidR="00274914" w:rsidRPr="002F17B5" w:rsidRDefault="00274914" w:rsidP="00274914">
            <w:pPr>
              <w:jc w:val="right"/>
            </w:pPr>
          </w:p>
          <w:p w:rsidR="00274914" w:rsidRPr="002F17B5" w:rsidRDefault="00274914" w:rsidP="00274914">
            <w:pPr>
              <w:jc w:val="right"/>
            </w:pPr>
          </w:p>
          <w:p w:rsidR="00274914" w:rsidRPr="002F17B5" w:rsidRDefault="00274914" w:rsidP="00274914">
            <w:pPr>
              <w:jc w:val="right"/>
            </w:pPr>
          </w:p>
          <w:p w:rsidR="00274914" w:rsidRPr="002F17B5" w:rsidRDefault="00274914" w:rsidP="00274914">
            <w:pPr>
              <w:jc w:val="right"/>
            </w:pPr>
            <w:r w:rsidRPr="002F17B5">
              <w:t>40,885</w:t>
            </w:r>
          </w:p>
          <w:p w:rsidR="00274914" w:rsidRPr="002F17B5" w:rsidRDefault="00274914" w:rsidP="00274914">
            <w:pPr>
              <w:jc w:val="right"/>
            </w:pPr>
            <w:r w:rsidRPr="002F17B5">
              <w:t>49,837</w:t>
            </w:r>
          </w:p>
        </w:tc>
      </w:tr>
      <w:tr w:rsidR="00274914" w:rsidRPr="002F17B5" w:rsidTr="00274914">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274914" w:rsidRPr="002F17B5" w:rsidRDefault="00274914" w:rsidP="00274914">
            <w:pPr>
              <w:pStyle w:val="ListParagraph"/>
            </w:pPr>
            <w:r w:rsidRPr="002F17B5">
              <w:t>Preserved Pensions</w:t>
            </w:r>
          </w:p>
        </w:tc>
        <w:tc>
          <w:tcPr>
            <w:tcW w:w="2552" w:type="dxa"/>
            <w:vMerge/>
            <w:tcBorders>
              <w:left w:val="single" w:sz="18" w:space="0" w:color="auto"/>
              <w:bottom w:val="single" w:sz="18" w:space="0" w:color="auto"/>
              <w:right w:val="single" w:sz="18" w:space="0" w:color="auto"/>
            </w:tcBorders>
          </w:tcPr>
          <w:p w:rsidR="00274914" w:rsidRPr="002F17B5" w:rsidRDefault="00274914" w:rsidP="00274914">
            <w:pPr>
              <w:jc w:val="right"/>
            </w:pPr>
          </w:p>
        </w:tc>
        <w:tc>
          <w:tcPr>
            <w:tcW w:w="2268" w:type="dxa"/>
            <w:vMerge/>
            <w:tcBorders>
              <w:left w:val="single" w:sz="18" w:space="0" w:color="auto"/>
              <w:bottom w:val="single" w:sz="18" w:space="0" w:color="auto"/>
              <w:right w:val="single" w:sz="18" w:space="0" w:color="auto"/>
            </w:tcBorders>
          </w:tcPr>
          <w:p w:rsidR="00274914" w:rsidRPr="002F17B5" w:rsidRDefault="00274914" w:rsidP="00274914">
            <w:pPr>
              <w:jc w:val="right"/>
            </w:pPr>
          </w:p>
        </w:tc>
      </w:tr>
      <w:tr w:rsidR="00274914" w:rsidRPr="002F17B5" w:rsidTr="00274914">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274914" w:rsidRPr="002F17B5" w:rsidRDefault="00274914" w:rsidP="00274914">
            <w:pPr>
              <w:pStyle w:val="ListParagraph"/>
              <w:rPr>
                <w:b/>
              </w:rPr>
            </w:pPr>
            <w:r w:rsidRPr="002F17B5">
              <w:rPr>
                <w:b/>
              </w:rPr>
              <w:t>Total</w:t>
            </w:r>
          </w:p>
        </w:tc>
        <w:tc>
          <w:tcPr>
            <w:tcW w:w="2552"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pPr>
              <w:jc w:val="right"/>
              <w:rPr>
                <w:b/>
              </w:rPr>
            </w:pPr>
            <w:r w:rsidRPr="002F17B5">
              <w:rPr>
                <w:b/>
              </w:rPr>
              <w:t>96,173</w:t>
            </w:r>
          </w:p>
        </w:tc>
        <w:tc>
          <w:tcPr>
            <w:tcW w:w="2268"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pPr>
              <w:jc w:val="right"/>
              <w:rPr>
                <w:b/>
              </w:rPr>
            </w:pPr>
            <w:r w:rsidRPr="002F17B5">
              <w:rPr>
                <w:b/>
              </w:rPr>
              <w:t>90,722</w:t>
            </w:r>
          </w:p>
        </w:tc>
      </w:tr>
      <w:tr w:rsidR="00274914" w:rsidRPr="002F17B5" w:rsidTr="00274914">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274914" w:rsidRPr="002F17B5" w:rsidRDefault="00274914" w:rsidP="00274914">
            <w:pPr>
              <w:pStyle w:val="ListParagraph"/>
              <w:rPr>
                <w:b/>
              </w:rPr>
            </w:pPr>
          </w:p>
        </w:tc>
        <w:tc>
          <w:tcPr>
            <w:tcW w:w="2552"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pPr>
              <w:jc w:val="right"/>
              <w:rPr>
                <w:b/>
              </w:rPr>
            </w:pPr>
          </w:p>
        </w:tc>
        <w:tc>
          <w:tcPr>
            <w:tcW w:w="2268"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pPr>
              <w:jc w:val="right"/>
              <w:rPr>
                <w:b/>
              </w:rPr>
            </w:pPr>
          </w:p>
        </w:tc>
      </w:tr>
      <w:tr w:rsidR="00274914" w:rsidRPr="002F17B5" w:rsidTr="00274914">
        <w:tc>
          <w:tcPr>
            <w:tcW w:w="4111" w:type="dxa"/>
            <w:tcBorders>
              <w:top w:val="single" w:sz="18" w:space="0" w:color="FFFFFF" w:themeColor="background1"/>
              <w:left w:val="single" w:sz="18" w:space="0" w:color="auto"/>
              <w:bottom w:val="single" w:sz="18" w:space="0" w:color="auto"/>
              <w:right w:val="single" w:sz="18" w:space="0" w:color="auto"/>
            </w:tcBorders>
          </w:tcPr>
          <w:p w:rsidR="00274914" w:rsidRPr="002F17B5" w:rsidRDefault="00274914" w:rsidP="00274914">
            <w:pPr>
              <w:pStyle w:val="ListParagraph"/>
              <w:rPr>
                <w:b/>
              </w:rPr>
            </w:pPr>
            <w:r w:rsidRPr="002F17B5">
              <w:rPr>
                <w:b/>
              </w:rPr>
              <w:t>Total membership</w:t>
            </w:r>
          </w:p>
        </w:tc>
        <w:tc>
          <w:tcPr>
            <w:tcW w:w="2552"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pPr>
              <w:jc w:val="right"/>
              <w:rPr>
                <w:b/>
              </w:rPr>
            </w:pPr>
            <w:r w:rsidRPr="002F17B5">
              <w:rPr>
                <w:b/>
              </w:rPr>
              <w:t>150,917</w:t>
            </w:r>
          </w:p>
        </w:tc>
        <w:tc>
          <w:tcPr>
            <w:tcW w:w="2268" w:type="dxa"/>
            <w:tcBorders>
              <w:top w:val="single" w:sz="18" w:space="0" w:color="auto"/>
              <w:left w:val="single" w:sz="18" w:space="0" w:color="auto"/>
              <w:bottom w:val="single" w:sz="18" w:space="0" w:color="auto"/>
              <w:right w:val="single" w:sz="18" w:space="0" w:color="auto"/>
            </w:tcBorders>
          </w:tcPr>
          <w:p w:rsidR="00274914" w:rsidRPr="002F17B5" w:rsidRDefault="00274914" w:rsidP="00274914">
            <w:pPr>
              <w:jc w:val="right"/>
              <w:rPr>
                <w:b/>
              </w:rPr>
            </w:pPr>
            <w:r w:rsidRPr="002F17B5">
              <w:rPr>
                <w:b/>
              </w:rPr>
              <w:t>143,685</w:t>
            </w:r>
          </w:p>
        </w:tc>
      </w:tr>
    </w:tbl>
    <w:p w:rsidR="00274914" w:rsidRDefault="00274914" w:rsidP="00274914"/>
    <w:p w:rsidR="00515C2F" w:rsidRPr="002F17B5" w:rsidRDefault="00515C2F" w:rsidP="00274914"/>
    <w:p w:rsidR="00274914" w:rsidRPr="002F17B5" w:rsidRDefault="00274914" w:rsidP="009A4C35">
      <w:pPr>
        <w:pStyle w:val="ListParagraph"/>
        <w:numPr>
          <w:ilvl w:val="0"/>
          <w:numId w:val="80"/>
        </w:numPr>
        <w:autoSpaceDE/>
        <w:autoSpaceDN/>
        <w:adjustRightInd/>
        <w:spacing w:before="0" w:after="0"/>
        <w:ind w:left="709"/>
        <w:jc w:val="left"/>
        <w:rPr>
          <w:b/>
        </w:rPr>
      </w:pPr>
      <w:r w:rsidRPr="002F17B5">
        <w:rPr>
          <w:b/>
        </w:rPr>
        <w:lastRenderedPageBreak/>
        <w:t>Funding</w:t>
      </w:r>
    </w:p>
    <w:p w:rsidR="00274914" w:rsidRPr="00016AE0" w:rsidRDefault="00274914" w:rsidP="00274914">
      <w:pPr>
        <w:ind w:left="709"/>
        <w:rPr>
          <w:sz w:val="12"/>
        </w:rPr>
      </w:pPr>
    </w:p>
    <w:p w:rsidR="00274914" w:rsidRPr="002F17B5" w:rsidRDefault="00274914" w:rsidP="00274914">
      <w:pPr>
        <w:ind w:left="709"/>
      </w:pPr>
      <w:r w:rsidRPr="002F17B5">
        <w:t xml:space="preserve">Benefits are funded by contributions and investment earnings.  </w:t>
      </w:r>
      <w:r w:rsidR="009205CF">
        <w:t>Employee c</w:t>
      </w:r>
      <w:r w:rsidRPr="002F17B5">
        <w:t xml:space="preserve">ontributions are made by active members of the fund in accordance with the LGPS (Benefits, Membership and Contributions) Regulations 2007 and range from 5.5% to 7.5% of pensionable pay for the financial year ending 31 March 2014.  </w:t>
      </w:r>
      <w:r w:rsidR="009205CF">
        <w:t>E</w:t>
      </w:r>
      <w:r w:rsidRPr="002F17B5">
        <w:t>mployers' contributions are set based on triennial actuarial funding valuations.  The last valuation relevant to the year ended 31</w:t>
      </w:r>
      <w:r w:rsidRPr="002F17B5">
        <w:rPr>
          <w:vertAlign w:val="superscript"/>
        </w:rPr>
        <w:t>st</w:t>
      </w:r>
      <w:r w:rsidRPr="002F17B5">
        <w:t xml:space="preserve"> March 2014 was done at 31 March 2010.  The latest valuation was carried out at 31</w:t>
      </w:r>
      <w:r w:rsidRPr="002F17B5">
        <w:rPr>
          <w:vertAlign w:val="superscript"/>
        </w:rPr>
        <w:t>st</w:t>
      </w:r>
      <w:r w:rsidRPr="002F17B5">
        <w:t xml:space="preserve"> March 2013 and will be applicable for 3 financial years commencing 1</w:t>
      </w:r>
      <w:r w:rsidRPr="002F17B5">
        <w:rPr>
          <w:vertAlign w:val="superscript"/>
        </w:rPr>
        <w:t>st</w:t>
      </w:r>
      <w:r w:rsidRPr="002F17B5">
        <w:t xml:space="preserve"> April 2014.  Currently employer contributions range from 8.6% to 70.3% of pensionable pay. </w:t>
      </w:r>
    </w:p>
    <w:p w:rsidR="00274914" w:rsidRPr="002F17B5" w:rsidRDefault="00274914" w:rsidP="00274914">
      <w:pPr>
        <w:ind w:left="709"/>
      </w:pPr>
    </w:p>
    <w:p w:rsidR="00274914" w:rsidRPr="002F17B5" w:rsidRDefault="00274914" w:rsidP="009A4C35">
      <w:pPr>
        <w:pStyle w:val="ListParagraph"/>
        <w:numPr>
          <w:ilvl w:val="0"/>
          <w:numId w:val="80"/>
        </w:numPr>
        <w:autoSpaceDE/>
        <w:autoSpaceDN/>
        <w:adjustRightInd/>
        <w:spacing w:before="0" w:after="0"/>
        <w:ind w:left="426" w:firstLine="0"/>
        <w:jc w:val="left"/>
        <w:rPr>
          <w:b/>
        </w:rPr>
      </w:pPr>
      <w:r w:rsidRPr="002F17B5">
        <w:rPr>
          <w:b/>
        </w:rPr>
        <w:t>Benefits</w:t>
      </w:r>
    </w:p>
    <w:p w:rsidR="00274914" w:rsidRPr="00016AE0" w:rsidRDefault="00274914" w:rsidP="00274914">
      <w:pPr>
        <w:ind w:left="720"/>
        <w:rPr>
          <w:b/>
          <w:sz w:val="12"/>
        </w:rPr>
      </w:pPr>
    </w:p>
    <w:p w:rsidR="00274914" w:rsidRPr="002F17B5" w:rsidRDefault="00274914" w:rsidP="00274914">
      <w:pPr>
        <w:ind w:left="720"/>
      </w:pPr>
      <w:r w:rsidRPr="002F17B5">
        <w:t>Pension benefits under the LGPS are based on final pensionable pay and length of pensionable service in the following summary:</w:t>
      </w:r>
    </w:p>
    <w:p w:rsidR="00274914" w:rsidRPr="00016AE0" w:rsidRDefault="00274914" w:rsidP="00274914">
      <w:pPr>
        <w:ind w:left="720"/>
        <w:rPr>
          <w:sz w:val="14"/>
        </w:rPr>
      </w:pPr>
    </w:p>
    <w:tbl>
      <w:tblPr>
        <w:tblStyle w:val="TableGrid"/>
        <w:tblW w:w="0" w:type="auto"/>
        <w:tblInd w:w="720" w:type="dxa"/>
        <w:tblLook w:val="04A0" w:firstRow="1" w:lastRow="0" w:firstColumn="1" w:lastColumn="0" w:noHBand="0" w:noVBand="1"/>
      </w:tblPr>
      <w:tblGrid>
        <w:gridCol w:w="1798"/>
        <w:gridCol w:w="3969"/>
        <w:gridCol w:w="4195"/>
      </w:tblGrid>
      <w:tr w:rsidR="00274914" w:rsidRPr="002F17B5" w:rsidTr="00274914">
        <w:trPr>
          <w:trHeight w:val="521"/>
        </w:trPr>
        <w:tc>
          <w:tcPr>
            <w:tcW w:w="1798" w:type="dxa"/>
          </w:tcPr>
          <w:p w:rsidR="00274914" w:rsidRPr="002F17B5" w:rsidRDefault="00274914" w:rsidP="00274914"/>
        </w:tc>
        <w:tc>
          <w:tcPr>
            <w:tcW w:w="3969" w:type="dxa"/>
          </w:tcPr>
          <w:p w:rsidR="00274914" w:rsidRPr="002F17B5" w:rsidRDefault="00274914" w:rsidP="00274914">
            <w:pPr>
              <w:rPr>
                <w:b/>
              </w:rPr>
            </w:pPr>
            <w:r w:rsidRPr="002F17B5">
              <w:rPr>
                <w:b/>
              </w:rPr>
              <w:t>Service Pre 1 April 2008</w:t>
            </w:r>
          </w:p>
        </w:tc>
        <w:tc>
          <w:tcPr>
            <w:tcW w:w="4195" w:type="dxa"/>
          </w:tcPr>
          <w:p w:rsidR="00274914" w:rsidRPr="002F17B5" w:rsidRDefault="00274914" w:rsidP="00274914">
            <w:pPr>
              <w:rPr>
                <w:b/>
              </w:rPr>
            </w:pPr>
            <w:r w:rsidRPr="002F17B5">
              <w:rPr>
                <w:b/>
              </w:rPr>
              <w:t>Service post 31 March 2008</w:t>
            </w:r>
          </w:p>
        </w:tc>
      </w:tr>
      <w:tr w:rsidR="00274914" w:rsidRPr="002F17B5" w:rsidTr="00274914">
        <w:trPr>
          <w:trHeight w:val="841"/>
        </w:trPr>
        <w:tc>
          <w:tcPr>
            <w:tcW w:w="1798" w:type="dxa"/>
          </w:tcPr>
          <w:p w:rsidR="00274914" w:rsidRPr="002F17B5" w:rsidRDefault="00274914" w:rsidP="00274914">
            <w:pPr>
              <w:rPr>
                <w:b/>
              </w:rPr>
            </w:pPr>
            <w:r w:rsidRPr="002F17B5">
              <w:rPr>
                <w:b/>
              </w:rPr>
              <w:t>Pension</w:t>
            </w:r>
          </w:p>
        </w:tc>
        <w:tc>
          <w:tcPr>
            <w:tcW w:w="3969" w:type="dxa"/>
          </w:tcPr>
          <w:p w:rsidR="00274914" w:rsidRPr="002F17B5" w:rsidRDefault="00274914" w:rsidP="00274914">
            <w:r w:rsidRPr="002F17B5">
              <w:t>Each year worked is worth 1/80 x final pensionable salary</w:t>
            </w:r>
          </w:p>
        </w:tc>
        <w:tc>
          <w:tcPr>
            <w:tcW w:w="4195" w:type="dxa"/>
          </w:tcPr>
          <w:p w:rsidR="00274914" w:rsidRPr="002F17B5" w:rsidRDefault="00274914" w:rsidP="00274914">
            <w:r w:rsidRPr="002F17B5">
              <w:t>Each year worked is worth 1/60 x final pensionable salary</w:t>
            </w:r>
          </w:p>
        </w:tc>
      </w:tr>
      <w:tr w:rsidR="00274914" w:rsidRPr="002F17B5" w:rsidTr="00274914">
        <w:trPr>
          <w:trHeight w:val="1972"/>
        </w:trPr>
        <w:tc>
          <w:tcPr>
            <w:tcW w:w="1798" w:type="dxa"/>
          </w:tcPr>
          <w:p w:rsidR="00274914" w:rsidRPr="002F17B5" w:rsidRDefault="00274914" w:rsidP="00274914">
            <w:pPr>
              <w:rPr>
                <w:b/>
              </w:rPr>
            </w:pPr>
            <w:r w:rsidRPr="002F17B5">
              <w:rPr>
                <w:b/>
              </w:rPr>
              <w:t>Lump sum</w:t>
            </w:r>
          </w:p>
        </w:tc>
        <w:tc>
          <w:tcPr>
            <w:tcW w:w="3969" w:type="dxa"/>
          </w:tcPr>
          <w:p w:rsidR="00274914" w:rsidRPr="002F17B5" w:rsidRDefault="00274914" w:rsidP="00274914">
            <w:r w:rsidRPr="002F17B5">
              <w:t>Automatic lump sum of 3 x salary.</w:t>
            </w:r>
          </w:p>
          <w:p w:rsidR="00274914" w:rsidRPr="002F17B5" w:rsidRDefault="00274914" w:rsidP="00274914">
            <w:r w:rsidRPr="002F17B5">
              <w:t>In addition, part of the annual pension can be exchanged for a one-off tax free cash payment.  A lump sum of £12 is paid for each £1 of pension given up</w:t>
            </w:r>
          </w:p>
        </w:tc>
        <w:tc>
          <w:tcPr>
            <w:tcW w:w="4195" w:type="dxa"/>
          </w:tcPr>
          <w:p w:rsidR="00274914" w:rsidRPr="002F17B5" w:rsidRDefault="00274914" w:rsidP="00274914">
            <w:r w:rsidRPr="002F17B5">
              <w:t>No automatic lump sum.</w:t>
            </w:r>
          </w:p>
          <w:p w:rsidR="00274914" w:rsidRPr="002F17B5" w:rsidRDefault="00274914" w:rsidP="00274914">
            <w:r w:rsidRPr="002F17B5">
              <w:t>Part of the annual pension can be exchanged for a one-off tax free cash payment.  A lump sum of £12 is paid for each £1 of pension given up</w:t>
            </w:r>
          </w:p>
        </w:tc>
      </w:tr>
    </w:tbl>
    <w:p w:rsidR="00274914" w:rsidRPr="002F17B5" w:rsidRDefault="00016AE0" w:rsidP="00016AE0">
      <w:pPr>
        <w:tabs>
          <w:tab w:val="left" w:pos="1755"/>
        </w:tabs>
        <w:ind w:left="720"/>
        <w:rPr>
          <w:sz w:val="12"/>
        </w:rPr>
      </w:pPr>
      <w:r>
        <w:tab/>
      </w:r>
    </w:p>
    <w:p w:rsidR="00274914" w:rsidRPr="002F17B5" w:rsidRDefault="00274914" w:rsidP="00274914">
      <w:pPr>
        <w:ind w:left="720"/>
      </w:pPr>
      <w:r w:rsidRPr="002F17B5">
        <w:t xml:space="preserve">There are a range of other benefits provided under the scheme including early retirement, disability pensions and death benefits.  </w:t>
      </w:r>
    </w:p>
    <w:p w:rsidR="00274914" w:rsidRPr="00016AE0" w:rsidRDefault="00274914" w:rsidP="00274914">
      <w:pPr>
        <w:ind w:left="720"/>
        <w:rPr>
          <w:sz w:val="8"/>
        </w:rPr>
      </w:pPr>
    </w:p>
    <w:p w:rsidR="00274914" w:rsidRPr="002F17B5" w:rsidRDefault="00274914" w:rsidP="00274914">
      <w:pPr>
        <w:ind w:left="720"/>
      </w:pPr>
      <w:r w:rsidRPr="002F17B5">
        <w:t>Benefits are index-linked in order to keep pace with inflation.  In June 2010, the government announced that the method of indexation would change from the retail price index to the consumer price index.  This change took effect from 1 April 2011.</w:t>
      </w:r>
    </w:p>
    <w:p w:rsidR="00274914" w:rsidRPr="002F17B5" w:rsidRDefault="00274914" w:rsidP="00274914">
      <w:pPr>
        <w:ind w:left="720"/>
      </w:pPr>
    </w:p>
    <w:p w:rsidR="00274914" w:rsidRPr="002F17B5" w:rsidRDefault="00274914" w:rsidP="00274914">
      <w:pPr>
        <w:ind w:left="720"/>
        <w:rPr>
          <w:b/>
        </w:rPr>
      </w:pPr>
      <w:r w:rsidRPr="002F17B5">
        <w:rPr>
          <w:b/>
        </w:rPr>
        <w:t>LGPS 2014</w:t>
      </w:r>
    </w:p>
    <w:p w:rsidR="00274914" w:rsidRDefault="00274914" w:rsidP="00274914">
      <w:pPr>
        <w:ind w:left="720"/>
        <w:rPr>
          <w:rFonts w:cs="Arial"/>
        </w:rPr>
      </w:pPr>
      <w:r w:rsidRPr="002F17B5">
        <w:rPr>
          <w:rFonts w:cs="Arial"/>
        </w:rPr>
        <w:t>During the year significant legislative change encompassed the introduction of the new Local Government Pension Scheme with effect from 1 April 2014.</w:t>
      </w:r>
    </w:p>
    <w:p w:rsidR="00016AE0" w:rsidRDefault="00016AE0" w:rsidP="00274914">
      <w:pPr>
        <w:ind w:left="720"/>
        <w:rPr>
          <w:rFonts w:cs="Arial"/>
        </w:rPr>
      </w:pPr>
    </w:p>
    <w:p w:rsidR="00274914" w:rsidRPr="002F17B5" w:rsidRDefault="00274914" w:rsidP="00274914">
      <w:pPr>
        <w:ind w:left="720"/>
        <w:rPr>
          <w:rFonts w:cs="Arial"/>
        </w:rPr>
      </w:pPr>
      <w:r w:rsidRPr="002F17B5">
        <w:rPr>
          <w:rFonts w:cs="Arial"/>
        </w:rPr>
        <w:t>The Public Service Pensions Act received royal assent on 25 April 2013 setting out the new legal framework for public service pension schemes, including the LGPS. The Act reflects the recommendations made by the Independent Public Service Pension Commission chaired by Lord Hutton.</w:t>
      </w:r>
    </w:p>
    <w:p w:rsidR="00274914" w:rsidRPr="002F17B5" w:rsidRDefault="00274914" w:rsidP="00274914">
      <w:pPr>
        <w:spacing w:before="100" w:beforeAutospacing="1" w:after="100" w:afterAutospacing="1"/>
        <w:ind w:left="720"/>
        <w:rPr>
          <w:rFonts w:cs="Arial"/>
        </w:rPr>
      </w:pPr>
      <w:r w:rsidRPr="002F17B5">
        <w:rPr>
          <w:rFonts w:cs="Arial"/>
        </w:rPr>
        <w:lastRenderedPageBreak/>
        <w:t>After completing a statutory consultation in August 2013, legislation outlining the LGPS rules from 1 April 2014 was made to provide:</w:t>
      </w:r>
    </w:p>
    <w:p w:rsidR="00274914" w:rsidRPr="002F17B5" w:rsidRDefault="00274914" w:rsidP="009A4C35">
      <w:pPr>
        <w:pStyle w:val="ListParagraph"/>
        <w:numPr>
          <w:ilvl w:val="0"/>
          <w:numId w:val="84"/>
        </w:numPr>
        <w:autoSpaceDE/>
        <w:autoSpaceDN/>
        <w:adjustRightInd/>
        <w:spacing w:before="100" w:beforeAutospacing="1" w:after="100" w:afterAutospacing="1"/>
        <w:ind w:firstLine="207"/>
        <w:jc w:val="left"/>
      </w:pPr>
      <w:r w:rsidRPr="002F17B5">
        <w:t>a pension scheme design based on career average pay</w:t>
      </w:r>
    </w:p>
    <w:p w:rsidR="00274914" w:rsidRPr="002F17B5" w:rsidRDefault="00274914" w:rsidP="009A4C35">
      <w:pPr>
        <w:pStyle w:val="ListParagraph"/>
        <w:numPr>
          <w:ilvl w:val="0"/>
          <w:numId w:val="84"/>
        </w:numPr>
        <w:autoSpaceDE/>
        <w:autoSpaceDN/>
        <w:adjustRightInd/>
        <w:spacing w:before="100" w:beforeAutospacing="1" w:after="100" w:afterAutospacing="1"/>
        <w:ind w:firstLine="207"/>
        <w:jc w:val="left"/>
      </w:pPr>
      <w:r w:rsidRPr="002F17B5">
        <w:t xml:space="preserve">an accrual rate of 1/49th of pensionable pay </w:t>
      </w:r>
    </w:p>
    <w:p w:rsidR="00274914" w:rsidRPr="002F17B5" w:rsidRDefault="00274914" w:rsidP="009A4C35">
      <w:pPr>
        <w:pStyle w:val="ListParagraph"/>
        <w:numPr>
          <w:ilvl w:val="0"/>
          <w:numId w:val="84"/>
        </w:numPr>
        <w:autoSpaceDE/>
        <w:autoSpaceDN/>
        <w:adjustRightInd/>
        <w:spacing w:before="100" w:beforeAutospacing="1" w:after="100" w:afterAutospacing="1"/>
        <w:ind w:firstLine="207"/>
        <w:jc w:val="left"/>
      </w:pPr>
      <w:r w:rsidRPr="002F17B5">
        <w:t>revaluation of benefits in line with the CPI</w:t>
      </w:r>
    </w:p>
    <w:p w:rsidR="00274914" w:rsidRPr="002F17B5" w:rsidRDefault="00274914" w:rsidP="009A4C35">
      <w:pPr>
        <w:pStyle w:val="ListParagraph"/>
        <w:numPr>
          <w:ilvl w:val="0"/>
          <w:numId w:val="84"/>
        </w:numPr>
        <w:spacing w:before="0" w:after="0"/>
        <w:ind w:firstLine="207"/>
        <w:jc w:val="left"/>
      </w:pPr>
      <w:r w:rsidRPr="002F17B5">
        <w:t xml:space="preserve">a Normal Pension Age equal to State Pension Age </w:t>
      </w:r>
    </w:p>
    <w:p w:rsidR="00274914" w:rsidRPr="002F17B5" w:rsidRDefault="00274914" w:rsidP="009A4C35">
      <w:pPr>
        <w:pStyle w:val="ListParagraph"/>
        <w:numPr>
          <w:ilvl w:val="0"/>
          <w:numId w:val="84"/>
        </w:numPr>
        <w:spacing w:before="0" w:after="0"/>
        <w:ind w:firstLine="207"/>
        <w:jc w:val="left"/>
      </w:pPr>
      <w:r w:rsidRPr="002F17B5">
        <w:t>an average contribution rate of 6.5%</w:t>
      </w:r>
    </w:p>
    <w:p w:rsidR="00274914" w:rsidRPr="002F17B5" w:rsidRDefault="00274914" w:rsidP="009A4C35">
      <w:pPr>
        <w:pStyle w:val="ListParagraph"/>
        <w:numPr>
          <w:ilvl w:val="0"/>
          <w:numId w:val="84"/>
        </w:numPr>
        <w:spacing w:before="0" w:after="0"/>
        <w:ind w:firstLine="207"/>
        <w:jc w:val="left"/>
      </w:pPr>
      <w:r w:rsidRPr="002F17B5">
        <w:t xml:space="preserve">a new low cost 50/50 option where half the contribution rate can be paid in return for </w:t>
      </w:r>
    </w:p>
    <w:p w:rsidR="009205CF" w:rsidRDefault="00274914" w:rsidP="009205CF">
      <w:pPr>
        <w:ind w:left="1429" w:firstLine="11"/>
      </w:pPr>
      <w:r w:rsidRPr="002F17B5">
        <w:t xml:space="preserve">half the benefits  </w:t>
      </w:r>
    </w:p>
    <w:p w:rsidR="00274914" w:rsidRPr="002F17B5" w:rsidRDefault="00274914" w:rsidP="009205CF">
      <w:pPr>
        <w:pStyle w:val="ListParagraph"/>
        <w:numPr>
          <w:ilvl w:val="0"/>
          <w:numId w:val="99"/>
        </w:numPr>
        <w:ind w:left="1418" w:hanging="851"/>
      </w:pPr>
      <w:r w:rsidRPr="002F17B5">
        <w:t>a vesting period of two years</w:t>
      </w:r>
    </w:p>
    <w:p w:rsidR="00274914" w:rsidRPr="002F17B5" w:rsidRDefault="00274914" w:rsidP="00274914">
      <w:pPr>
        <w:pStyle w:val="Pa0"/>
        <w:ind w:left="709"/>
        <w:rPr>
          <w:rFonts w:ascii="Arial" w:eastAsia="Times New Roman" w:hAnsi="Arial" w:cs="Times New Roman"/>
          <w:szCs w:val="20"/>
          <w:lang w:eastAsia="en-GB"/>
        </w:rPr>
      </w:pPr>
    </w:p>
    <w:p w:rsidR="00274914" w:rsidRPr="002F17B5" w:rsidRDefault="00274914" w:rsidP="00371DBF">
      <w:pPr>
        <w:pStyle w:val="Default"/>
        <w:ind w:left="709"/>
        <w:jc w:val="left"/>
        <w:rPr>
          <w:color w:val="auto"/>
        </w:rPr>
      </w:pPr>
      <w:r w:rsidRPr="002F17B5">
        <w:t xml:space="preserve"> </w:t>
      </w:r>
      <w:r w:rsidRPr="002F17B5">
        <w:rPr>
          <w:color w:val="auto"/>
        </w:rPr>
        <w:t>Later in the year legislation was passed to remove access to the Scheme for new councillors from 1 April 2014. Existing councillor members as at 31 March 2014 will leave the Scheme at the end of their current fixed term of office.</w:t>
      </w:r>
    </w:p>
    <w:p w:rsidR="00274914" w:rsidRPr="002F17B5" w:rsidRDefault="00274914" w:rsidP="00274914">
      <w:pPr>
        <w:ind w:left="720"/>
      </w:pPr>
    </w:p>
    <w:p w:rsidR="00274914" w:rsidRPr="002F17B5" w:rsidRDefault="00274914" w:rsidP="00274914">
      <w:pPr>
        <w:ind w:left="720"/>
      </w:pPr>
    </w:p>
    <w:p w:rsidR="00274914" w:rsidRPr="002F17B5" w:rsidRDefault="00274914" w:rsidP="009A4C35">
      <w:pPr>
        <w:pStyle w:val="ListParagraph"/>
        <w:numPr>
          <w:ilvl w:val="0"/>
          <w:numId w:val="75"/>
        </w:numPr>
        <w:tabs>
          <w:tab w:val="left" w:pos="567"/>
        </w:tabs>
        <w:autoSpaceDE/>
        <w:autoSpaceDN/>
        <w:adjustRightInd/>
        <w:spacing w:before="0" w:after="0"/>
        <w:rPr>
          <w:b/>
        </w:rPr>
      </w:pPr>
      <w:r w:rsidRPr="002F17B5">
        <w:rPr>
          <w:b/>
        </w:rPr>
        <w:t xml:space="preserve">Basis of Preparation </w:t>
      </w:r>
    </w:p>
    <w:p w:rsidR="00274914" w:rsidRPr="002F17B5" w:rsidRDefault="00274914" w:rsidP="00274914">
      <w:pPr>
        <w:tabs>
          <w:tab w:val="left" w:pos="567"/>
        </w:tabs>
        <w:rPr>
          <w:b/>
          <w:sz w:val="20"/>
        </w:rPr>
      </w:pPr>
    </w:p>
    <w:p w:rsidR="00274914" w:rsidRPr="002F17B5" w:rsidRDefault="00274914" w:rsidP="00274914">
      <w:pPr>
        <w:pStyle w:val="BodyTextIndent"/>
        <w:spacing w:after="0"/>
        <w:ind w:left="567"/>
        <w:rPr>
          <w:szCs w:val="24"/>
        </w:rPr>
      </w:pPr>
      <w:r w:rsidRPr="002F17B5">
        <w:rPr>
          <w:szCs w:val="24"/>
        </w:rPr>
        <w:t>The Statement of Accounts summarises the fund's transactions for the 2013/14 financial year and its position at year-end as at 31 March 2014.  The accounts have been prepared in accordance with the Code of Practice on Local Authority Accounting in United Kingdom 2013/14 which is based on International Financial Reporting Standards (IFRS), as amended for the UK public sector.</w:t>
      </w:r>
    </w:p>
    <w:p w:rsidR="00274914" w:rsidRPr="002F17B5" w:rsidRDefault="00274914" w:rsidP="00274914">
      <w:pPr>
        <w:pStyle w:val="BodyTextIndent"/>
        <w:spacing w:after="0"/>
        <w:ind w:left="567"/>
        <w:rPr>
          <w:szCs w:val="24"/>
        </w:rPr>
      </w:pPr>
    </w:p>
    <w:p w:rsidR="00274914" w:rsidRPr="002F17B5" w:rsidRDefault="00274914" w:rsidP="00274914">
      <w:pPr>
        <w:ind w:left="567"/>
      </w:pPr>
      <w:r w:rsidRPr="002F17B5">
        <w:t>The accounts summarise the transactions of the fund and report the net assets available to pay pension benefits. They do not take account of obligations to pay pensions and benefits which fall due after the end of the financial year. The actuarial present value of promised retirement benefits, value</w:t>
      </w:r>
      <w:r w:rsidR="00231F92">
        <w:t>d</w:t>
      </w:r>
      <w:r w:rsidRPr="002F17B5">
        <w:t xml:space="preserve"> on an International Accounting Standard (IAS) 19 basis, is disclosed in note 2</w:t>
      </w:r>
      <w:r w:rsidR="00CA5AC4">
        <w:t>9</w:t>
      </w:r>
      <w:r w:rsidRPr="002F17B5">
        <w:t xml:space="preserve"> of these accounts.</w:t>
      </w:r>
    </w:p>
    <w:p w:rsidR="00274914" w:rsidRPr="002F17B5" w:rsidRDefault="00274914" w:rsidP="00274914">
      <w:pPr>
        <w:ind w:left="567"/>
      </w:pPr>
    </w:p>
    <w:p w:rsidR="00274914" w:rsidRPr="002F17B5" w:rsidRDefault="00274914" w:rsidP="009A4C35">
      <w:pPr>
        <w:pStyle w:val="BodyTextIndent"/>
        <w:numPr>
          <w:ilvl w:val="0"/>
          <w:numId w:val="75"/>
        </w:numPr>
        <w:tabs>
          <w:tab w:val="num" w:pos="567"/>
        </w:tabs>
        <w:spacing w:before="0" w:after="0"/>
        <w:ind w:left="567" w:hanging="567"/>
        <w:rPr>
          <w:b/>
          <w:szCs w:val="24"/>
        </w:rPr>
      </w:pPr>
      <w:r w:rsidRPr="002F17B5">
        <w:rPr>
          <w:b/>
          <w:szCs w:val="24"/>
        </w:rPr>
        <w:t>Accounting Policies</w:t>
      </w:r>
    </w:p>
    <w:p w:rsidR="00274914" w:rsidRPr="002F17B5" w:rsidRDefault="00274914" w:rsidP="00274914">
      <w:pPr>
        <w:pStyle w:val="BodyTextIndent"/>
        <w:spacing w:after="0"/>
        <w:ind w:left="567"/>
        <w:rPr>
          <w:b/>
          <w:szCs w:val="24"/>
        </w:rPr>
      </w:pPr>
    </w:p>
    <w:p w:rsidR="00274914" w:rsidRPr="002F17B5" w:rsidRDefault="00274914" w:rsidP="00274914">
      <w:pPr>
        <w:ind w:left="567"/>
        <w:rPr>
          <w:b/>
        </w:rPr>
      </w:pPr>
      <w:r w:rsidRPr="002F17B5">
        <w:rPr>
          <w:b/>
        </w:rPr>
        <w:t>Fund Account revenue recognition</w:t>
      </w:r>
    </w:p>
    <w:p w:rsidR="00274914" w:rsidRPr="002F17B5" w:rsidRDefault="00274914" w:rsidP="00274914">
      <w:pPr>
        <w:rPr>
          <w:b/>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Contribution income</w:t>
      </w:r>
    </w:p>
    <w:p w:rsidR="00274914" w:rsidRPr="002F17B5" w:rsidRDefault="00274914" w:rsidP="00274914">
      <w:pPr>
        <w:ind w:left="1113"/>
        <w:rPr>
          <w:b/>
          <w:sz w:val="18"/>
        </w:rPr>
      </w:pPr>
    </w:p>
    <w:p w:rsidR="00274914" w:rsidRPr="002F17B5" w:rsidRDefault="00274914" w:rsidP="00274914">
      <w:pPr>
        <w:pStyle w:val="BodyTextIndent2"/>
        <w:tabs>
          <w:tab w:val="left" w:pos="851"/>
        </w:tabs>
        <w:spacing w:after="0"/>
        <w:ind w:left="851"/>
        <w:rPr>
          <w:szCs w:val="24"/>
        </w:rPr>
      </w:pPr>
      <w:r w:rsidRPr="002F17B5">
        <w:rPr>
          <w:szCs w:val="24"/>
        </w:rPr>
        <w:t>Normal contributions both from members and from the employer are accounted for on an accruals basis at the percentage rate recommended by the fund actuary in the payroll period to which they relate.</w:t>
      </w:r>
    </w:p>
    <w:p w:rsidR="00274914" w:rsidRPr="002F17B5" w:rsidRDefault="00274914" w:rsidP="00274914">
      <w:pPr>
        <w:pStyle w:val="BodyTextIndent2"/>
        <w:tabs>
          <w:tab w:val="left" w:pos="851"/>
        </w:tabs>
        <w:spacing w:after="0"/>
        <w:ind w:left="851"/>
        <w:rPr>
          <w:szCs w:val="24"/>
        </w:rPr>
      </w:pPr>
    </w:p>
    <w:p w:rsidR="00274914" w:rsidRPr="002F17B5" w:rsidRDefault="00274914" w:rsidP="00274914">
      <w:pPr>
        <w:ind w:left="851"/>
        <w:rPr>
          <w:b/>
        </w:rPr>
      </w:pPr>
      <w:r w:rsidRPr="002F17B5">
        <w:t>Employers' augmentation contributions and pension strain contributions are accounted for</w:t>
      </w:r>
      <w:r w:rsidRPr="002F17B5">
        <w:rPr>
          <w:b/>
        </w:rPr>
        <w:t xml:space="preserve"> </w:t>
      </w:r>
      <w:r w:rsidRPr="002F17B5">
        <w:t>in</w:t>
      </w:r>
      <w:r w:rsidRPr="002F17B5">
        <w:rPr>
          <w:b/>
        </w:rPr>
        <w:t xml:space="preserve"> </w:t>
      </w:r>
      <w:r w:rsidRPr="002F17B5">
        <w:t xml:space="preserve">the period in which the liability arises.  Any amount due in the year but unpaid will be </w:t>
      </w:r>
      <w:r w:rsidRPr="002F17B5">
        <w:lastRenderedPageBreak/>
        <w:t>classed as a current financial asset.  Amounts not due until future years are classed as long term financial assets.</w:t>
      </w:r>
      <w:r w:rsidRPr="002F17B5">
        <w:rPr>
          <w:b/>
        </w:rPr>
        <w:t xml:space="preserve"> </w:t>
      </w:r>
    </w:p>
    <w:p w:rsidR="00016AE0" w:rsidRPr="00016AE0" w:rsidRDefault="00016AE0" w:rsidP="00274914">
      <w:pPr>
        <w:ind w:left="851"/>
        <w:rPr>
          <w:b/>
          <w:sz w:val="12"/>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Transfers</w:t>
      </w:r>
    </w:p>
    <w:p w:rsidR="00274914" w:rsidRPr="00016AE0" w:rsidRDefault="00274914" w:rsidP="00274914">
      <w:pPr>
        <w:ind w:left="1113"/>
        <w:rPr>
          <w:b/>
          <w:sz w:val="10"/>
        </w:rPr>
      </w:pPr>
    </w:p>
    <w:p w:rsidR="00274914" w:rsidRPr="002F17B5" w:rsidRDefault="00274914" w:rsidP="00274914">
      <w:pPr>
        <w:pStyle w:val="BodyTextIndent2"/>
        <w:tabs>
          <w:tab w:val="left" w:pos="851"/>
        </w:tabs>
        <w:spacing w:after="0"/>
        <w:ind w:left="851"/>
        <w:rPr>
          <w:szCs w:val="24"/>
        </w:rPr>
      </w:pPr>
      <w:r w:rsidRPr="002F17B5">
        <w:rPr>
          <w:szCs w:val="24"/>
        </w:rPr>
        <w:t>Transfer values represent amounts received and paid during the period for individual members who have either joined or left the fund during the financial year and are calculated in accordance with Local Governance Pension Scheme Regulations.</w:t>
      </w:r>
    </w:p>
    <w:p w:rsidR="00274914" w:rsidRPr="002F17B5" w:rsidRDefault="00274914" w:rsidP="00274914">
      <w:pPr>
        <w:pStyle w:val="BodyTextIndent2"/>
        <w:tabs>
          <w:tab w:val="left" w:pos="851"/>
        </w:tabs>
        <w:spacing w:after="0"/>
        <w:ind w:left="851"/>
        <w:rPr>
          <w:szCs w:val="24"/>
        </w:rPr>
      </w:pPr>
    </w:p>
    <w:p w:rsidR="00274914" w:rsidRPr="002F17B5" w:rsidRDefault="00274914" w:rsidP="00274914">
      <w:pPr>
        <w:pStyle w:val="BodyTextIndent2"/>
        <w:tabs>
          <w:tab w:val="left" w:pos="851"/>
        </w:tabs>
        <w:spacing w:after="0"/>
        <w:ind w:left="851"/>
        <w:rPr>
          <w:szCs w:val="24"/>
        </w:rPr>
      </w:pPr>
      <w:r w:rsidRPr="00231F92">
        <w:rPr>
          <w:szCs w:val="24"/>
        </w:rPr>
        <w:t>Individual transfers in/out are accounted for when received/paid, which is</w:t>
      </w:r>
      <w:r w:rsidR="00084771" w:rsidRPr="008C0AEC">
        <w:rPr>
          <w:szCs w:val="24"/>
        </w:rPr>
        <w:t xml:space="preserve"> </w:t>
      </w:r>
      <w:r w:rsidRPr="00231F92">
        <w:rPr>
          <w:szCs w:val="24"/>
        </w:rPr>
        <w:t>when the member liability is accepted or discharged.</w:t>
      </w:r>
    </w:p>
    <w:p w:rsidR="00274914" w:rsidRPr="002F17B5" w:rsidRDefault="00274914" w:rsidP="00274914">
      <w:pPr>
        <w:pStyle w:val="BodyTextIndent2"/>
        <w:tabs>
          <w:tab w:val="left" w:pos="851"/>
        </w:tabs>
        <w:spacing w:after="0"/>
        <w:ind w:left="851"/>
        <w:rPr>
          <w:szCs w:val="24"/>
        </w:rPr>
      </w:pPr>
    </w:p>
    <w:p w:rsidR="00274914" w:rsidRPr="002F17B5" w:rsidRDefault="00274914" w:rsidP="00274914">
      <w:pPr>
        <w:pStyle w:val="BodyTextIndent2"/>
        <w:tabs>
          <w:tab w:val="left" w:pos="851"/>
        </w:tabs>
        <w:spacing w:after="0"/>
        <w:ind w:left="851"/>
        <w:rPr>
          <w:szCs w:val="24"/>
        </w:rPr>
      </w:pPr>
      <w:r w:rsidRPr="002F17B5">
        <w:rPr>
          <w:szCs w:val="24"/>
        </w:rPr>
        <w:t>Transfers in from members wishing to use the proceeds of their additional voluntary contributions to purchase scheme benefits are accounted for on a receipts basis and are included in transfers in. Bulk (group) transfers are accounted for on an accruals basis in accordance with the terms of the transfer agreement.</w:t>
      </w:r>
    </w:p>
    <w:p w:rsidR="00016AE0" w:rsidRPr="00016AE0" w:rsidRDefault="00016AE0" w:rsidP="00274914">
      <w:pPr>
        <w:pStyle w:val="BodyTextIndent2"/>
        <w:tabs>
          <w:tab w:val="left" w:pos="851"/>
        </w:tabs>
        <w:spacing w:after="0"/>
        <w:ind w:left="851"/>
        <w:rPr>
          <w:sz w:val="30"/>
          <w:szCs w:val="24"/>
        </w:rPr>
      </w:pPr>
    </w:p>
    <w:p w:rsidR="00274914" w:rsidRPr="002F17B5" w:rsidRDefault="00274914" w:rsidP="009A4C35">
      <w:pPr>
        <w:pStyle w:val="BodyTextIndent2"/>
        <w:numPr>
          <w:ilvl w:val="0"/>
          <w:numId w:val="76"/>
        </w:numPr>
        <w:tabs>
          <w:tab w:val="clear" w:pos="1080"/>
          <w:tab w:val="left" w:pos="851"/>
        </w:tabs>
        <w:spacing w:before="0" w:after="0"/>
        <w:rPr>
          <w:szCs w:val="24"/>
        </w:rPr>
      </w:pPr>
      <w:r w:rsidRPr="002F17B5">
        <w:rPr>
          <w:b/>
          <w:szCs w:val="24"/>
        </w:rPr>
        <w:t>Investment Income</w:t>
      </w:r>
    </w:p>
    <w:p w:rsidR="00274914" w:rsidRPr="002F17B5" w:rsidRDefault="00274914" w:rsidP="00274914">
      <w:pPr>
        <w:pStyle w:val="BodyTextIndent2"/>
        <w:tabs>
          <w:tab w:val="left" w:pos="851"/>
        </w:tabs>
        <w:spacing w:after="0"/>
        <w:ind w:left="927"/>
        <w:rPr>
          <w:szCs w:val="24"/>
        </w:rPr>
      </w:pPr>
    </w:p>
    <w:p w:rsidR="00274914" w:rsidRPr="002F17B5" w:rsidRDefault="00274914" w:rsidP="009A4C35">
      <w:pPr>
        <w:pStyle w:val="BodyTextIndent2"/>
        <w:numPr>
          <w:ilvl w:val="0"/>
          <w:numId w:val="78"/>
        </w:numPr>
        <w:tabs>
          <w:tab w:val="clear" w:pos="1080"/>
          <w:tab w:val="left" w:pos="851"/>
        </w:tabs>
        <w:spacing w:before="0" w:after="0"/>
        <w:rPr>
          <w:szCs w:val="24"/>
        </w:rPr>
      </w:pPr>
      <w:r w:rsidRPr="002F17B5">
        <w:rPr>
          <w:szCs w:val="24"/>
        </w:rPr>
        <w:t>Interest income</w:t>
      </w:r>
    </w:p>
    <w:p w:rsidR="00274914" w:rsidRPr="00016AE0" w:rsidRDefault="00274914" w:rsidP="00274914">
      <w:pPr>
        <w:pStyle w:val="ListParagraph"/>
        <w:rPr>
          <w:sz w:val="2"/>
        </w:rPr>
      </w:pPr>
    </w:p>
    <w:p w:rsidR="00274914" w:rsidRPr="002F17B5" w:rsidRDefault="00274914" w:rsidP="00274914">
      <w:pPr>
        <w:pStyle w:val="BodyTextIndent2"/>
        <w:tabs>
          <w:tab w:val="left" w:pos="851"/>
        </w:tabs>
        <w:spacing w:after="0"/>
        <w:ind w:left="851"/>
        <w:rPr>
          <w:szCs w:val="24"/>
        </w:rPr>
      </w:pPr>
      <w:r w:rsidRPr="002F17B5">
        <w:rPr>
          <w:szCs w:val="24"/>
        </w:rPr>
        <w:t>Interest income is recognised in the fund account as it accrues, using the effective interest rate of the financial instrument as at the date of acquisition or origination.  Income includes the amortisation of any discount or premium, transaction costs or other differences between the initial carrying amount of the instrument and its amount at maturity calculated on an effective interest rate basis.</w:t>
      </w:r>
    </w:p>
    <w:p w:rsidR="00274914" w:rsidRPr="00016AE0" w:rsidRDefault="00274914" w:rsidP="00274914">
      <w:pPr>
        <w:pStyle w:val="BodyTextIndent2"/>
        <w:tabs>
          <w:tab w:val="left" w:pos="851"/>
        </w:tabs>
        <w:spacing w:after="0"/>
        <w:ind w:left="851"/>
        <w:rPr>
          <w:sz w:val="34"/>
          <w:szCs w:val="24"/>
        </w:rPr>
      </w:pPr>
    </w:p>
    <w:p w:rsidR="00274914" w:rsidRPr="002F17B5" w:rsidRDefault="00274914" w:rsidP="009A4C35">
      <w:pPr>
        <w:pStyle w:val="BodyTextIndent2"/>
        <w:numPr>
          <w:ilvl w:val="0"/>
          <w:numId w:val="78"/>
        </w:numPr>
        <w:tabs>
          <w:tab w:val="clear" w:pos="1080"/>
          <w:tab w:val="left" w:pos="851"/>
        </w:tabs>
        <w:spacing w:before="0" w:after="0"/>
        <w:rPr>
          <w:szCs w:val="24"/>
        </w:rPr>
      </w:pPr>
      <w:r w:rsidRPr="002F17B5">
        <w:rPr>
          <w:szCs w:val="24"/>
        </w:rPr>
        <w:t>Dividend income</w:t>
      </w:r>
    </w:p>
    <w:p w:rsidR="00274914" w:rsidRPr="00016AE0" w:rsidRDefault="00274914" w:rsidP="00274914">
      <w:pPr>
        <w:pStyle w:val="BodyTextIndent2"/>
        <w:tabs>
          <w:tab w:val="left" w:pos="851"/>
        </w:tabs>
        <w:spacing w:after="0"/>
        <w:ind w:left="927"/>
        <w:rPr>
          <w:sz w:val="8"/>
          <w:szCs w:val="24"/>
        </w:rPr>
      </w:pPr>
    </w:p>
    <w:p w:rsidR="00274914" w:rsidRPr="002F17B5" w:rsidRDefault="00274914" w:rsidP="00274914">
      <w:pPr>
        <w:pStyle w:val="BodyTextIndent2"/>
        <w:tabs>
          <w:tab w:val="left" w:pos="851"/>
        </w:tabs>
        <w:spacing w:after="0"/>
        <w:ind w:left="851"/>
        <w:rPr>
          <w:szCs w:val="24"/>
        </w:rPr>
      </w:pPr>
      <w:r w:rsidRPr="002F17B5">
        <w:rPr>
          <w:szCs w:val="24"/>
        </w:rPr>
        <w:t>Dividend income is recognised on the date the shares are quoted ex-dividend.  Any amount not received by the end of the reporting period is disclosed in the net asset statement as a current financial asset.</w:t>
      </w:r>
    </w:p>
    <w:p w:rsidR="00274914" w:rsidRPr="00016AE0" w:rsidRDefault="00274914" w:rsidP="00274914">
      <w:pPr>
        <w:pStyle w:val="BodyTextIndent2"/>
        <w:tabs>
          <w:tab w:val="left" w:pos="851"/>
        </w:tabs>
        <w:spacing w:after="0"/>
        <w:ind w:left="927"/>
        <w:rPr>
          <w:sz w:val="32"/>
          <w:szCs w:val="24"/>
        </w:rPr>
      </w:pPr>
    </w:p>
    <w:p w:rsidR="00274914" w:rsidRPr="002F17B5" w:rsidRDefault="00274914" w:rsidP="009A4C35">
      <w:pPr>
        <w:pStyle w:val="BodyTextIndent2"/>
        <w:numPr>
          <w:ilvl w:val="0"/>
          <w:numId w:val="78"/>
        </w:numPr>
        <w:tabs>
          <w:tab w:val="clear" w:pos="1080"/>
          <w:tab w:val="left" w:pos="851"/>
        </w:tabs>
        <w:spacing w:before="0" w:after="0"/>
        <w:rPr>
          <w:szCs w:val="24"/>
        </w:rPr>
      </w:pPr>
      <w:r w:rsidRPr="002F17B5">
        <w:rPr>
          <w:szCs w:val="24"/>
        </w:rPr>
        <w:t>Distribution from pooled funds</w:t>
      </w:r>
    </w:p>
    <w:p w:rsidR="00274914" w:rsidRPr="00016AE0" w:rsidRDefault="00274914" w:rsidP="00274914">
      <w:pPr>
        <w:pStyle w:val="BodyTextIndent2"/>
        <w:tabs>
          <w:tab w:val="left" w:pos="851"/>
        </w:tabs>
        <w:spacing w:after="0"/>
        <w:ind w:left="927"/>
        <w:rPr>
          <w:sz w:val="6"/>
          <w:szCs w:val="24"/>
        </w:rPr>
      </w:pPr>
    </w:p>
    <w:p w:rsidR="00274914" w:rsidRPr="002F17B5" w:rsidRDefault="00274914" w:rsidP="00274914">
      <w:pPr>
        <w:pStyle w:val="BodyTextIndent2"/>
        <w:tabs>
          <w:tab w:val="left" w:pos="851"/>
        </w:tabs>
        <w:spacing w:after="0"/>
        <w:ind w:left="851"/>
        <w:rPr>
          <w:szCs w:val="24"/>
        </w:rPr>
      </w:pPr>
      <w:r w:rsidRPr="002F17B5">
        <w:rPr>
          <w:szCs w:val="24"/>
        </w:rPr>
        <w:t>Distributions from pooled funds are recognised at the date of issue.  Any amount not received by the end of the reporting period is disclosed in the net asset statement as a current financial asset.</w:t>
      </w:r>
    </w:p>
    <w:p w:rsidR="00274914" w:rsidRPr="00016AE0" w:rsidRDefault="00274914" w:rsidP="00274914">
      <w:pPr>
        <w:pStyle w:val="BodyTextIndent2"/>
        <w:tabs>
          <w:tab w:val="left" w:pos="851"/>
        </w:tabs>
        <w:spacing w:after="0"/>
        <w:ind w:left="927"/>
        <w:rPr>
          <w:sz w:val="18"/>
          <w:szCs w:val="24"/>
        </w:rPr>
      </w:pPr>
    </w:p>
    <w:p w:rsidR="00274914" w:rsidRPr="002F17B5" w:rsidRDefault="00274914" w:rsidP="00274914">
      <w:pPr>
        <w:pStyle w:val="BodyTextIndent2"/>
        <w:tabs>
          <w:tab w:val="left" w:pos="851"/>
        </w:tabs>
        <w:spacing w:after="0"/>
        <w:ind w:left="927"/>
        <w:rPr>
          <w:sz w:val="16"/>
          <w:szCs w:val="24"/>
        </w:rPr>
      </w:pPr>
    </w:p>
    <w:p w:rsidR="00274914" w:rsidRPr="002F17B5" w:rsidRDefault="00274914" w:rsidP="009A4C35">
      <w:pPr>
        <w:pStyle w:val="BodyTextIndent2"/>
        <w:numPr>
          <w:ilvl w:val="0"/>
          <w:numId w:val="78"/>
        </w:numPr>
        <w:tabs>
          <w:tab w:val="clear" w:pos="1080"/>
          <w:tab w:val="left" w:pos="851"/>
        </w:tabs>
        <w:spacing w:before="0" w:after="0"/>
        <w:rPr>
          <w:szCs w:val="24"/>
        </w:rPr>
      </w:pPr>
      <w:r w:rsidRPr="002F17B5">
        <w:rPr>
          <w:szCs w:val="24"/>
        </w:rPr>
        <w:t>Rental income</w:t>
      </w:r>
    </w:p>
    <w:p w:rsidR="00274914" w:rsidRPr="00016AE0" w:rsidRDefault="00274914" w:rsidP="00274914">
      <w:pPr>
        <w:pStyle w:val="BodyTextIndent2"/>
        <w:tabs>
          <w:tab w:val="left" w:pos="851"/>
        </w:tabs>
        <w:spacing w:after="0"/>
        <w:ind w:left="927"/>
        <w:rPr>
          <w:sz w:val="10"/>
          <w:szCs w:val="24"/>
        </w:rPr>
      </w:pPr>
    </w:p>
    <w:p w:rsidR="00274914" w:rsidRDefault="00274914" w:rsidP="00274914">
      <w:pPr>
        <w:pStyle w:val="BodyTextIndent2"/>
        <w:tabs>
          <w:tab w:val="left" w:pos="851"/>
        </w:tabs>
        <w:spacing w:after="0"/>
        <w:ind w:left="851"/>
        <w:rPr>
          <w:szCs w:val="24"/>
        </w:rPr>
      </w:pPr>
      <w:r w:rsidRPr="002F17B5">
        <w:rPr>
          <w:szCs w:val="24"/>
        </w:rPr>
        <w:t>Net rental income from operating leases on properties owned by the fund is recognised on a straight line basis over the term of the lease.  Any lease incentives granted are recognised as an integral part of the total rental income, over the term of the lease.  Contingent rents are only recognised when contractually due.</w:t>
      </w:r>
    </w:p>
    <w:p w:rsidR="00016AE0" w:rsidRDefault="00016AE0" w:rsidP="00274914">
      <w:pPr>
        <w:pStyle w:val="BodyTextIndent2"/>
        <w:tabs>
          <w:tab w:val="left" w:pos="851"/>
        </w:tabs>
        <w:spacing w:after="0"/>
        <w:ind w:left="851"/>
        <w:rPr>
          <w:szCs w:val="24"/>
        </w:rPr>
      </w:pPr>
    </w:p>
    <w:p w:rsidR="00CA5AC4" w:rsidRDefault="00CA5AC4" w:rsidP="00274914">
      <w:pPr>
        <w:pStyle w:val="BodyTextIndent2"/>
        <w:tabs>
          <w:tab w:val="left" w:pos="851"/>
        </w:tabs>
        <w:spacing w:after="0"/>
        <w:ind w:left="851"/>
        <w:rPr>
          <w:szCs w:val="24"/>
        </w:rPr>
      </w:pPr>
    </w:p>
    <w:p w:rsidR="00016AE0" w:rsidRPr="00016AE0" w:rsidRDefault="00016AE0" w:rsidP="00274914">
      <w:pPr>
        <w:pStyle w:val="BodyTextIndent2"/>
        <w:tabs>
          <w:tab w:val="left" w:pos="851"/>
        </w:tabs>
        <w:spacing w:after="0"/>
        <w:ind w:left="851"/>
        <w:rPr>
          <w:sz w:val="12"/>
          <w:szCs w:val="24"/>
        </w:rPr>
      </w:pPr>
    </w:p>
    <w:p w:rsidR="00274914" w:rsidRPr="002F17B5" w:rsidRDefault="00274914" w:rsidP="009A4C35">
      <w:pPr>
        <w:pStyle w:val="BodyTextIndent2"/>
        <w:numPr>
          <w:ilvl w:val="0"/>
          <w:numId w:val="78"/>
        </w:numPr>
        <w:tabs>
          <w:tab w:val="clear" w:pos="1080"/>
          <w:tab w:val="left" w:pos="851"/>
        </w:tabs>
        <w:spacing w:before="0" w:after="0"/>
        <w:rPr>
          <w:szCs w:val="24"/>
        </w:rPr>
      </w:pPr>
      <w:r w:rsidRPr="002F17B5">
        <w:rPr>
          <w:szCs w:val="24"/>
        </w:rPr>
        <w:lastRenderedPageBreak/>
        <w:t>Movement in the net market value of investments</w:t>
      </w:r>
    </w:p>
    <w:p w:rsidR="00274914" w:rsidRPr="002F17B5" w:rsidRDefault="00274914" w:rsidP="00274914">
      <w:pPr>
        <w:pStyle w:val="BodyTextIndent2"/>
        <w:tabs>
          <w:tab w:val="left" w:pos="851"/>
        </w:tabs>
        <w:spacing w:after="0"/>
        <w:rPr>
          <w:sz w:val="18"/>
          <w:szCs w:val="24"/>
        </w:rPr>
      </w:pPr>
    </w:p>
    <w:p w:rsidR="00274914" w:rsidRPr="002F17B5" w:rsidRDefault="00274914" w:rsidP="00274914">
      <w:pPr>
        <w:pStyle w:val="BodyTextIndent2"/>
        <w:tabs>
          <w:tab w:val="left" w:pos="851"/>
        </w:tabs>
        <w:spacing w:after="0"/>
        <w:ind w:left="851"/>
        <w:rPr>
          <w:szCs w:val="24"/>
        </w:rPr>
      </w:pPr>
      <w:r w:rsidRPr="002F17B5">
        <w:rPr>
          <w:szCs w:val="24"/>
        </w:rPr>
        <w:t>Changes in the net market value of investments (including investment properties) are recognised as income and comprise all realised and unrealised profits/losses during the year.</w:t>
      </w:r>
    </w:p>
    <w:p w:rsidR="00274914" w:rsidRPr="002F17B5" w:rsidRDefault="00274914" w:rsidP="00274914">
      <w:pPr>
        <w:pStyle w:val="BodyTextIndent2"/>
        <w:tabs>
          <w:tab w:val="left" w:pos="851"/>
        </w:tabs>
        <w:spacing w:after="0"/>
        <w:ind w:left="927" w:hanging="76"/>
        <w:rPr>
          <w:szCs w:val="24"/>
        </w:rPr>
      </w:pPr>
    </w:p>
    <w:p w:rsidR="00274914" w:rsidRPr="002F17B5" w:rsidRDefault="00274914" w:rsidP="00274914">
      <w:pPr>
        <w:ind w:left="426"/>
        <w:rPr>
          <w:b/>
        </w:rPr>
      </w:pPr>
      <w:r w:rsidRPr="002F17B5">
        <w:rPr>
          <w:b/>
        </w:rPr>
        <w:t>Fund Account –expense items</w:t>
      </w:r>
    </w:p>
    <w:p w:rsidR="00274914" w:rsidRPr="002F17B5" w:rsidRDefault="00274914" w:rsidP="00274914">
      <w:pPr>
        <w:rPr>
          <w:b/>
          <w:sz w:val="18"/>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Benefits payable</w:t>
      </w:r>
    </w:p>
    <w:p w:rsidR="00274914" w:rsidRPr="00016AE0" w:rsidRDefault="00274914" w:rsidP="00274914">
      <w:pPr>
        <w:ind w:left="1113"/>
        <w:rPr>
          <w:b/>
          <w:sz w:val="6"/>
        </w:rPr>
      </w:pPr>
    </w:p>
    <w:p w:rsidR="00274914" w:rsidRPr="002F17B5" w:rsidRDefault="00274914" w:rsidP="00274914">
      <w:pPr>
        <w:tabs>
          <w:tab w:val="left" w:pos="851"/>
        </w:tabs>
        <w:ind w:left="851"/>
      </w:pPr>
      <w:r w:rsidRPr="002F17B5">
        <w:t>Pensions and lump sum benefits payable include all amounts known to be due as at the end of the financial year.  Any amounts due but unpaid are disclosed on the net asset statement as current liabilities.</w:t>
      </w:r>
    </w:p>
    <w:p w:rsidR="00274914" w:rsidRPr="002F17B5" w:rsidRDefault="00274914" w:rsidP="00274914">
      <w:pPr>
        <w:tabs>
          <w:tab w:val="left" w:pos="851"/>
        </w:tabs>
        <w:ind w:left="851"/>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Taxation</w:t>
      </w:r>
    </w:p>
    <w:p w:rsidR="00274914" w:rsidRPr="00016AE0" w:rsidRDefault="00274914" w:rsidP="00274914">
      <w:pPr>
        <w:ind w:left="1113"/>
        <w:rPr>
          <w:b/>
          <w:sz w:val="6"/>
        </w:rPr>
      </w:pPr>
    </w:p>
    <w:p w:rsidR="00274914" w:rsidRPr="002F17B5" w:rsidRDefault="00274914" w:rsidP="00274914">
      <w:pPr>
        <w:tabs>
          <w:tab w:val="left" w:pos="851"/>
        </w:tabs>
        <w:ind w:left="851"/>
      </w:pPr>
      <w:r w:rsidRPr="002F17B5">
        <w:t>The fund is a registered public service 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rsidR="00274914" w:rsidRPr="00016AE0" w:rsidRDefault="00274914" w:rsidP="00274914">
      <w:pPr>
        <w:tabs>
          <w:tab w:val="left" w:pos="851"/>
        </w:tabs>
        <w:ind w:left="851"/>
        <w:rPr>
          <w:sz w:val="30"/>
        </w:rPr>
      </w:pPr>
    </w:p>
    <w:p w:rsidR="00274914" w:rsidRPr="002F17B5" w:rsidRDefault="00274914" w:rsidP="009A4C35">
      <w:pPr>
        <w:numPr>
          <w:ilvl w:val="0"/>
          <w:numId w:val="76"/>
        </w:numPr>
        <w:tabs>
          <w:tab w:val="num" w:pos="851"/>
        </w:tabs>
        <w:autoSpaceDE/>
        <w:autoSpaceDN/>
        <w:adjustRightInd/>
        <w:spacing w:before="0" w:after="0"/>
        <w:ind w:left="1113" w:hanging="546"/>
        <w:jc w:val="left"/>
      </w:pPr>
      <w:r w:rsidRPr="002F17B5">
        <w:rPr>
          <w:b/>
        </w:rPr>
        <w:t>Administrative</w:t>
      </w:r>
      <w:r w:rsidRPr="002F17B5">
        <w:t xml:space="preserve"> </w:t>
      </w:r>
      <w:r w:rsidRPr="002F17B5">
        <w:rPr>
          <w:b/>
        </w:rPr>
        <w:t>expenses</w:t>
      </w:r>
    </w:p>
    <w:p w:rsidR="00274914" w:rsidRPr="00016AE0" w:rsidRDefault="00274914" w:rsidP="00274914">
      <w:pPr>
        <w:ind w:left="1113"/>
        <w:rPr>
          <w:sz w:val="8"/>
        </w:rPr>
      </w:pPr>
    </w:p>
    <w:p w:rsidR="00AA0B95" w:rsidRPr="002F17B5" w:rsidRDefault="00274914" w:rsidP="00274914">
      <w:pPr>
        <w:tabs>
          <w:tab w:val="left" w:pos="851"/>
        </w:tabs>
        <w:ind w:left="851"/>
      </w:pPr>
      <w:r w:rsidRPr="002F17B5">
        <w:t xml:space="preserve">All administrative expenses are accounted for on an accruals basis. </w:t>
      </w:r>
      <w:r w:rsidR="00AA0B95">
        <w:t>All staff costs of the pension's administration team are charged directly to the fund.  Management, accommodation, finance and other overheads are apportioned in accordance with council policy.</w:t>
      </w:r>
    </w:p>
    <w:p w:rsidR="00274914" w:rsidRPr="002F17B5" w:rsidRDefault="00274914" w:rsidP="008C0AEC">
      <w:pPr>
        <w:tabs>
          <w:tab w:val="left" w:pos="851"/>
        </w:tabs>
        <w:ind w:left="851"/>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Investment Manage</w:t>
      </w:r>
      <w:r w:rsidR="0036667D">
        <w:rPr>
          <w:b/>
        </w:rPr>
        <w:t>ment</w:t>
      </w:r>
      <w:r w:rsidRPr="002F17B5">
        <w:rPr>
          <w:b/>
        </w:rPr>
        <w:t xml:space="preserve"> expenses</w:t>
      </w:r>
    </w:p>
    <w:p w:rsidR="00274914" w:rsidRPr="00016AE0" w:rsidRDefault="00016AE0" w:rsidP="00274914">
      <w:pPr>
        <w:ind w:left="1113"/>
        <w:rPr>
          <w:b/>
          <w:sz w:val="6"/>
        </w:rPr>
      </w:pPr>
      <w:r>
        <w:rPr>
          <w:b/>
          <w:sz w:val="6"/>
        </w:rPr>
        <w:t>[</w:t>
      </w:r>
    </w:p>
    <w:p w:rsidR="00274914" w:rsidRPr="002F17B5" w:rsidRDefault="00274914" w:rsidP="00274914">
      <w:pPr>
        <w:tabs>
          <w:tab w:val="left" w:pos="851"/>
        </w:tabs>
        <w:ind w:left="851"/>
        <w:rPr>
          <w:rFonts w:cs="Arial"/>
        </w:rPr>
      </w:pPr>
      <w:r w:rsidRPr="002F17B5">
        <w:t>Investment</w:t>
      </w:r>
      <w:r w:rsidRPr="002F17B5">
        <w:rPr>
          <w:rFonts w:cs="Arial"/>
          <w:b/>
        </w:rPr>
        <w:t xml:space="preserve"> </w:t>
      </w:r>
      <w:r w:rsidRPr="002F17B5">
        <w:rPr>
          <w:rFonts w:cs="Arial"/>
        </w:rPr>
        <w:t xml:space="preserve">management expenses are accounted for on an accruals basis.  They include the fees paid and due to the fund managers, custodian, actuarial fees and performance measurement and investment consultant fees. </w:t>
      </w:r>
    </w:p>
    <w:p w:rsidR="00274914" w:rsidRPr="00016AE0" w:rsidRDefault="00274914" w:rsidP="00274914">
      <w:pPr>
        <w:tabs>
          <w:tab w:val="left" w:pos="851"/>
        </w:tabs>
        <w:ind w:left="851"/>
        <w:rPr>
          <w:rFonts w:cs="Arial"/>
          <w:sz w:val="18"/>
        </w:rPr>
      </w:pPr>
    </w:p>
    <w:p w:rsidR="00274914" w:rsidRPr="002F17B5" w:rsidRDefault="00274914" w:rsidP="00274914">
      <w:pPr>
        <w:tabs>
          <w:tab w:val="left" w:pos="851"/>
        </w:tabs>
        <w:ind w:left="851"/>
        <w:rPr>
          <w:rFonts w:cs="Arial"/>
        </w:rPr>
      </w:pPr>
      <w:r w:rsidRPr="002F17B5">
        <w:rPr>
          <w:rFonts w:cs="Arial"/>
        </w:rPr>
        <w:t>Fees of the external investment managers and custodian are agreed in the respective mandates governing their appointments.  Broadly, these are based on the market value of investments under their management and therefore increase or reduce as the value of these investments change.</w:t>
      </w:r>
    </w:p>
    <w:p w:rsidR="00274914" w:rsidRPr="00016AE0" w:rsidRDefault="00274914" w:rsidP="00274914">
      <w:pPr>
        <w:tabs>
          <w:tab w:val="left" w:pos="851"/>
        </w:tabs>
        <w:ind w:left="851"/>
        <w:rPr>
          <w:rFonts w:cs="Arial"/>
          <w:sz w:val="16"/>
        </w:rPr>
      </w:pPr>
    </w:p>
    <w:p w:rsidR="00274914" w:rsidRPr="002F17B5" w:rsidRDefault="00274914" w:rsidP="00274914">
      <w:pPr>
        <w:tabs>
          <w:tab w:val="left" w:pos="851"/>
        </w:tabs>
        <w:ind w:left="851"/>
        <w:rPr>
          <w:rFonts w:cs="Arial"/>
        </w:rPr>
      </w:pPr>
      <w:r w:rsidRPr="002F17B5">
        <w:rPr>
          <w:rFonts w:cs="Arial"/>
        </w:rPr>
        <w:t>In addition the fund has negotiated with the following managers that an element of their fee be performance related:</w:t>
      </w:r>
    </w:p>
    <w:p w:rsidR="00274914" w:rsidRDefault="00274914" w:rsidP="00274914">
      <w:pPr>
        <w:tabs>
          <w:tab w:val="left" w:pos="851"/>
        </w:tabs>
        <w:ind w:left="851"/>
        <w:rPr>
          <w:rFonts w:cs="Arial"/>
        </w:rPr>
      </w:pPr>
    </w:p>
    <w:p w:rsidR="00CA5AC4" w:rsidRPr="002F17B5" w:rsidRDefault="00CA5AC4" w:rsidP="00274914">
      <w:pPr>
        <w:tabs>
          <w:tab w:val="left" w:pos="851"/>
        </w:tabs>
        <w:ind w:left="851"/>
        <w:rPr>
          <w:rFonts w:cs="Arial"/>
        </w:rPr>
      </w:pPr>
    </w:p>
    <w:p w:rsidR="00274914" w:rsidRPr="002F17B5" w:rsidRDefault="00274914" w:rsidP="009A4C35">
      <w:pPr>
        <w:pStyle w:val="ListParagraph"/>
        <w:numPr>
          <w:ilvl w:val="0"/>
          <w:numId w:val="83"/>
        </w:numPr>
        <w:tabs>
          <w:tab w:val="left" w:pos="851"/>
        </w:tabs>
        <w:autoSpaceDE/>
        <w:autoSpaceDN/>
        <w:adjustRightInd/>
        <w:spacing w:before="0" w:after="0"/>
        <w:rPr>
          <w:rFonts w:cs="Arial"/>
        </w:rPr>
      </w:pPr>
      <w:r w:rsidRPr="002F17B5">
        <w:rPr>
          <w:rFonts w:cs="Arial"/>
        </w:rPr>
        <w:lastRenderedPageBreak/>
        <w:t>MFS</w:t>
      </w:r>
    </w:p>
    <w:p w:rsidR="00274914" w:rsidRPr="002F17B5" w:rsidRDefault="00274914" w:rsidP="009A4C35">
      <w:pPr>
        <w:pStyle w:val="ListParagraph"/>
        <w:numPr>
          <w:ilvl w:val="0"/>
          <w:numId w:val="83"/>
        </w:numPr>
        <w:tabs>
          <w:tab w:val="left" w:pos="851"/>
        </w:tabs>
        <w:autoSpaceDE/>
        <w:autoSpaceDN/>
        <w:adjustRightInd/>
        <w:spacing w:before="0" w:after="0"/>
        <w:rPr>
          <w:rFonts w:cs="Arial"/>
        </w:rPr>
      </w:pPr>
      <w:r w:rsidRPr="002F17B5">
        <w:rPr>
          <w:rFonts w:cs="Arial"/>
        </w:rPr>
        <w:t>Morgan Stanley</w:t>
      </w:r>
    </w:p>
    <w:p w:rsidR="00274914" w:rsidRPr="002F17B5" w:rsidRDefault="00274914" w:rsidP="00274914">
      <w:pPr>
        <w:tabs>
          <w:tab w:val="left" w:pos="851"/>
        </w:tabs>
        <w:ind w:left="851"/>
        <w:rPr>
          <w:rFonts w:cs="Arial"/>
        </w:rPr>
      </w:pPr>
    </w:p>
    <w:p w:rsidR="00274914" w:rsidRPr="002F17B5" w:rsidRDefault="00274914" w:rsidP="00274914">
      <w:pPr>
        <w:tabs>
          <w:tab w:val="left" w:pos="851"/>
        </w:tabs>
        <w:ind w:left="851" w:hanging="131"/>
        <w:rPr>
          <w:rFonts w:cs="Arial"/>
        </w:rPr>
      </w:pPr>
      <w:r w:rsidRPr="002F17B5">
        <w:rPr>
          <w:rFonts w:cs="Arial"/>
        </w:rPr>
        <w:tab/>
        <w:t xml:space="preserve">Performance related fees paid in </w:t>
      </w:r>
      <w:r w:rsidR="00657CCB">
        <w:rPr>
          <w:rFonts w:cs="Arial"/>
        </w:rPr>
        <w:t>20</w:t>
      </w:r>
      <w:r w:rsidRPr="002F17B5">
        <w:rPr>
          <w:rFonts w:cs="Arial"/>
        </w:rPr>
        <w:t xml:space="preserve">13/14 were </w:t>
      </w:r>
      <w:r w:rsidR="00657CCB">
        <w:rPr>
          <w:rFonts w:cs="Arial"/>
        </w:rPr>
        <w:t xml:space="preserve">£1.5m. No </w:t>
      </w:r>
      <w:r w:rsidR="00CA5AC4">
        <w:rPr>
          <w:rFonts w:cs="Arial"/>
        </w:rPr>
        <w:t xml:space="preserve">performance related </w:t>
      </w:r>
      <w:r w:rsidR="00657CCB">
        <w:rPr>
          <w:rFonts w:cs="Arial"/>
        </w:rPr>
        <w:t>fees were paid in 2012/13</w:t>
      </w:r>
      <w:r w:rsidRPr="002F17B5">
        <w:rPr>
          <w:rFonts w:cs="Arial"/>
        </w:rPr>
        <w:t xml:space="preserve"> as these managers were only appointed in October 2012.</w:t>
      </w:r>
    </w:p>
    <w:p w:rsidR="00274914" w:rsidRPr="002F17B5" w:rsidRDefault="00274914" w:rsidP="00274914">
      <w:pPr>
        <w:tabs>
          <w:tab w:val="left" w:pos="851"/>
        </w:tabs>
        <w:ind w:left="851"/>
        <w:rPr>
          <w:rFonts w:cs="Arial"/>
        </w:rPr>
      </w:pPr>
    </w:p>
    <w:p w:rsidR="00274914" w:rsidRPr="002F17B5" w:rsidRDefault="00274914" w:rsidP="00274914">
      <w:pPr>
        <w:tabs>
          <w:tab w:val="left" w:pos="851"/>
        </w:tabs>
        <w:ind w:left="851"/>
        <w:rPr>
          <w:rFonts w:cs="Arial"/>
        </w:rPr>
      </w:pPr>
      <w:r w:rsidRPr="002F17B5">
        <w:rPr>
          <w:rFonts w:cs="Arial"/>
        </w:rPr>
        <w:t>Where an investment manager's fee note has not been received by the net asset statement date, an estimate based on market value of their mandate as at year end is used for the inclusion in the fund account.  In 2013/14 £2.8m of fees is based on such estimates (2012/13 £2.2m).</w:t>
      </w:r>
    </w:p>
    <w:p w:rsidR="00274914" w:rsidRPr="002F17B5" w:rsidRDefault="00274914" w:rsidP="00274914">
      <w:pPr>
        <w:tabs>
          <w:tab w:val="left" w:pos="851"/>
        </w:tabs>
        <w:ind w:left="851"/>
        <w:rPr>
          <w:rFonts w:cs="Arial"/>
        </w:rPr>
      </w:pPr>
    </w:p>
    <w:p w:rsidR="00274914" w:rsidRPr="002F17B5" w:rsidRDefault="00274914" w:rsidP="00274914">
      <w:pPr>
        <w:tabs>
          <w:tab w:val="left" w:pos="851"/>
        </w:tabs>
        <w:ind w:left="851"/>
        <w:rPr>
          <w:rFonts w:cs="Arial"/>
        </w:rPr>
      </w:pPr>
      <w:r w:rsidRPr="002F17B5">
        <w:rPr>
          <w:rFonts w:cs="Arial"/>
        </w:rPr>
        <w:t>The costs of the council's in-house fund management team are charged direct to the fund and a proportion of the council's costs representing management time spent by officers on investment management are also charged to the fund.</w:t>
      </w:r>
    </w:p>
    <w:p w:rsidR="00274914" w:rsidRPr="002F17B5" w:rsidRDefault="00274914" w:rsidP="00274914">
      <w:pPr>
        <w:tabs>
          <w:tab w:val="left" w:pos="851"/>
        </w:tabs>
        <w:ind w:left="851"/>
        <w:rPr>
          <w:rFonts w:cs="Arial"/>
          <w:b/>
          <w:sz w:val="14"/>
        </w:rPr>
      </w:pPr>
    </w:p>
    <w:p w:rsidR="00274914" w:rsidRPr="002F17B5" w:rsidRDefault="00274914" w:rsidP="00274914">
      <w:pPr>
        <w:rPr>
          <w:b/>
        </w:rPr>
      </w:pPr>
    </w:p>
    <w:p w:rsidR="00274914" w:rsidRPr="002F17B5" w:rsidRDefault="00274914" w:rsidP="00274914">
      <w:pPr>
        <w:ind w:left="426"/>
        <w:rPr>
          <w:b/>
        </w:rPr>
      </w:pPr>
      <w:r w:rsidRPr="002F17B5">
        <w:rPr>
          <w:b/>
        </w:rPr>
        <w:t>Net asset statement</w:t>
      </w:r>
    </w:p>
    <w:p w:rsidR="00274914" w:rsidRPr="002F17B5" w:rsidRDefault="00274914" w:rsidP="00274914">
      <w:pPr>
        <w:rPr>
          <w:b/>
          <w:sz w:val="18"/>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 xml:space="preserve">Financial Instruments </w:t>
      </w:r>
    </w:p>
    <w:p w:rsidR="00274914" w:rsidRPr="002F17B5" w:rsidRDefault="00274914" w:rsidP="00274914">
      <w:pPr>
        <w:ind w:left="1113"/>
        <w:rPr>
          <w:b/>
        </w:rPr>
      </w:pPr>
    </w:p>
    <w:p w:rsidR="00274914" w:rsidRDefault="00274914" w:rsidP="00274914">
      <w:pPr>
        <w:pStyle w:val="BodyTextIndent2"/>
        <w:tabs>
          <w:tab w:val="left" w:pos="851"/>
        </w:tabs>
        <w:spacing w:after="0"/>
        <w:ind w:left="851"/>
        <w:rPr>
          <w:szCs w:val="24"/>
        </w:rPr>
      </w:pPr>
      <w:r w:rsidRPr="002F17B5">
        <w:rPr>
          <w:szCs w:val="24"/>
        </w:rPr>
        <w:t>Financial assets</w:t>
      </w:r>
      <w:r w:rsidR="0036667D">
        <w:rPr>
          <w:szCs w:val="24"/>
        </w:rPr>
        <w:t xml:space="preserve"> </w:t>
      </w:r>
      <w:r w:rsidRPr="002F17B5">
        <w:rPr>
          <w:szCs w:val="24"/>
        </w:rPr>
        <w:t>are included in the net asset statement on a fair value basis as at the reporting date.  A financial asset is recognised in the net asset statement on the date the fund becomes party to the contractual acquisition of the asset.  From this date any gains or losses arising from changes in the fair value of the asset are recognised by the fund.</w:t>
      </w:r>
    </w:p>
    <w:p w:rsidR="0036667D" w:rsidRDefault="0036667D" w:rsidP="00274914">
      <w:pPr>
        <w:pStyle w:val="BodyTextIndent2"/>
        <w:tabs>
          <w:tab w:val="left" w:pos="851"/>
        </w:tabs>
        <w:spacing w:after="0"/>
        <w:ind w:left="851"/>
        <w:rPr>
          <w:szCs w:val="24"/>
        </w:rPr>
      </w:pPr>
    </w:p>
    <w:p w:rsidR="0036667D" w:rsidRPr="00AA5305" w:rsidRDefault="0036667D" w:rsidP="008C0AEC">
      <w:pPr>
        <w:spacing w:after="0"/>
        <w:ind w:firstLine="720"/>
        <w:rPr>
          <w:rFonts w:cs="FSLola"/>
          <w:szCs w:val="23"/>
        </w:rPr>
      </w:pPr>
      <w:r w:rsidRPr="00AA5305">
        <w:rPr>
          <w:rFonts w:cs="FSLola"/>
          <w:szCs w:val="23"/>
        </w:rPr>
        <w:t>The values of investments as shown in the net assets statement have been determined as</w:t>
      </w:r>
    </w:p>
    <w:p w:rsidR="0036667D" w:rsidRPr="00AA5305" w:rsidRDefault="0036667D" w:rsidP="008C0AEC">
      <w:pPr>
        <w:spacing w:after="0"/>
        <w:ind w:firstLine="720"/>
        <w:rPr>
          <w:rFonts w:cs="FSLola"/>
          <w:szCs w:val="23"/>
        </w:rPr>
      </w:pPr>
      <w:r w:rsidRPr="00AA5305">
        <w:rPr>
          <w:rFonts w:cs="FSLola"/>
          <w:szCs w:val="23"/>
        </w:rPr>
        <w:t>follows:</w:t>
      </w:r>
    </w:p>
    <w:p w:rsidR="00E85C28" w:rsidRPr="00AA5305" w:rsidRDefault="00E85C28" w:rsidP="008C0AEC">
      <w:pPr>
        <w:spacing w:after="0"/>
        <w:ind w:firstLine="720"/>
        <w:rPr>
          <w:rFonts w:cs="FSLola"/>
          <w:szCs w:val="23"/>
        </w:rPr>
      </w:pPr>
    </w:p>
    <w:p w:rsidR="0036667D" w:rsidRPr="00AA5305" w:rsidRDefault="0036667D" w:rsidP="009A4C35">
      <w:pPr>
        <w:pStyle w:val="ListParagraph"/>
        <w:numPr>
          <w:ilvl w:val="0"/>
          <w:numId w:val="76"/>
        </w:numPr>
        <w:spacing w:after="0"/>
        <w:rPr>
          <w:rFonts w:cs="FSLola"/>
          <w:szCs w:val="23"/>
        </w:rPr>
      </w:pPr>
      <w:r w:rsidRPr="00AA5305">
        <w:rPr>
          <w:rFonts w:cs="FSLola"/>
          <w:szCs w:val="23"/>
        </w:rPr>
        <w:t>Market-quoted investments</w:t>
      </w:r>
    </w:p>
    <w:p w:rsidR="00E85C28" w:rsidRPr="00AA5305" w:rsidRDefault="0036667D">
      <w:pPr>
        <w:spacing w:after="0"/>
        <w:ind w:left="720"/>
        <w:rPr>
          <w:rFonts w:cs="FSLola"/>
          <w:szCs w:val="23"/>
        </w:rPr>
      </w:pPr>
      <w:r w:rsidRPr="00AA5305">
        <w:rPr>
          <w:rFonts w:cs="FSLola"/>
          <w:szCs w:val="23"/>
        </w:rPr>
        <w:t>The value of an investment for which there is a readily available market price is</w:t>
      </w:r>
      <w:r w:rsidR="00E85C28" w:rsidRPr="00AA5305">
        <w:rPr>
          <w:rFonts w:cs="FSLola"/>
          <w:szCs w:val="23"/>
        </w:rPr>
        <w:t xml:space="preserve"> </w:t>
      </w:r>
      <w:r w:rsidRPr="00AA5305">
        <w:rPr>
          <w:rFonts w:cs="FSLola"/>
          <w:szCs w:val="23"/>
        </w:rPr>
        <w:t>determined by the bid market price ruling on the final day of the accounting period.</w:t>
      </w:r>
    </w:p>
    <w:p w:rsidR="008C0AEC" w:rsidRPr="00AA5305" w:rsidRDefault="008C0AEC" w:rsidP="008C0AEC">
      <w:pPr>
        <w:spacing w:after="0"/>
        <w:ind w:left="720"/>
        <w:rPr>
          <w:rFonts w:cs="FSLola"/>
          <w:szCs w:val="23"/>
        </w:rPr>
      </w:pPr>
    </w:p>
    <w:p w:rsidR="0036667D" w:rsidRPr="00AA5305" w:rsidRDefault="0036667D" w:rsidP="009A4C35">
      <w:pPr>
        <w:pStyle w:val="ListParagraph"/>
        <w:numPr>
          <w:ilvl w:val="0"/>
          <w:numId w:val="76"/>
        </w:numPr>
        <w:spacing w:after="0"/>
        <w:rPr>
          <w:rFonts w:cs="FSLola"/>
          <w:szCs w:val="23"/>
        </w:rPr>
      </w:pPr>
      <w:r w:rsidRPr="00AA5305">
        <w:rPr>
          <w:rFonts w:cs="FSLola"/>
          <w:szCs w:val="23"/>
        </w:rPr>
        <w:t xml:space="preserve"> Fixed interest securities</w:t>
      </w:r>
    </w:p>
    <w:p w:rsidR="0036667D" w:rsidRPr="00AA5305" w:rsidRDefault="0036667D" w:rsidP="00AA5305">
      <w:pPr>
        <w:spacing w:after="0"/>
        <w:ind w:left="720"/>
        <w:rPr>
          <w:rFonts w:cs="FSLola"/>
          <w:szCs w:val="23"/>
        </w:rPr>
      </w:pPr>
      <w:r w:rsidRPr="00AA5305">
        <w:rPr>
          <w:rFonts w:cs="FSLola"/>
          <w:szCs w:val="23"/>
        </w:rPr>
        <w:t>Fixed interest securities are recorded at net market value based on their current yields.</w:t>
      </w:r>
    </w:p>
    <w:p w:rsidR="008C0AEC" w:rsidRPr="00AA5305" w:rsidRDefault="008C0AEC" w:rsidP="008C0AEC">
      <w:pPr>
        <w:spacing w:after="0"/>
        <w:ind w:firstLine="720"/>
        <w:rPr>
          <w:rFonts w:cs="FSLola"/>
          <w:szCs w:val="23"/>
        </w:rPr>
      </w:pPr>
    </w:p>
    <w:p w:rsidR="0036667D" w:rsidRPr="00AA5305" w:rsidRDefault="0036667D" w:rsidP="009A4C35">
      <w:pPr>
        <w:pStyle w:val="ListParagraph"/>
        <w:numPr>
          <w:ilvl w:val="0"/>
          <w:numId w:val="76"/>
        </w:numPr>
        <w:spacing w:after="0"/>
        <w:rPr>
          <w:rFonts w:cs="FSLola"/>
          <w:szCs w:val="23"/>
        </w:rPr>
      </w:pPr>
      <w:r w:rsidRPr="00AA5305">
        <w:rPr>
          <w:rFonts w:cs="FSLola"/>
          <w:szCs w:val="23"/>
        </w:rPr>
        <w:t>Unquoted investments</w:t>
      </w:r>
    </w:p>
    <w:p w:rsidR="0036667D" w:rsidRDefault="0036667D" w:rsidP="00AA5305">
      <w:pPr>
        <w:spacing w:after="0"/>
        <w:ind w:left="720"/>
        <w:rPr>
          <w:rFonts w:cs="FSLola"/>
          <w:szCs w:val="23"/>
        </w:rPr>
      </w:pPr>
      <w:r w:rsidRPr="00AA5305">
        <w:rPr>
          <w:rFonts w:cs="FSLola"/>
          <w:szCs w:val="23"/>
        </w:rPr>
        <w:t>The fair value of investments for which market quotations are not readily available is</w:t>
      </w:r>
      <w:r w:rsidR="008C0AEC">
        <w:rPr>
          <w:rFonts w:cs="FSLola"/>
          <w:szCs w:val="23"/>
        </w:rPr>
        <w:t xml:space="preserve"> </w:t>
      </w:r>
      <w:r w:rsidRPr="00AA5305">
        <w:rPr>
          <w:rFonts w:cs="FSLola"/>
          <w:szCs w:val="23"/>
        </w:rPr>
        <w:t>determined as follows:</w:t>
      </w:r>
    </w:p>
    <w:p w:rsidR="007D22B1" w:rsidRPr="00AA5305" w:rsidRDefault="007D22B1" w:rsidP="00AA5305">
      <w:pPr>
        <w:spacing w:after="0"/>
        <w:ind w:left="720"/>
        <w:rPr>
          <w:rFonts w:cs="FSLola"/>
          <w:szCs w:val="23"/>
        </w:rPr>
      </w:pPr>
    </w:p>
    <w:p w:rsidR="008C0AEC" w:rsidRPr="00AA5305" w:rsidRDefault="0036667D" w:rsidP="00AA5305">
      <w:pPr>
        <w:ind w:left="720"/>
      </w:pPr>
      <w:r w:rsidRPr="00AA5305">
        <w:t>Valuations of delisted securities are based on the last sale price prior to delisting, or</w:t>
      </w:r>
      <w:r w:rsidR="007D22B1" w:rsidRPr="0084339C">
        <w:t xml:space="preserve"> </w:t>
      </w:r>
      <w:r w:rsidRPr="00AA5305">
        <w:t xml:space="preserve">where subject to liquidation, the amount the </w:t>
      </w:r>
      <w:r w:rsidR="00CA5AC4">
        <w:t>fund</w:t>
      </w:r>
      <w:r w:rsidRPr="00AA5305">
        <w:t xml:space="preserve"> expects to receive on wind-up</w:t>
      </w:r>
      <w:r w:rsidR="008C0AEC">
        <w:t>, l</w:t>
      </w:r>
      <w:r w:rsidRPr="00AA5305">
        <w:t>ess estimated realisation costs.</w:t>
      </w:r>
    </w:p>
    <w:p w:rsidR="00E85C28" w:rsidRDefault="0036667D" w:rsidP="00AA5305">
      <w:pPr>
        <w:pStyle w:val="ListParagraph"/>
        <w:spacing w:after="0"/>
        <w:rPr>
          <w:rFonts w:cs="FSLola"/>
          <w:szCs w:val="23"/>
        </w:rPr>
      </w:pPr>
      <w:r w:rsidRPr="00AA5305">
        <w:rPr>
          <w:rFonts w:cs="FSLola"/>
          <w:szCs w:val="23"/>
        </w:rPr>
        <w:lastRenderedPageBreak/>
        <w:t>Securities subject to takeover offer – the value of the consideration offered under the</w:t>
      </w:r>
      <w:r w:rsidR="008C0AEC">
        <w:rPr>
          <w:rFonts w:cs="FSLola"/>
          <w:szCs w:val="23"/>
        </w:rPr>
        <w:t xml:space="preserve"> </w:t>
      </w:r>
      <w:r w:rsidRPr="00AA5305">
        <w:rPr>
          <w:rFonts w:cs="FSLola"/>
          <w:szCs w:val="23"/>
        </w:rPr>
        <w:t>offer, less estimated realisation costs.</w:t>
      </w:r>
    </w:p>
    <w:p w:rsidR="007D22B1" w:rsidRPr="00AA5305" w:rsidRDefault="007D22B1" w:rsidP="00AA5305">
      <w:pPr>
        <w:pStyle w:val="ListParagraph"/>
        <w:spacing w:after="0"/>
        <w:ind w:firstLine="720"/>
        <w:rPr>
          <w:rFonts w:cs="FSLola"/>
          <w:szCs w:val="23"/>
        </w:rPr>
      </w:pPr>
    </w:p>
    <w:p w:rsidR="0036667D" w:rsidRPr="00AA5305" w:rsidRDefault="0036667D" w:rsidP="00AA5305">
      <w:pPr>
        <w:ind w:left="720"/>
      </w:pPr>
      <w:r w:rsidRPr="00AA5305">
        <w:rPr>
          <w:rFonts w:cs="FSLola"/>
          <w:szCs w:val="23"/>
        </w:rPr>
        <w:t>Directly held investments include investments in limited partnerships, shares in</w:t>
      </w:r>
      <w:r w:rsidR="00E85C28" w:rsidRPr="00AA5305">
        <w:rPr>
          <w:rFonts w:cs="FSLola"/>
          <w:szCs w:val="23"/>
        </w:rPr>
        <w:t xml:space="preserve"> </w:t>
      </w:r>
      <w:r w:rsidRPr="00AA5305">
        <w:rPr>
          <w:rFonts w:cs="FSLola"/>
          <w:szCs w:val="23"/>
        </w:rPr>
        <w:t>unlisted</w:t>
      </w:r>
      <w:r w:rsidR="008C0AEC" w:rsidRPr="00AA5305">
        <w:rPr>
          <w:rFonts w:cs="FSLola"/>
          <w:szCs w:val="23"/>
        </w:rPr>
        <w:t xml:space="preserve"> </w:t>
      </w:r>
      <w:r w:rsidRPr="00AA5305">
        <w:rPr>
          <w:rFonts w:cs="FSLola"/>
          <w:szCs w:val="23"/>
        </w:rPr>
        <w:t>companies, trusts and bonds. Other unquoted securities typically include</w:t>
      </w:r>
      <w:r w:rsidR="008C0AEC" w:rsidRPr="0084339C">
        <w:rPr>
          <w:rFonts w:cs="FSLola"/>
          <w:szCs w:val="23"/>
        </w:rPr>
        <w:t xml:space="preserve"> </w:t>
      </w:r>
      <w:r w:rsidRPr="00AA5305">
        <w:t>pooled investments in property, infrastructure, debt securities and private equity. The</w:t>
      </w:r>
      <w:r w:rsidR="008C0AEC" w:rsidRPr="00AA5305">
        <w:t xml:space="preserve"> </w:t>
      </w:r>
      <w:r w:rsidRPr="00AA5305">
        <w:t>valuation of these pools or directly held securities is undertaken by the investment</w:t>
      </w:r>
      <w:r w:rsidR="008C0AEC" w:rsidRPr="00AA5305">
        <w:t xml:space="preserve"> </w:t>
      </w:r>
      <w:r w:rsidRPr="00AA5305">
        <w:t>manager or responsible entity and advised as a unit or security price. The valuation</w:t>
      </w:r>
      <w:r w:rsidR="008C0AEC" w:rsidRPr="00AA5305">
        <w:t xml:space="preserve"> </w:t>
      </w:r>
      <w:r w:rsidRPr="00AA5305">
        <w:t>standards followed in these valuations adhere to industry guidelines or to standards</w:t>
      </w:r>
      <w:r w:rsidR="008C0AEC" w:rsidRPr="00AA5305">
        <w:t xml:space="preserve"> </w:t>
      </w:r>
      <w:r w:rsidRPr="00AA5305">
        <w:t>set by the constituent documents of the pool or the management agreement.</w:t>
      </w:r>
    </w:p>
    <w:p w:rsidR="0036667D" w:rsidRDefault="0036667D" w:rsidP="00AA5305">
      <w:pPr>
        <w:pStyle w:val="ListParagraph"/>
        <w:spacing w:after="0"/>
        <w:rPr>
          <w:rFonts w:cs="FSLola"/>
          <w:szCs w:val="23"/>
        </w:rPr>
      </w:pPr>
      <w:r w:rsidRPr="00AA5305">
        <w:rPr>
          <w:rFonts w:cs="FSLola"/>
          <w:szCs w:val="23"/>
        </w:rPr>
        <w:t>Investments in unquoted property and infrastructure pooled funds are valued at the</w:t>
      </w:r>
      <w:r w:rsidR="008C0AEC" w:rsidRPr="00AA5305">
        <w:rPr>
          <w:rFonts w:cs="FSLola"/>
          <w:szCs w:val="23"/>
        </w:rPr>
        <w:t xml:space="preserve"> </w:t>
      </w:r>
      <w:r w:rsidRPr="00AA5305">
        <w:rPr>
          <w:rFonts w:cs="FSLola"/>
          <w:szCs w:val="23"/>
        </w:rPr>
        <w:t>net asset value or a single price advised by the fund manager.</w:t>
      </w:r>
    </w:p>
    <w:p w:rsidR="007D22B1" w:rsidRPr="00AA5305" w:rsidRDefault="007D22B1" w:rsidP="00AA5305">
      <w:pPr>
        <w:pStyle w:val="ListParagraph"/>
        <w:spacing w:after="0"/>
        <w:ind w:firstLine="720"/>
        <w:rPr>
          <w:rFonts w:cs="FSLola"/>
          <w:szCs w:val="23"/>
        </w:rPr>
      </w:pPr>
    </w:p>
    <w:p w:rsidR="0036667D" w:rsidRDefault="0036667D" w:rsidP="00AA5305">
      <w:pPr>
        <w:pStyle w:val="ListParagraph"/>
      </w:pPr>
      <w:r w:rsidRPr="00AA5305">
        <w:rPr>
          <w:rFonts w:cs="FSLola"/>
          <w:szCs w:val="23"/>
        </w:rPr>
        <w:t>Investments in private equity funds and unquoted listed partnerships are valued</w:t>
      </w:r>
      <w:r w:rsidR="008C0AEC" w:rsidRPr="0084339C">
        <w:rPr>
          <w:rFonts w:cs="FSLola"/>
          <w:szCs w:val="23"/>
        </w:rPr>
        <w:t xml:space="preserve"> </w:t>
      </w:r>
      <w:r w:rsidRPr="00AA5305">
        <w:t>based on the fund’s share of the net assets in the private equity fund or limited</w:t>
      </w:r>
      <w:r w:rsidR="008C0AEC">
        <w:t xml:space="preserve"> </w:t>
      </w:r>
      <w:r w:rsidRPr="00AA5305">
        <w:t>partnership using the latest financial statements published by the respective fund</w:t>
      </w:r>
      <w:r w:rsidR="008C0AEC">
        <w:t xml:space="preserve"> </w:t>
      </w:r>
      <w:r w:rsidRPr="00AA5305">
        <w:t>managers in accordance with the guidelines set out by the British Venture Capital</w:t>
      </w:r>
      <w:r w:rsidR="008C0AEC">
        <w:t xml:space="preserve"> </w:t>
      </w:r>
      <w:r w:rsidRPr="00AA5305">
        <w:t>Association.</w:t>
      </w:r>
    </w:p>
    <w:p w:rsidR="008C0AEC" w:rsidRPr="00AA5305" w:rsidRDefault="008C0AEC" w:rsidP="00AA5305">
      <w:pPr>
        <w:pStyle w:val="ListParagraph"/>
      </w:pPr>
    </w:p>
    <w:p w:rsidR="008C0AEC" w:rsidRDefault="0036667D" w:rsidP="009A4C35">
      <w:pPr>
        <w:pStyle w:val="ListParagraph"/>
        <w:numPr>
          <w:ilvl w:val="0"/>
          <w:numId w:val="76"/>
        </w:numPr>
        <w:spacing w:after="0"/>
        <w:rPr>
          <w:rFonts w:cs="FSLola"/>
          <w:szCs w:val="23"/>
        </w:rPr>
      </w:pPr>
      <w:r w:rsidRPr="00AA5305">
        <w:rPr>
          <w:rFonts w:cs="FSLola"/>
          <w:szCs w:val="23"/>
        </w:rPr>
        <w:t xml:space="preserve"> Limited partnerships</w:t>
      </w:r>
    </w:p>
    <w:p w:rsidR="008C0AEC" w:rsidRDefault="008C0AEC" w:rsidP="00AA5305">
      <w:pPr>
        <w:pStyle w:val="ListParagraph"/>
        <w:spacing w:after="0"/>
        <w:rPr>
          <w:rFonts w:cs="FSLola"/>
          <w:szCs w:val="23"/>
        </w:rPr>
      </w:pPr>
    </w:p>
    <w:p w:rsidR="0036667D" w:rsidRDefault="008C0AEC" w:rsidP="00AA5305">
      <w:pPr>
        <w:ind w:left="720"/>
      </w:pPr>
      <w:r w:rsidRPr="0084339C">
        <w:rPr>
          <w:rFonts w:cs="FSLola"/>
          <w:szCs w:val="23"/>
        </w:rPr>
        <w:t xml:space="preserve"> </w:t>
      </w:r>
      <w:r w:rsidR="0036667D" w:rsidRPr="00AA5305">
        <w:t>Fair value is based on the net asset value ascertained from periodic valuations provided</w:t>
      </w:r>
      <w:r>
        <w:t xml:space="preserve"> </w:t>
      </w:r>
      <w:r w:rsidR="0036667D" w:rsidRPr="00AA5305">
        <w:t>by those controlling the partnership.</w:t>
      </w:r>
    </w:p>
    <w:p w:rsidR="008C0AEC" w:rsidRPr="00AA5305" w:rsidRDefault="008C0AEC" w:rsidP="00AA5305">
      <w:pPr>
        <w:pStyle w:val="ListParagraph"/>
        <w:spacing w:after="0"/>
        <w:rPr>
          <w:rFonts w:cs="FSLola"/>
          <w:szCs w:val="23"/>
        </w:rPr>
      </w:pPr>
    </w:p>
    <w:p w:rsidR="008C0AEC" w:rsidRDefault="0036667D" w:rsidP="009A4C35">
      <w:pPr>
        <w:pStyle w:val="ListParagraph"/>
        <w:numPr>
          <w:ilvl w:val="0"/>
          <w:numId w:val="76"/>
        </w:numPr>
        <w:spacing w:after="0"/>
        <w:rPr>
          <w:rFonts w:cs="FSLola"/>
          <w:szCs w:val="23"/>
        </w:rPr>
      </w:pPr>
      <w:r w:rsidRPr="00AA5305">
        <w:rPr>
          <w:rFonts w:cs="FSLola"/>
          <w:szCs w:val="23"/>
        </w:rPr>
        <w:t xml:space="preserve"> Pooled investment vehicles</w:t>
      </w:r>
    </w:p>
    <w:p w:rsidR="008C0AEC" w:rsidRPr="00AA5305" w:rsidRDefault="008C0AEC" w:rsidP="00AA5305">
      <w:pPr>
        <w:pStyle w:val="ListParagraph"/>
        <w:spacing w:after="0"/>
        <w:rPr>
          <w:rFonts w:cs="FSLola"/>
          <w:szCs w:val="23"/>
        </w:rPr>
      </w:pPr>
    </w:p>
    <w:p w:rsidR="0036667D" w:rsidRPr="00AA5305" w:rsidRDefault="0036667D" w:rsidP="00AA5305">
      <w:pPr>
        <w:spacing w:after="0"/>
        <w:ind w:left="720"/>
        <w:rPr>
          <w:rFonts w:cs="FSLola"/>
          <w:szCs w:val="23"/>
        </w:rPr>
      </w:pPr>
      <w:r w:rsidRPr="00AA5305">
        <w:rPr>
          <w:rFonts w:cs="FSLola"/>
          <w:szCs w:val="23"/>
        </w:rPr>
        <w:t>Pooled investment vehicles are valued at closing bid price if both bid and offer prices are</w:t>
      </w:r>
      <w:r w:rsidR="008C0AEC">
        <w:rPr>
          <w:rFonts w:cs="FSLola"/>
          <w:szCs w:val="23"/>
        </w:rPr>
        <w:t xml:space="preserve"> </w:t>
      </w:r>
      <w:r w:rsidRPr="00AA5305">
        <w:rPr>
          <w:rFonts w:cs="FSLola"/>
          <w:szCs w:val="23"/>
        </w:rPr>
        <w:t>published; or if single priced, at the closing single price. In the case of pooled investment</w:t>
      </w:r>
      <w:r w:rsidR="008C0AEC">
        <w:rPr>
          <w:rFonts w:cs="FSLola"/>
          <w:szCs w:val="23"/>
        </w:rPr>
        <w:t xml:space="preserve"> </w:t>
      </w:r>
      <w:r w:rsidRPr="00AA5305">
        <w:rPr>
          <w:rFonts w:cs="FSLola"/>
          <w:szCs w:val="23"/>
        </w:rPr>
        <w:t>vehicles that are accumulation funds, change in market value also includes income</w:t>
      </w:r>
      <w:r w:rsidR="008C0AEC">
        <w:rPr>
          <w:rFonts w:cs="FSLola"/>
          <w:szCs w:val="23"/>
        </w:rPr>
        <w:t xml:space="preserve"> </w:t>
      </w:r>
      <w:r w:rsidRPr="00AA5305">
        <w:rPr>
          <w:rFonts w:cs="FSLola"/>
          <w:szCs w:val="23"/>
        </w:rPr>
        <w:t>which is reinvested in the fund, net of applicable withholding tax.</w:t>
      </w:r>
    </w:p>
    <w:p w:rsidR="00274914" w:rsidRPr="002F17B5" w:rsidRDefault="00274914" w:rsidP="008C0AEC">
      <w:pPr>
        <w:pStyle w:val="BodyTextIndent2"/>
        <w:tabs>
          <w:tab w:val="left" w:pos="851"/>
        </w:tabs>
        <w:spacing w:after="0"/>
        <w:ind w:left="0"/>
        <w:rPr>
          <w:sz w:val="30"/>
          <w:szCs w:val="24"/>
        </w:rPr>
      </w:pPr>
    </w:p>
    <w:p w:rsidR="00274914" w:rsidRPr="002F17B5" w:rsidRDefault="00274914" w:rsidP="00274914">
      <w:pPr>
        <w:pStyle w:val="BodyTextIndent2"/>
        <w:tabs>
          <w:tab w:val="left" w:pos="851"/>
        </w:tabs>
        <w:spacing w:after="0"/>
        <w:ind w:left="851"/>
        <w:rPr>
          <w:b/>
          <w:szCs w:val="24"/>
        </w:rPr>
      </w:pPr>
      <w:r w:rsidRPr="002F17B5">
        <w:rPr>
          <w:b/>
          <w:szCs w:val="24"/>
        </w:rPr>
        <w:t>Loans and receivables</w:t>
      </w:r>
    </w:p>
    <w:p w:rsidR="00274914" w:rsidRPr="002F17B5" w:rsidRDefault="00274914" w:rsidP="00274914">
      <w:pPr>
        <w:pStyle w:val="BodyTextIndent2"/>
        <w:tabs>
          <w:tab w:val="left" w:pos="851"/>
        </w:tabs>
        <w:spacing w:after="0"/>
        <w:ind w:left="851"/>
        <w:rPr>
          <w:b/>
          <w:sz w:val="18"/>
          <w:szCs w:val="24"/>
        </w:rPr>
      </w:pPr>
    </w:p>
    <w:p w:rsidR="00274914" w:rsidRPr="002F17B5" w:rsidRDefault="00274914" w:rsidP="00274914">
      <w:pPr>
        <w:pStyle w:val="BodyTextIndent2"/>
        <w:tabs>
          <w:tab w:val="left" w:pos="851"/>
        </w:tabs>
        <w:spacing w:after="0"/>
        <w:ind w:left="851"/>
        <w:rPr>
          <w:szCs w:val="24"/>
        </w:rPr>
      </w:pPr>
      <w:r w:rsidRPr="002F17B5">
        <w:rPr>
          <w:szCs w:val="24"/>
        </w:rPr>
        <w:t>Loans and receivables are non</w:t>
      </w:r>
      <w:r w:rsidR="007D22B1">
        <w:rPr>
          <w:szCs w:val="24"/>
        </w:rPr>
        <w:t>-</w:t>
      </w:r>
      <w:r w:rsidRPr="002F17B5">
        <w:rPr>
          <w:szCs w:val="24"/>
        </w:rPr>
        <w:t>derivative financial assets with fixed or determinable payments that are not quoted in an active market.</w:t>
      </w:r>
    </w:p>
    <w:p w:rsidR="00274914" w:rsidRPr="002F17B5" w:rsidRDefault="00274914" w:rsidP="00274914">
      <w:pPr>
        <w:pStyle w:val="BodyTextIndent2"/>
        <w:tabs>
          <w:tab w:val="left" w:pos="851"/>
        </w:tabs>
        <w:spacing w:after="0"/>
        <w:ind w:left="851"/>
        <w:rPr>
          <w:szCs w:val="24"/>
        </w:rPr>
      </w:pPr>
    </w:p>
    <w:p w:rsidR="00274914" w:rsidRPr="002F17B5" w:rsidRDefault="00274914" w:rsidP="00274914">
      <w:pPr>
        <w:pStyle w:val="BodyTextIndent2"/>
        <w:tabs>
          <w:tab w:val="left" w:pos="851"/>
        </w:tabs>
        <w:spacing w:after="0"/>
        <w:ind w:left="851"/>
        <w:rPr>
          <w:szCs w:val="24"/>
        </w:rPr>
      </w:pPr>
      <w:r w:rsidRPr="002F17B5">
        <w:rPr>
          <w:szCs w:val="24"/>
        </w:rPr>
        <w:t>The fund's loans and receivables comprise of trade and other receivables and cash deposits.</w:t>
      </w:r>
    </w:p>
    <w:p w:rsidR="00274914" w:rsidRDefault="00274914" w:rsidP="00274914">
      <w:pPr>
        <w:pStyle w:val="BodyTextIndent2"/>
        <w:tabs>
          <w:tab w:val="left" w:pos="851"/>
        </w:tabs>
        <w:spacing w:after="0"/>
        <w:ind w:left="851"/>
        <w:rPr>
          <w:b/>
          <w:sz w:val="28"/>
          <w:szCs w:val="24"/>
        </w:rPr>
      </w:pPr>
    </w:p>
    <w:p w:rsidR="00274914" w:rsidRPr="002F17B5" w:rsidRDefault="00274914" w:rsidP="00274914">
      <w:pPr>
        <w:pStyle w:val="BodyTextIndent2"/>
        <w:tabs>
          <w:tab w:val="left" w:pos="851"/>
        </w:tabs>
        <w:spacing w:after="0"/>
        <w:ind w:left="851"/>
        <w:rPr>
          <w:b/>
          <w:szCs w:val="24"/>
        </w:rPr>
      </w:pPr>
      <w:r w:rsidRPr="002F17B5">
        <w:rPr>
          <w:b/>
          <w:szCs w:val="24"/>
        </w:rPr>
        <w:t>Financial liabilities at amortised cost</w:t>
      </w:r>
    </w:p>
    <w:p w:rsidR="00274914" w:rsidRPr="00016AE0" w:rsidRDefault="00274914" w:rsidP="00274914">
      <w:pPr>
        <w:pStyle w:val="BodyTextIndent2"/>
        <w:tabs>
          <w:tab w:val="left" w:pos="851"/>
        </w:tabs>
        <w:spacing w:after="0"/>
        <w:ind w:left="851"/>
        <w:rPr>
          <w:b/>
          <w:sz w:val="26"/>
          <w:szCs w:val="24"/>
        </w:rPr>
      </w:pPr>
    </w:p>
    <w:p w:rsidR="00274914" w:rsidRPr="002F17B5" w:rsidRDefault="00274914" w:rsidP="00274914">
      <w:pPr>
        <w:pStyle w:val="BodyTextIndent2"/>
        <w:tabs>
          <w:tab w:val="left" w:pos="851"/>
        </w:tabs>
        <w:spacing w:after="0"/>
        <w:ind w:left="851"/>
        <w:rPr>
          <w:szCs w:val="24"/>
        </w:rPr>
      </w:pPr>
      <w:r w:rsidRPr="002F17B5">
        <w:rPr>
          <w:szCs w:val="24"/>
        </w:rPr>
        <w:t>Financial liabilities at amortised cost are the default category for financial instruments that do not meet the definition of financial liabilities at fair value through profit and loss.</w:t>
      </w:r>
    </w:p>
    <w:p w:rsidR="00274914" w:rsidRDefault="00274914" w:rsidP="00274914">
      <w:pPr>
        <w:pStyle w:val="BodyTextIndent2"/>
        <w:tabs>
          <w:tab w:val="left" w:pos="851"/>
        </w:tabs>
        <w:spacing w:after="0"/>
        <w:ind w:left="851"/>
        <w:rPr>
          <w:sz w:val="28"/>
          <w:szCs w:val="24"/>
        </w:rPr>
      </w:pPr>
    </w:p>
    <w:p w:rsidR="00CA5AC4" w:rsidRDefault="00CA5AC4" w:rsidP="00274914">
      <w:pPr>
        <w:pStyle w:val="BodyTextIndent2"/>
        <w:tabs>
          <w:tab w:val="left" w:pos="851"/>
        </w:tabs>
        <w:spacing w:after="0"/>
        <w:ind w:left="851"/>
        <w:rPr>
          <w:sz w:val="28"/>
          <w:szCs w:val="24"/>
        </w:rPr>
      </w:pPr>
    </w:p>
    <w:p w:rsidR="00016AE0" w:rsidRPr="002F17B5" w:rsidRDefault="00016AE0" w:rsidP="00274914">
      <w:pPr>
        <w:pStyle w:val="BodyTextIndent2"/>
        <w:tabs>
          <w:tab w:val="left" w:pos="851"/>
        </w:tabs>
        <w:spacing w:after="0"/>
        <w:ind w:left="851"/>
        <w:rPr>
          <w:sz w:val="28"/>
          <w:szCs w:val="24"/>
        </w:rPr>
      </w:pPr>
    </w:p>
    <w:p w:rsidR="00274914" w:rsidRPr="002F17B5" w:rsidRDefault="00274914" w:rsidP="009A4C35">
      <w:pPr>
        <w:numPr>
          <w:ilvl w:val="0"/>
          <w:numId w:val="76"/>
        </w:numPr>
        <w:tabs>
          <w:tab w:val="num" w:pos="851"/>
        </w:tabs>
        <w:autoSpaceDE/>
        <w:autoSpaceDN/>
        <w:adjustRightInd/>
        <w:spacing w:before="0" w:after="0"/>
        <w:ind w:left="1113" w:hanging="546"/>
        <w:jc w:val="left"/>
      </w:pPr>
      <w:r w:rsidRPr="002F17B5">
        <w:rPr>
          <w:b/>
        </w:rPr>
        <w:lastRenderedPageBreak/>
        <w:t>Valuation of Investments</w:t>
      </w:r>
    </w:p>
    <w:p w:rsidR="00274914" w:rsidRPr="00016AE0" w:rsidRDefault="00274914" w:rsidP="00274914">
      <w:pPr>
        <w:ind w:left="1113"/>
        <w:rPr>
          <w:sz w:val="12"/>
        </w:rPr>
      </w:pPr>
    </w:p>
    <w:p w:rsidR="00274914" w:rsidRPr="002F17B5" w:rsidRDefault="00274914" w:rsidP="00274914">
      <w:pPr>
        <w:pStyle w:val="BodyTextIndent2"/>
        <w:tabs>
          <w:tab w:val="left" w:pos="851"/>
        </w:tabs>
        <w:spacing w:after="0"/>
        <w:ind w:left="851"/>
        <w:rPr>
          <w:szCs w:val="24"/>
        </w:rPr>
      </w:pPr>
      <w:r w:rsidRPr="002F17B5">
        <w:rPr>
          <w:szCs w:val="24"/>
        </w:rPr>
        <w:t>Investments are shown at their fair value as at 31 March 2014.  The fair value is the current bid price for quoted securities and unitised securities.</w:t>
      </w:r>
    </w:p>
    <w:p w:rsidR="00274914" w:rsidRPr="00016AE0" w:rsidRDefault="00274914" w:rsidP="00274914">
      <w:pPr>
        <w:pStyle w:val="BodyTextIndent2"/>
        <w:tabs>
          <w:tab w:val="left" w:pos="851"/>
        </w:tabs>
        <w:spacing w:after="0"/>
        <w:ind w:left="851"/>
        <w:rPr>
          <w:sz w:val="26"/>
          <w:szCs w:val="24"/>
        </w:rPr>
      </w:pPr>
    </w:p>
    <w:p w:rsidR="00274914" w:rsidRPr="002F17B5" w:rsidRDefault="00274914" w:rsidP="00274914">
      <w:pPr>
        <w:ind w:left="851"/>
      </w:pPr>
      <w:r w:rsidRPr="002F17B5">
        <w:t xml:space="preserve">Transaction costs are included in carrying value of investments.  Transaction costs include costs charged directly to the Pension Fund, such as fees, commissions paid to agents, brokers and dealers, levies by regulatory agencies and securities exchanges and transfer taxes and duties.  </w:t>
      </w:r>
    </w:p>
    <w:p w:rsidR="00274914" w:rsidRPr="00016AE0" w:rsidRDefault="00274914" w:rsidP="00274914">
      <w:pPr>
        <w:ind w:left="851"/>
        <w:rPr>
          <w:sz w:val="12"/>
        </w:rPr>
      </w:pPr>
    </w:p>
    <w:p w:rsidR="0084339C" w:rsidRPr="002F17B5" w:rsidRDefault="00274914" w:rsidP="00274914">
      <w:pPr>
        <w:tabs>
          <w:tab w:val="left" w:pos="851"/>
        </w:tabs>
        <w:ind w:left="851"/>
      </w:pPr>
      <w:r w:rsidRPr="002F17B5">
        <w:t>Investments in private equity are valued at fair value in accordance with the guidelines issued by the British Venture Capital Association, or equivalent.</w:t>
      </w:r>
    </w:p>
    <w:p w:rsidR="00274914" w:rsidRPr="00016AE0" w:rsidRDefault="00274914" w:rsidP="0084339C">
      <w:pPr>
        <w:tabs>
          <w:tab w:val="left" w:pos="851"/>
        </w:tabs>
        <w:ind w:left="851"/>
        <w:rPr>
          <w:sz w:val="38"/>
        </w:rPr>
      </w:pPr>
    </w:p>
    <w:p w:rsidR="00274914" w:rsidRPr="002F17B5" w:rsidRDefault="00274914" w:rsidP="009A4C35">
      <w:pPr>
        <w:numPr>
          <w:ilvl w:val="0"/>
          <w:numId w:val="76"/>
        </w:numPr>
        <w:tabs>
          <w:tab w:val="num" w:pos="851"/>
        </w:tabs>
        <w:autoSpaceDE/>
        <w:autoSpaceDN/>
        <w:adjustRightInd/>
        <w:spacing w:before="0" w:after="0"/>
        <w:ind w:left="1113" w:hanging="546"/>
        <w:jc w:val="left"/>
      </w:pPr>
      <w:r w:rsidRPr="002F17B5">
        <w:rPr>
          <w:b/>
        </w:rPr>
        <w:t>Currency Translation</w:t>
      </w:r>
    </w:p>
    <w:p w:rsidR="00274914" w:rsidRPr="00016AE0" w:rsidRDefault="00274914" w:rsidP="00274914">
      <w:pPr>
        <w:ind w:left="1113"/>
        <w:rPr>
          <w:sz w:val="14"/>
        </w:rPr>
      </w:pPr>
    </w:p>
    <w:p w:rsidR="00274914" w:rsidRPr="002F17B5" w:rsidRDefault="00274914" w:rsidP="00274914">
      <w:pPr>
        <w:pStyle w:val="BodyTextIndent2"/>
        <w:tabs>
          <w:tab w:val="left" w:pos="851"/>
        </w:tabs>
        <w:spacing w:after="0"/>
        <w:ind w:left="851"/>
        <w:rPr>
          <w:szCs w:val="24"/>
        </w:rPr>
      </w:pPr>
      <w:r w:rsidRPr="002F17B5">
        <w:rPr>
          <w:szCs w:val="24"/>
        </w:rPr>
        <w:t>Assets and liabilities denominated in foreign currency are stated in the accounts by the application of the appropriate closing rate of exchange ruling at 31 March 2014.  Any gains or losses are treated as part of a change in market value of investments.</w:t>
      </w:r>
    </w:p>
    <w:p w:rsidR="00016AE0" w:rsidRPr="00016AE0" w:rsidRDefault="00016AE0" w:rsidP="00AA5305">
      <w:pPr>
        <w:pStyle w:val="BodyTextIndent2"/>
        <w:tabs>
          <w:tab w:val="left" w:pos="851"/>
        </w:tabs>
        <w:spacing w:after="0"/>
        <w:ind w:left="0"/>
        <w:rPr>
          <w:sz w:val="32"/>
          <w:szCs w:val="24"/>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Acquisition costs of Investments</w:t>
      </w:r>
    </w:p>
    <w:p w:rsidR="00274914" w:rsidRPr="00016AE0" w:rsidRDefault="00274914" w:rsidP="00274914">
      <w:pPr>
        <w:ind w:left="1113"/>
        <w:rPr>
          <w:b/>
          <w:sz w:val="10"/>
        </w:rPr>
      </w:pPr>
    </w:p>
    <w:p w:rsidR="00274914" w:rsidRPr="002F17B5" w:rsidRDefault="00274914" w:rsidP="00274914">
      <w:pPr>
        <w:pStyle w:val="BodyTextIndent2"/>
        <w:tabs>
          <w:tab w:val="left" w:pos="851"/>
        </w:tabs>
        <w:spacing w:after="0"/>
        <w:ind w:left="0"/>
        <w:rPr>
          <w:szCs w:val="24"/>
        </w:rPr>
      </w:pPr>
      <w:r w:rsidRPr="002F17B5">
        <w:rPr>
          <w:szCs w:val="24"/>
        </w:rPr>
        <w:tab/>
        <w:t xml:space="preserve"> The Acquisition costs of investments are included within the purchase price.</w:t>
      </w:r>
    </w:p>
    <w:p w:rsidR="00274914" w:rsidRDefault="00274914" w:rsidP="00274914">
      <w:pPr>
        <w:pStyle w:val="BodyTextIndent2"/>
        <w:tabs>
          <w:tab w:val="left" w:pos="851"/>
        </w:tabs>
        <w:spacing w:after="0"/>
        <w:rPr>
          <w:sz w:val="14"/>
          <w:szCs w:val="24"/>
        </w:rPr>
      </w:pPr>
    </w:p>
    <w:p w:rsidR="00016AE0" w:rsidRPr="00016AE0" w:rsidRDefault="00016AE0" w:rsidP="00274914">
      <w:pPr>
        <w:pStyle w:val="BodyTextIndent2"/>
        <w:tabs>
          <w:tab w:val="left" w:pos="851"/>
        </w:tabs>
        <w:spacing w:after="0"/>
        <w:rPr>
          <w:sz w:val="10"/>
          <w:szCs w:val="24"/>
        </w:rPr>
      </w:pPr>
    </w:p>
    <w:p w:rsidR="00274914" w:rsidRPr="002F17B5" w:rsidRDefault="00274914" w:rsidP="00274914">
      <w:pPr>
        <w:pStyle w:val="BodyTextIndent2"/>
        <w:tabs>
          <w:tab w:val="left" w:pos="851"/>
        </w:tabs>
        <w:spacing w:after="0"/>
        <w:rPr>
          <w:szCs w:val="24"/>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 xml:space="preserve"> Property</w:t>
      </w:r>
    </w:p>
    <w:p w:rsidR="00274914" w:rsidRPr="00016AE0" w:rsidRDefault="00274914" w:rsidP="00274914">
      <w:pPr>
        <w:ind w:left="1113"/>
        <w:rPr>
          <w:b/>
          <w:sz w:val="14"/>
        </w:rPr>
      </w:pPr>
    </w:p>
    <w:p w:rsidR="00274914" w:rsidRDefault="00274914" w:rsidP="00274914">
      <w:pPr>
        <w:tabs>
          <w:tab w:val="left" w:pos="851"/>
        </w:tabs>
        <w:ind w:left="851"/>
      </w:pPr>
      <w:r w:rsidRPr="002F17B5">
        <w:t xml:space="preserve">The fund's freehold and leasehold properties were valued on 31 March 2014 by Cushman &amp; Wakefield, acting as External </w:t>
      </w:r>
      <w:proofErr w:type="spellStart"/>
      <w:r w:rsidRPr="002F17B5">
        <w:t>Valuer</w:t>
      </w:r>
      <w:proofErr w:type="spellEnd"/>
      <w:r w:rsidRPr="002F17B5">
        <w:t xml:space="preserve">.  The valuations were in accordance with the requirements of the RICS Valuation standards and the International Valuation Standards.  The valuation of each property was on the basis of Market Value, assuming that the property would be sold subject to any existing leases.  The </w:t>
      </w:r>
      <w:proofErr w:type="spellStart"/>
      <w:r w:rsidRPr="002F17B5">
        <w:t>valuer's</w:t>
      </w:r>
      <w:proofErr w:type="spellEnd"/>
      <w:r w:rsidRPr="002F17B5">
        <w:t xml:space="preserve"> opinion of Market Value and Existing Use Value was primarily derived using comparable recent market transactions on arm's length terms.</w:t>
      </w:r>
    </w:p>
    <w:p w:rsidR="00CA5AC4" w:rsidRPr="002F17B5" w:rsidRDefault="00CA5AC4" w:rsidP="00274914">
      <w:pPr>
        <w:tabs>
          <w:tab w:val="left" w:pos="851"/>
        </w:tabs>
        <w:ind w:left="851"/>
      </w:pPr>
    </w:p>
    <w:p w:rsidR="00274914" w:rsidRDefault="00274914" w:rsidP="009A4C35">
      <w:pPr>
        <w:numPr>
          <w:ilvl w:val="0"/>
          <w:numId w:val="76"/>
        </w:numPr>
        <w:tabs>
          <w:tab w:val="num" w:pos="851"/>
        </w:tabs>
        <w:autoSpaceDE/>
        <w:autoSpaceDN/>
        <w:adjustRightInd/>
        <w:spacing w:before="0" w:after="0"/>
        <w:ind w:left="1113" w:hanging="546"/>
        <w:jc w:val="left"/>
        <w:rPr>
          <w:b/>
        </w:rPr>
      </w:pPr>
      <w:r w:rsidRPr="002F17B5">
        <w:rPr>
          <w:b/>
        </w:rPr>
        <w:t>Derivatives</w:t>
      </w:r>
    </w:p>
    <w:p w:rsidR="00016AE0" w:rsidRPr="00016AE0" w:rsidRDefault="00016AE0" w:rsidP="00016AE0">
      <w:pPr>
        <w:autoSpaceDE/>
        <w:autoSpaceDN/>
        <w:adjustRightInd/>
        <w:spacing w:before="0" w:after="0"/>
        <w:ind w:left="1113"/>
        <w:jc w:val="left"/>
        <w:rPr>
          <w:b/>
          <w:sz w:val="12"/>
        </w:rPr>
      </w:pPr>
    </w:p>
    <w:p w:rsidR="00274914" w:rsidRPr="00016AE0" w:rsidRDefault="00274914" w:rsidP="00274914">
      <w:pPr>
        <w:ind w:left="1113"/>
        <w:rPr>
          <w:b/>
          <w:sz w:val="2"/>
        </w:rPr>
      </w:pPr>
    </w:p>
    <w:p w:rsidR="00274914" w:rsidRDefault="00274914" w:rsidP="00274914">
      <w:pPr>
        <w:pStyle w:val="BodyTextIndent2"/>
        <w:tabs>
          <w:tab w:val="left" w:pos="851"/>
        </w:tabs>
        <w:spacing w:after="0"/>
        <w:ind w:left="851"/>
        <w:rPr>
          <w:szCs w:val="24"/>
        </w:rPr>
      </w:pPr>
      <w:r w:rsidRPr="002F17B5">
        <w:rPr>
          <w:szCs w:val="24"/>
        </w:rPr>
        <w:t>The fund</w:t>
      </w:r>
      <w:r w:rsidR="00084771">
        <w:rPr>
          <w:szCs w:val="24"/>
        </w:rPr>
        <w:t>s external managers</w:t>
      </w:r>
      <w:r w:rsidR="0084339C">
        <w:rPr>
          <w:szCs w:val="24"/>
        </w:rPr>
        <w:t xml:space="preserve"> use</w:t>
      </w:r>
      <w:r w:rsidR="00084771">
        <w:rPr>
          <w:szCs w:val="24"/>
        </w:rPr>
        <w:t xml:space="preserve"> </w:t>
      </w:r>
      <w:r w:rsidRPr="002F17B5">
        <w:rPr>
          <w:szCs w:val="24"/>
        </w:rPr>
        <w:t>derivative financial instruments to manage</w:t>
      </w:r>
      <w:r w:rsidR="0084339C">
        <w:rPr>
          <w:szCs w:val="24"/>
        </w:rPr>
        <w:t xml:space="preserve"> the </w:t>
      </w:r>
      <w:r w:rsidRPr="002F17B5">
        <w:rPr>
          <w:szCs w:val="24"/>
        </w:rPr>
        <w:t>exposure to specific risks arising from</w:t>
      </w:r>
      <w:r w:rsidR="0084339C">
        <w:rPr>
          <w:szCs w:val="24"/>
        </w:rPr>
        <w:t xml:space="preserve"> the fund's </w:t>
      </w:r>
      <w:r w:rsidRPr="002F17B5">
        <w:rPr>
          <w:szCs w:val="24"/>
        </w:rPr>
        <w:t>investment activities.  The fund does not hold derivatives for speculative purposes</w:t>
      </w:r>
      <w:r w:rsidR="00084771">
        <w:rPr>
          <w:szCs w:val="24"/>
        </w:rPr>
        <w:t xml:space="preserve"> or for any of the internally managed funds</w:t>
      </w:r>
      <w:r w:rsidRPr="002F17B5">
        <w:rPr>
          <w:szCs w:val="24"/>
        </w:rPr>
        <w:t>.</w:t>
      </w:r>
    </w:p>
    <w:p w:rsidR="00016AE0" w:rsidRPr="00016AE0" w:rsidRDefault="00016AE0" w:rsidP="00274914">
      <w:pPr>
        <w:pStyle w:val="BodyTextIndent2"/>
        <w:tabs>
          <w:tab w:val="left" w:pos="851"/>
        </w:tabs>
        <w:spacing w:after="0"/>
        <w:ind w:left="851"/>
        <w:rPr>
          <w:sz w:val="28"/>
          <w:szCs w:val="24"/>
        </w:rPr>
      </w:pPr>
    </w:p>
    <w:p w:rsidR="00274914" w:rsidRPr="002F17B5" w:rsidRDefault="00274914" w:rsidP="00274914">
      <w:pPr>
        <w:pStyle w:val="BodyTextIndent2"/>
        <w:tabs>
          <w:tab w:val="left" w:pos="851"/>
        </w:tabs>
        <w:spacing w:after="0"/>
        <w:ind w:left="851"/>
        <w:rPr>
          <w:szCs w:val="24"/>
        </w:rPr>
      </w:pPr>
      <w:r w:rsidRPr="002F17B5">
        <w:rPr>
          <w:szCs w:val="24"/>
        </w:rPr>
        <w:t>Derivative contract assets are fair valued at bid prices and liabilities are fair valued at offer prices.  Changes in fair value of derivative contracts are included in change in market value.</w:t>
      </w:r>
    </w:p>
    <w:p w:rsidR="00274914" w:rsidRPr="002F17B5" w:rsidRDefault="00274914" w:rsidP="008C0AEC">
      <w:pPr>
        <w:pStyle w:val="BodyTextIndent2"/>
        <w:tabs>
          <w:tab w:val="left" w:pos="851"/>
        </w:tabs>
        <w:spacing w:after="0"/>
        <w:ind w:left="0"/>
        <w:rPr>
          <w:szCs w:val="24"/>
        </w:rPr>
      </w:pPr>
    </w:p>
    <w:p w:rsidR="00274914" w:rsidRPr="002F17B5" w:rsidRDefault="00274914" w:rsidP="00274914">
      <w:pPr>
        <w:pStyle w:val="BodyTextIndent2"/>
        <w:tabs>
          <w:tab w:val="left" w:pos="851"/>
        </w:tabs>
        <w:spacing w:after="0"/>
        <w:ind w:left="851"/>
        <w:rPr>
          <w:szCs w:val="24"/>
        </w:rPr>
      </w:pPr>
      <w:r w:rsidRPr="002F17B5">
        <w:rPr>
          <w:szCs w:val="24"/>
        </w:rPr>
        <w:lastRenderedPageBreak/>
        <w:t>Forward foreign exchange contracts, are over the counter contracts and are valued by determining the gain or loss that arise from closing out the contract at the reporting date, by entering into an equal and opposite contract at that date.</w:t>
      </w:r>
    </w:p>
    <w:p w:rsidR="00016AE0" w:rsidRDefault="00016AE0" w:rsidP="00AA5305">
      <w:pPr>
        <w:pStyle w:val="BodyTextIndent2"/>
        <w:tabs>
          <w:tab w:val="left" w:pos="851"/>
        </w:tabs>
        <w:spacing w:after="0"/>
        <w:ind w:left="0"/>
        <w:rPr>
          <w:sz w:val="28"/>
          <w:szCs w:val="24"/>
        </w:rPr>
      </w:pPr>
    </w:p>
    <w:p w:rsidR="00016AE0" w:rsidRPr="00016AE0" w:rsidRDefault="00016AE0" w:rsidP="00274914">
      <w:pPr>
        <w:pStyle w:val="BodyTextIndent2"/>
        <w:tabs>
          <w:tab w:val="left" w:pos="851"/>
        </w:tabs>
        <w:spacing w:after="0"/>
        <w:ind w:left="851"/>
        <w:rPr>
          <w:sz w:val="2"/>
          <w:szCs w:val="24"/>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Cash and cash equivalents</w:t>
      </w:r>
    </w:p>
    <w:p w:rsidR="00274914" w:rsidRPr="00016AE0" w:rsidRDefault="00274914" w:rsidP="00274914">
      <w:pPr>
        <w:ind w:left="1113"/>
        <w:rPr>
          <w:b/>
          <w:sz w:val="14"/>
        </w:rPr>
      </w:pPr>
    </w:p>
    <w:p w:rsidR="00274914" w:rsidRPr="002F17B5" w:rsidRDefault="00274914" w:rsidP="00274914">
      <w:pPr>
        <w:pStyle w:val="BodyTextIndent2"/>
        <w:tabs>
          <w:tab w:val="left" w:pos="851"/>
        </w:tabs>
        <w:spacing w:after="0"/>
        <w:ind w:left="851"/>
        <w:rPr>
          <w:szCs w:val="24"/>
        </w:rPr>
      </w:pPr>
      <w:r w:rsidRPr="002F17B5">
        <w:rPr>
          <w:szCs w:val="24"/>
        </w:rPr>
        <w:t>Cash comprises of cash in hand and on demand deposits.</w:t>
      </w:r>
    </w:p>
    <w:p w:rsidR="00274914" w:rsidRPr="002F17B5" w:rsidRDefault="00274914" w:rsidP="00274914">
      <w:pPr>
        <w:pStyle w:val="BodyTextIndent2"/>
        <w:tabs>
          <w:tab w:val="left" w:pos="851"/>
        </w:tabs>
        <w:spacing w:after="0"/>
        <w:ind w:left="851"/>
        <w:rPr>
          <w:szCs w:val="24"/>
        </w:rPr>
      </w:pPr>
    </w:p>
    <w:p w:rsidR="00274914" w:rsidRPr="002F17B5" w:rsidRDefault="00274914" w:rsidP="00274914">
      <w:pPr>
        <w:pStyle w:val="BodyTextIndent2"/>
        <w:tabs>
          <w:tab w:val="left" w:pos="851"/>
        </w:tabs>
        <w:spacing w:after="0"/>
        <w:ind w:left="851"/>
        <w:rPr>
          <w:szCs w:val="24"/>
        </w:rPr>
      </w:pPr>
      <w:r w:rsidRPr="002F17B5">
        <w:rPr>
          <w:szCs w:val="24"/>
        </w:rPr>
        <w:t>Cash equivalents are short-term, highly liquid investments that are readily convertible to known amounts of cash and that are subject to minimal risk of changes in value.</w:t>
      </w:r>
    </w:p>
    <w:p w:rsidR="00274914" w:rsidRDefault="00274914" w:rsidP="00AA5305">
      <w:pPr>
        <w:pStyle w:val="BodyTextIndent2"/>
        <w:tabs>
          <w:tab w:val="left" w:pos="851"/>
        </w:tabs>
        <w:spacing w:after="0"/>
        <w:ind w:left="0"/>
        <w:rPr>
          <w:szCs w:val="24"/>
        </w:rPr>
      </w:pPr>
    </w:p>
    <w:p w:rsidR="00016AE0" w:rsidRPr="00016AE0" w:rsidRDefault="00016AE0" w:rsidP="00274914">
      <w:pPr>
        <w:pStyle w:val="BodyTextIndent2"/>
        <w:tabs>
          <w:tab w:val="left" w:pos="851"/>
        </w:tabs>
        <w:spacing w:after="0"/>
        <w:ind w:left="851"/>
        <w:rPr>
          <w:sz w:val="2"/>
          <w:szCs w:val="24"/>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Financial liabilities</w:t>
      </w:r>
    </w:p>
    <w:p w:rsidR="00274914" w:rsidRPr="00016AE0" w:rsidRDefault="00274914" w:rsidP="00274914">
      <w:pPr>
        <w:ind w:left="1113"/>
        <w:rPr>
          <w:b/>
          <w:sz w:val="16"/>
        </w:rPr>
      </w:pPr>
    </w:p>
    <w:p w:rsidR="00274914" w:rsidRPr="002F17B5" w:rsidRDefault="00274914" w:rsidP="00231F92">
      <w:pPr>
        <w:pStyle w:val="BodyTextIndent2"/>
        <w:tabs>
          <w:tab w:val="left" w:pos="851"/>
        </w:tabs>
        <w:spacing w:after="0"/>
        <w:ind w:left="850"/>
        <w:rPr>
          <w:szCs w:val="24"/>
        </w:rPr>
      </w:pPr>
      <w:r w:rsidRPr="002F17B5">
        <w:rPr>
          <w:szCs w:val="24"/>
        </w:rPr>
        <w:t>The fund recognises financial liabilities at fair value at the reporting date. A financial liability is recognised in the net asset statement on the date the fund becomes party to a liability.  From this date any gains or losses arising from changes in the fair value of the liability are recognised by the fund.</w:t>
      </w:r>
    </w:p>
    <w:p w:rsidR="00274914" w:rsidRDefault="00274914" w:rsidP="00AA5305">
      <w:pPr>
        <w:pStyle w:val="BodyTextIndent2"/>
        <w:tabs>
          <w:tab w:val="left" w:pos="851"/>
        </w:tabs>
        <w:spacing w:after="0"/>
        <w:ind w:left="0"/>
        <w:rPr>
          <w:szCs w:val="24"/>
        </w:rPr>
      </w:pPr>
    </w:p>
    <w:p w:rsidR="00016AE0" w:rsidRPr="00016AE0" w:rsidRDefault="00016AE0" w:rsidP="00274914">
      <w:pPr>
        <w:pStyle w:val="BodyTextIndent2"/>
        <w:tabs>
          <w:tab w:val="left" w:pos="851"/>
        </w:tabs>
        <w:spacing w:after="0"/>
        <w:ind w:left="851"/>
        <w:rPr>
          <w:sz w:val="2"/>
          <w:szCs w:val="24"/>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Actuarial present value of promised retirement benefits</w:t>
      </w:r>
    </w:p>
    <w:p w:rsidR="00274914" w:rsidRPr="00016AE0" w:rsidRDefault="00274914" w:rsidP="00274914">
      <w:pPr>
        <w:ind w:left="1113"/>
        <w:rPr>
          <w:b/>
          <w:sz w:val="16"/>
        </w:rPr>
      </w:pPr>
    </w:p>
    <w:p w:rsidR="00274914" w:rsidRPr="002F17B5" w:rsidRDefault="00274914" w:rsidP="00274914">
      <w:pPr>
        <w:pStyle w:val="BodyTextIndent2"/>
        <w:tabs>
          <w:tab w:val="left" w:pos="851"/>
        </w:tabs>
        <w:spacing w:after="0"/>
        <w:ind w:left="851"/>
        <w:rPr>
          <w:szCs w:val="24"/>
        </w:rPr>
      </w:pPr>
      <w:r w:rsidRPr="002F17B5">
        <w:rPr>
          <w:szCs w:val="24"/>
        </w:rPr>
        <w:t>The actuarial present value of promised retirement benefits is assessed on a triennial basis by the scheme actuary in accordance with the requirements of IAS19 and relevant actuarial standards.</w:t>
      </w:r>
    </w:p>
    <w:p w:rsidR="00274914" w:rsidRPr="002F17B5" w:rsidRDefault="00274914" w:rsidP="00274914">
      <w:pPr>
        <w:pStyle w:val="BodyTextIndent2"/>
        <w:tabs>
          <w:tab w:val="left" w:pos="851"/>
        </w:tabs>
        <w:spacing w:after="0"/>
        <w:ind w:left="851"/>
        <w:rPr>
          <w:szCs w:val="24"/>
        </w:rPr>
      </w:pPr>
    </w:p>
    <w:p w:rsidR="00274914" w:rsidRPr="002F17B5" w:rsidRDefault="00274914" w:rsidP="00274914">
      <w:pPr>
        <w:pStyle w:val="BodyTextIndent2"/>
        <w:tabs>
          <w:tab w:val="left" w:pos="851"/>
        </w:tabs>
        <w:spacing w:after="0"/>
        <w:ind w:left="851"/>
        <w:rPr>
          <w:szCs w:val="24"/>
        </w:rPr>
      </w:pPr>
      <w:r w:rsidRPr="002F17B5">
        <w:rPr>
          <w:szCs w:val="24"/>
        </w:rPr>
        <w:t>As permitted under IAS 26 the fund has opted to disclose the actuarial present value of promised retirement benefits by way of a note to the net asset statement (note 2</w:t>
      </w:r>
      <w:r w:rsidR="00CA5AC4">
        <w:rPr>
          <w:szCs w:val="24"/>
        </w:rPr>
        <w:t>9</w:t>
      </w:r>
      <w:r w:rsidRPr="002F17B5">
        <w:rPr>
          <w:szCs w:val="24"/>
        </w:rPr>
        <w:t>).</w:t>
      </w:r>
    </w:p>
    <w:p w:rsidR="00016AE0" w:rsidRDefault="00016AE0" w:rsidP="00AA5305">
      <w:pPr>
        <w:pStyle w:val="BodyTextIndent2"/>
        <w:tabs>
          <w:tab w:val="left" w:pos="851"/>
        </w:tabs>
        <w:spacing w:after="0"/>
        <w:ind w:left="0"/>
        <w:rPr>
          <w:sz w:val="30"/>
          <w:szCs w:val="24"/>
        </w:rPr>
      </w:pPr>
    </w:p>
    <w:p w:rsidR="00274914" w:rsidRPr="002F17B5" w:rsidRDefault="00274914" w:rsidP="009A4C35">
      <w:pPr>
        <w:numPr>
          <w:ilvl w:val="0"/>
          <w:numId w:val="76"/>
        </w:numPr>
        <w:tabs>
          <w:tab w:val="num" w:pos="851"/>
        </w:tabs>
        <w:autoSpaceDE/>
        <w:autoSpaceDN/>
        <w:adjustRightInd/>
        <w:spacing w:before="0" w:after="0"/>
        <w:ind w:left="1113" w:hanging="546"/>
        <w:jc w:val="left"/>
        <w:rPr>
          <w:b/>
        </w:rPr>
      </w:pPr>
      <w:r w:rsidRPr="002F17B5">
        <w:rPr>
          <w:b/>
        </w:rPr>
        <w:t>Additional voluntary contributions</w:t>
      </w:r>
    </w:p>
    <w:p w:rsidR="00274914" w:rsidRPr="00016AE0" w:rsidRDefault="00274914" w:rsidP="00274914">
      <w:pPr>
        <w:ind w:left="1113"/>
        <w:rPr>
          <w:b/>
          <w:sz w:val="16"/>
        </w:rPr>
      </w:pPr>
    </w:p>
    <w:p w:rsidR="00274914" w:rsidRPr="002F17B5" w:rsidRDefault="00274914" w:rsidP="00274914">
      <w:pPr>
        <w:pStyle w:val="BodyTextIndent2"/>
        <w:tabs>
          <w:tab w:val="left" w:pos="851"/>
        </w:tabs>
        <w:spacing w:after="0"/>
        <w:ind w:left="851"/>
        <w:rPr>
          <w:szCs w:val="24"/>
        </w:rPr>
      </w:pPr>
      <w:r w:rsidRPr="002F17B5">
        <w:rPr>
          <w:szCs w:val="24"/>
        </w:rPr>
        <w:t xml:space="preserve">The AVC providers to the Pension Fund are Equitable Life and Prudential.  The AVC’s are invested separately from the Pension Fund’s main assets and used to acquire additional money purchase benefits.  These are not included in the Pension Fund accounts in accordance with section 4(2) (b) of the Local Government Pension Scheme (Management and Investment of Funds) Regulations 2009 (SI 2009/3093). Members participating in these AVC arrangements each receive an annual statement confirming the amounts held in their account and the movements during the year.   A summary of the information provided by Equitable Life and Prudential is shown in note </w:t>
      </w:r>
      <w:r w:rsidR="00CA5AC4">
        <w:rPr>
          <w:szCs w:val="24"/>
        </w:rPr>
        <w:t>20</w:t>
      </w:r>
      <w:r w:rsidRPr="002F17B5">
        <w:rPr>
          <w:szCs w:val="24"/>
        </w:rPr>
        <w:t>.</w:t>
      </w:r>
    </w:p>
    <w:p w:rsidR="00016AE0" w:rsidRPr="00016AE0" w:rsidRDefault="00016AE0" w:rsidP="00AA5305">
      <w:pPr>
        <w:pStyle w:val="BodyTextIndent2"/>
        <w:tabs>
          <w:tab w:val="left" w:pos="851"/>
        </w:tabs>
        <w:spacing w:after="0"/>
        <w:ind w:left="0"/>
        <w:rPr>
          <w:sz w:val="16"/>
          <w:szCs w:val="24"/>
        </w:rPr>
      </w:pPr>
    </w:p>
    <w:p w:rsidR="00274914" w:rsidRPr="002F17B5" w:rsidRDefault="00274914" w:rsidP="009A4C35">
      <w:pPr>
        <w:pStyle w:val="ListParagraph"/>
        <w:numPr>
          <w:ilvl w:val="0"/>
          <w:numId w:val="76"/>
        </w:numPr>
        <w:autoSpaceDE/>
        <w:autoSpaceDN/>
        <w:adjustRightInd/>
        <w:spacing w:before="0" w:after="0"/>
        <w:ind w:left="851" w:hanging="284"/>
        <w:jc w:val="left"/>
        <w:rPr>
          <w:b/>
        </w:rPr>
      </w:pPr>
      <w:r w:rsidRPr="002F17B5">
        <w:rPr>
          <w:b/>
        </w:rPr>
        <w:t>Securities Lending</w:t>
      </w:r>
    </w:p>
    <w:p w:rsidR="00274914" w:rsidRPr="00016AE0" w:rsidRDefault="00274914" w:rsidP="00274914">
      <w:pPr>
        <w:ind w:firstLine="851"/>
        <w:rPr>
          <w:b/>
          <w:sz w:val="16"/>
        </w:rPr>
      </w:pPr>
    </w:p>
    <w:p w:rsidR="00274914" w:rsidRDefault="00274914" w:rsidP="00274914">
      <w:pPr>
        <w:ind w:left="851"/>
      </w:pPr>
      <w:r w:rsidRPr="002F17B5">
        <w:t>Investments lent under securities lending arrangements continue to be recognised in the net asset statement to reflect the scheme's continuing economic interest in the securities and are measured in accordance with the accounting policy for assets 'at fair value through profit and loss' or 'available for sale' as appropriate.</w:t>
      </w:r>
    </w:p>
    <w:p w:rsidR="00016AE0" w:rsidRPr="00016AE0" w:rsidRDefault="00016AE0" w:rsidP="00274914">
      <w:pPr>
        <w:ind w:left="851"/>
        <w:rPr>
          <w:sz w:val="22"/>
        </w:rPr>
      </w:pPr>
    </w:p>
    <w:p w:rsidR="00274914" w:rsidRDefault="00274914" w:rsidP="00AA5305">
      <w:pPr>
        <w:ind w:left="851"/>
      </w:pPr>
      <w:r w:rsidRPr="002F17B5">
        <w:lastRenderedPageBreak/>
        <w:t>Collateral is marked to market, and adjusted daily.  As the Fund has an obligation to return the collateral to the borrowers, collateral is excluded from the Fund valuation.</w:t>
      </w:r>
    </w:p>
    <w:p w:rsidR="00016AE0" w:rsidRPr="00016AE0" w:rsidRDefault="00016AE0" w:rsidP="00274914">
      <w:pPr>
        <w:rPr>
          <w:sz w:val="10"/>
        </w:rPr>
      </w:pPr>
    </w:p>
    <w:p w:rsidR="00274914" w:rsidRPr="002F17B5" w:rsidRDefault="00274914" w:rsidP="009A4C35">
      <w:pPr>
        <w:pStyle w:val="NormalWeb"/>
        <w:numPr>
          <w:ilvl w:val="0"/>
          <w:numId w:val="76"/>
        </w:numPr>
        <w:ind w:left="851" w:hanging="284"/>
        <w:rPr>
          <w:rFonts w:ascii="Arial" w:eastAsiaTheme="minorHAnsi" w:hAnsi="Arial" w:cstheme="minorBidi"/>
          <w:b/>
          <w:bCs/>
          <w:szCs w:val="22"/>
          <w:lang w:eastAsia="en-US"/>
        </w:rPr>
      </w:pPr>
      <w:r w:rsidRPr="002F17B5">
        <w:rPr>
          <w:rFonts w:ascii="Arial" w:eastAsiaTheme="minorHAnsi" w:hAnsi="Arial" w:cstheme="minorBidi"/>
          <w:b/>
          <w:bCs/>
          <w:szCs w:val="22"/>
          <w:lang w:eastAsia="en-US"/>
        </w:rPr>
        <w:t>Contingent liabilities and contingent assets   </w:t>
      </w:r>
    </w:p>
    <w:p w:rsidR="00274914" w:rsidRPr="00016AE0" w:rsidRDefault="00274914" w:rsidP="00274914">
      <w:pPr>
        <w:pStyle w:val="NormalWeb"/>
        <w:ind w:left="851"/>
        <w:rPr>
          <w:rFonts w:ascii="Arial" w:eastAsiaTheme="minorHAnsi" w:hAnsi="Arial" w:cstheme="minorBidi"/>
          <w:b/>
          <w:bCs/>
          <w:sz w:val="12"/>
          <w:szCs w:val="22"/>
          <w:lang w:eastAsia="en-US"/>
        </w:rPr>
      </w:pPr>
    </w:p>
    <w:p w:rsidR="00274914" w:rsidRPr="002F17B5" w:rsidRDefault="00274914" w:rsidP="00274914">
      <w:pPr>
        <w:pStyle w:val="NormalWeb"/>
        <w:ind w:left="851"/>
        <w:jc w:val="both"/>
        <w:rPr>
          <w:rFonts w:ascii="Arial" w:eastAsiaTheme="minorHAnsi" w:hAnsi="Arial" w:cstheme="minorBidi"/>
          <w:szCs w:val="22"/>
          <w:lang w:eastAsia="en-US"/>
        </w:rPr>
      </w:pPr>
      <w:r w:rsidRPr="002F17B5">
        <w:rPr>
          <w:rFonts w:ascii="Arial" w:eastAsiaTheme="minorHAnsi" w:hAnsi="Arial" w:cstheme="minorBidi"/>
          <w:szCs w:val="22"/>
          <w:lang w:eastAsia="en-US"/>
        </w:rPr>
        <w:t xml:space="preserve">A contingent liability is a possible obligation that arises from past events whose existence will be confirmed by the occurrence or non-occurrence of one or more uncertain future events beyond the control of the Fund or a present obligation that is not </w:t>
      </w:r>
      <w:proofErr w:type="spellStart"/>
      <w:r w:rsidRPr="002F17B5">
        <w:rPr>
          <w:rFonts w:ascii="Arial" w:eastAsiaTheme="minorHAnsi" w:hAnsi="Arial" w:cstheme="minorBidi"/>
          <w:szCs w:val="22"/>
          <w:lang w:eastAsia="en-US"/>
        </w:rPr>
        <w:t>recognised</w:t>
      </w:r>
      <w:proofErr w:type="spellEnd"/>
      <w:r w:rsidRPr="002F17B5">
        <w:rPr>
          <w:rFonts w:ascii="Arial" w:eastAsiaTheme="minorHAnsi" w:hAnsi="Arial" w:cstheme="minorBidi"/>
          <w:szCs w:val="22"/>
          <w:lang w:eastAsia="en-US"/>
        </w:rPr>
        <w:t xml:space="preserve"> because it is not probable that an outflow of resources will be required to settle the obligation. A contingent liability also arises in extremely rare cases where there is a liability that cannot be </w:t>
      </w:r>
      <w:proofErr w:type="spellStart"/>
      <w:r w:rsidRPr="002F17B5">
        <w:rPr>
          <w:rFonts w:ascii="Arial" w:eastAsiaTheme="minorHAnsi" w:hAnsi="Arial" w:cstheme="minorBidi"/>
          <w:szCs w:val="22"/>
          <w:lang w:eastAsia="en-US"/>
        </w:rPr>
        <w:t>recognised</w:t>
      </w:r>
      <w:proofErr w:type="spellEnd"/>
      <w:r w:rsidRPr="002F17B5">
        <w:rPr>
          <w:rFonts w:ascii="Arial" w:eastAsiaTheme="minorHAnsi" w:hAnsi="Arial" w:cstheme="minorBidi"/>
          <w:szCs w:val="22"/>
          <w:lang w:eastAsia="en-US"/>
        </w:rPr>
        <w:t xml:space="preserve"> because it cannot be measured reliably. The Fund does not </w:t>
      </w:r>
      <w:proofErr w:type="spellStart"/>
      <w:r w:rsidRPr="002F17B5">
        <w:rPr>
          <w:rFonts w:ascii="Arial" w:eastAsiaTheme="minorHAnsi" w:hAnsi="Arial" w:cstheme="minorBidi"/>
          <w:szCs w:val="22"/>
          <w:lang w:eastAsia="en-US"/>
        </w:rPr>
        <w:t>recognise</w:t>
      </w:r>
      <w:proofErr w:type="spellEnd"/>
      <w:r w:rsidRPr="002F17B5">
        <w:rPr>
          <w:rFonts w:ascii="Arial" w:eastAsiaTheme="minorHAnsi" w:hAnsi="Arial" w:cstheme="minorBidi"/>
          <w:szCs w:val="22"/>
          <w:lang w:eastAsia="en-US"/>
        </w:rPr>
        <w:t xml:space="preserve"> a contingent liability but discloses its existence in the financial statements.</w:t>
      </w:r>
    </w:p>
    <w:p w:rsidR="00274914" w:rsidRPr="002F17B5" w:rsidRDefault="00274914" w:rsidP="00274914">
      <w:pPr>
        <w:pStyle w:val="NormalWeb"/>
        <w:ind w:left="851"/>
        <w:jc w:val="both"/>
        <w:rPr>
          <w:rFonts w:ascii="Arial" w:eastAsiaTheme="minorHAnsi" w:hAnsi="Arial" w:cstheme="minorBidi"/>
          <w:szCs w:val="22"/>
          <w:lang w:eastAsia="en-US"/>
        </w:rPr>
      </w:pPr>
    </w:p>
    <w:p w:rsidR="00274914" w:rsidRPr="002F17B5" w:rsidRDefault="00274914" w:rsidP="00274914">
      <w:pPr>
        <w:pStyle w:val="BodyTextIndent2"/>
        <w:tabs>
          <w:tab w:val="left" w:pos="851"/>
        </w:tabs>
        <w:spacing w:after="0"/>
        <w:ind w:left="851"/>
        <w:rPr>
          <w:rFonts w:eastAsiaTheme="minorHAnsi" w:cstheme="minorBidi"/>
          <w:szCs w:val="22"/>
          <w:lang w:eastAsia="en-US"/>
        </w:rPr>
      </w:pPr>
      <w:r w:rsidRPr="002F17B5">
        <w:rPr>
          <w:rFonts w:eastAsiaTheme="minorHAnsi" w:cstheme="minorBidi"/>
          <w:szCs w:val="22"/>
          <w:lang w:eastAsia="en-US"/>
        </w:rPr>
        <w:t>A contingent asset is a possible asset that arises from past events whose existence will be confirmed by the occurrence or non-occurrence of one or more uncertain future events beyond the control of the Fund. The Fund does not recognise contingent assets but discloses its existence where inflows of economic benefits are probable, but not virtually certain.</w:t>
      </w:r>
    </w:p>
    <w:p w:rsidR="00274914" w:rsidRDefault="00274914" w:rsidP="00274914">
      <w:pPr>
        <w:pStyle w:val="BodyTextIndent2"/>
        <w:tabs>
          <w:tab w:val="left" w:pos="851"/>
        </w:tabs>
        <w:spacing w:after="0"/>
        <w:ind w:left="851"/>
        <w:rPr>
          <w:rFonts w:eastAsiaTheme="minorHAnsi" w:cstheme="minorBidi"/>
          <w:szCs w:val="22"/>
          <w:lang w:eastAsia="en-US"/>
        </w:rPr>
      </w:pPr>
    </w:p>
    <w:p w:rsidR="00016AE0" w:rsidRPr="008C0AEC" w:rsidRDefault="00E85C28" w:rsidP="009A4C35">
      <w:pPr>
        <w:pStyle w:val="BodyTextIndent"/>
        <w:numPr>
          <w:ilvl w:val="0"/>
          <w:numId w:val="75"/>
        </w:numPr>
        <w:tabs>
          <w:tab w:val="num" w:pos="567"/>
        </w:tabs>
        <w:spacing w:before="0" w:after="0"/>
        <w:ind w:left="567" w:hanging="567"/>
        <w:rPr>
          <w:b/>
          <w:szCs w:val="24"/>
        </w:rPr>
      </w:pPr>
      <w:r w:rsidRPr="008C0AEC">
        <w:rPr>
          <w:b/>
          <w:szCs w:val="24"/>
        </w:rPr>
        <w:t>Critical judgements in applying accounting polic</w:t>
      </w:r>
      <w:r w:rsidR="00A85B2E">
        <w:rPr>
          <w:b/>
          <w:szCs w:val="24"/>
        </w:rPr>
        <w:t>i</w:t>
      </w:r>
      <w:r w:rsidRPr="008C0AEC">
        <w:rPr>
          <w:b/>
          <w:szCs w:val="24"/>
        </w:rPr>
        <w:t>es</w:t>
      </w:r>
    </w:p>
    <w:p w:rsidR="00084771" w:rsidRDefault="00084771" w:rsidP="00E85C28">
      <w:pPr>
        <w:spacing w:before="0" w:after="0"/>
        <w:jc w:val="left"/>
        <w:rPr>
          <w:rFonts w:eastAsia="Cambria" w:cs="FSLola-Bold"/>
          <w:b/>
          <w:bCs/>
          <w:color w:val="6E6F71"/>
          <w:szCs w:val="28"/>
          <w:lang w:eastAsia="en-GB"/>
        </w:rPr>
      </w:pPr>
    </w:p>
    <w:p w:rsidR="0084339C" w:rsidRDefault="00E85C28" w:rsidP="009A4C35">
      <w:pPr>
        <w:pStyle w:val="ListParagraph"/>
        <w:numPr>
          <w:ilvl w:val="0"/>
          <w:numId w:val="76"/>
        </w:numPr>
        <w:spacing w:before="0" w:after="0"/>
        <w:jc w:val="left"/>
        <w:rPr>
          <w:rFonts w:eastAsia="Cambria" w:cs="FSLola-Bold"/>
          <w:bCs/>
          <w:color w:val="auto"/>
          <w:szCs w:val="28"/>
          <w:lang w:eastAsia="en-GB"/>
        </w:rPr>
      </w:pPr>
      <w:r w:rsidRPr="0084339C">
        <w:rPr>
          <w:rFonts w:eastAsia="Cambria" w:cs="FSLola-Bold"/>
          <w:bCs/>
          <w:color w:val="auto"/>
          <w:szCs w:val="28"/>
          <w:lang w:eastAsia="en-GB"/>
        </w:rPr>
        <w:t>Unquoted private equity</w:t>
      </w:r>
      <w:r w:rsidR="00084771" w:rsidRPr="0084339C">
        <w:rPr>
          <w:rFonts w:eastAsia="Cambria" w:cs="FSLola-Bold"/>
          <w:bCs/>
          <w:color w:val="auto"/>
          <w:szCs w:val="28"/>
          <w:lang w:eastAsia="en-GB"/>
        </w:rPr>
        <w:t xml:space="preserve"> and </w:t>
      </w:r>
      <w:r w:rsidR="0084339C" w:rsidRPr="0084339C">
        <w:rPr>
          <w:rFonts w:eastAsia="Cambria" w:cs="FSLola-Bold"/>
          <w:bCs/>
          <w:color w:val="auto"/>
          <w:szCs w:val="28"/>
          <w:lang w:eastAsia="en-GB"/>
        </w:rPr>
        <w:t>infrastructure</w:t>
      </w:r>
      <w:r w:rsidRPr="0084339C">
        <w:rPr>
          <w:rFonts w:eastAsia="Cambria" w:cs="FSLola-Bold"/>
          <w:bCs/>
          <w:color w:val="auto"/>
          <w:szCs w:val="28"/>
          <w:lang w:eastAsia="en-GB"/>
        </w:rPr>
        <w:t xml:space="preserve"> investments</w:t>
      </w:r>
    </w:p>
    <w:p w:rsidR="00CA5AC4" w:rsidRPr="0084339C" w:rsidRDefault="00CA5AC4" w:rsidP="00CA5AC4">
      <w:pPr>
        <w:pStyle w:val="ListParagraph"/>
        <w:spacing w:before="0" w:after="0"/>
        <w:jc w:val="left"/>
        <w:rPr>
          <w:rFonts w:eastAsia="Cambria" w:cs="FSLola-Bold"/>
          <w:bCs/>
          <w:color w:val="auto"/>
          <w:szCs w:val="28"/>
          <w:lang w:eastAsia="en-GB"/>
        </w:rPr>
      </w:pPr>
    </w:p>
    <w:p w:rsidR="00E85C28" w:rsidRPr="0084339C" w:rsidRDefault="00E85C28" w:rsidP="0084339C">
      <w:pPr>
        <w:pStyle w:val="BodyTextIndent2"/>
        <w:tabs>
          <w:tab w:val="left" w:pos="851"/>
        </w:tabs>
        <w:spacing w:after="0"/>
        <w:ind w:left="851"/>
        <w:rPr>
          <w:rFonts w:eastAsia="Cambria" w:cs="FSLola"/>
          <w:szCs w:val="23"/>
        </w:rPr>
      </w:pPr>
      <w:r w:rsidRPr="0084339C">
        <w:rPr>
          <w:rFonts w:eastAsia="Cambria" w:cs="FSLola"/>
          <w:szCs w:val="23"/>
        </w:rPr>
        <w:t>It is important to recognise the highly subjective nature of determining the fair value of</w:t>
      </w:r>
      <w:r w:rsidR="0084339C">
        <w:rPr>
          <w:rFonts w:eastAsia="Cambria" w:cs="FSLola"/>
          <w:szCs w:val="23"/>
        </w:rPr>
        <w:t xml:space="preserve"> </w:t>
      </w:r>
      <w:r w:rsidRPr="0084339C">
        <w:rPr>
          <w:rFonts w:eastAsia="Cambria" w:cs="FSLola"/>
          <w:szCs w:val="23"/>
        </w:rPr>
        <w:t>private equity</w:t>
      </w:r>
      <w:r w:rsidR="00084771" w:rsidRPr="0084339C">
        <w:rPr>
          <w:rFonts w:eastAsia="Cambria" w:cs="FSLola"/>
          <w:szCs w:val="23"/>
        </w:rPr>
        <w:t xml:space="preserve"> and infrastructure</w:t>
      </w:r>
      <w:r w:rsidRPr="0084339C">
        <w:rPr>
          <w:rFonts w:eastAsia="Cambria" w:cs="FSLola"/>
          <w:szCs w:val="23"/>
        </w:rPr>
        <w:t xml:space="preserve"> investments. They are inherently based on forward-looking estimates and</w:t>
      </w:r>
      <w:r w:rsidR="0084339C">
        <w:rPr>
          <w:rFonts w:eastAsia="Cambria" w:cs="FSLola"/>
          <w:szCs w:val="23"/>
        </w:rPr>
        <w:t xml:space="preserve"> </w:t>
      </w:r>
      <w:r w:rsidRPr="0084339C">
        <w:rPr>
          <w:rFonts w:eastAsia="Cambria" w:cs="FSLola"/>
          <w:szCs w:val="23"/>
        </w:rPr>
        <w:t>judgements involving many factors. Unquoted private equities</w:t>
      </w:r>
      <w:r w:rsidR="0084339C">
        <w:rPr>
          <w:rFonts w:eastAsia="Cambria" w:cs="FSLola"/>
          <w:szCs w:val="23"/>
        </w:rPr>
        <w:t xml:space="preserve"> and infrastructure investments</w:t>
      </w:r>
      <w:r w:rsidRPr="0084339C">
        <w:rPr>
          <w:rFonts w:eastAsia="Cambria" w:cs="FSLola"/>
          <w:szCs w:val="23"/>
        </w:rPr>
        <w:t xml:space="preserve"> are </w:t>
      </w:r>
      <w:r w:rsidRPr="0084339C">
        <w:rPr>
          <w:rFonts w:eastAsiaTheme="minorHAnsi" w:cstheme="minorBidi"/>
          <w:szCs w:val="22"/>
          <w:lang w:eastAsia="en-US"/>
        </w:rPr>
        <w:t>valued</w:t>
      </w:r>
      <w:r w:rsidRPr="0084339C">
        <w:rPr>
          <w:rFonts w:eastAsia="Cambria" w:cs="FSLola"/>
          <w:szCs w:val="23"/>
        </w:rPr>
        <w:t xml:space="preserve"> by the investment</w:t>
      </w:r>
      <w:r w:rsidR="0084339C" w:rsidRPr="0084339C">
        <w:rPr>
          <w:rFonts w:eastAsia="Cambria" w:cs="FSLola"/>
          <w:szCs w:val="23"/>
        </w:rPr>
        <w:t xml:space="preserve"> </w:t>
      </w:r>
      <w:r w:rsidRPr="0084339C">
        <w:rPr>
          <w:rFonts w:eastAsia="Cambria" w:cs="FSLola"/>
          <w:szCs w:val="23"/>
        </w:rPr>
        <w:t xml:space="preserve">managers using guidelines set out by the British Venture Capital Association. </w:t>
      </w:r>
    </w:p>
    <w:p w:rsidR="00084771" w:rsidRPr="0084339C" w:rsidRDefault="00084771" w:rsidP="00E85C28">
      <w:pPr>
        <w:spacing w:before="0" w:after="0"/>
        <w:jc w:val="left"/>
        <w:rPr>
          <w:rFonts w:eastAsia="Cambria" w:cs="FSLola-Bold"/>
          <w:b/>
          <w:bCs/>
          <w:color w:val="auto"/>
          <w:szCs w:val="28"/>
          <w:lang w:eastAsia="en-GB"/>
        </w:rPr>
      </w:pPr>
    </w:p>
    <w:p w:rsidR="00084771" w:rsidRPr="00CA5AC4" w:rsidRDefault="00E85C28" w:rsidP="009A4C35">
      <w:pPr>
        <w:pStyle w:val="ListParagraph"/>
        <w:numPr>
          <w:ilvl w:val="0"/>
          <w:numId w:val="76"/>
        </w:numPr>
        <w:spacing w:before="0" w:after="0"/>
        <w:jc w:val="left"/>
        <w:rPr>
          <w:rFonts w:eastAsia="Cambria" w:cs="FSLola-Bold"/>
          <w:b/>
          <w:bCs/>
          <w:color w:val="auto"/>
          <w:szCs w:val="28"/>
          <w:lang w:eastAsia="en-GB"/>
        </w:rPr>
      </w:pPr>
      <w:r w:rsidRPr="0084339C">
        <w:rPr>
          <w:rFonts w:eastAsia="Cambria" w:cs="FSLola-Bold"/>
          <w:bCs/>
          <w:color w:val="auto"/>
          <w:szCs w:val="28"/>
          <w:lang w:eastAsia="en-GB"/>
        </w:rPr>
        <w:t>Pension fund</w:t>
      </w:r>
      <w:r w:rsidRPr="0084339C">
        <w:rPr>
          <w:rFonts w:eastAsia="Cambria" w:cs="FSLola-Bold"/>
          <w:b/>
          <w:bCs/>
          <w:color w:val="auto"/>
          <w:szCs w:val="28"/>
          <w:lang w:eastAsia="en-GB"/>
        </w:rPr>
        <w:t xml:space="preserve"> </w:t>
      </w:r>
      <w:r w:rsidRPr="0084339C">
        <w:rPr>
          <w:rFonts w:eastAsia="Cambria" w:cs="FSLola-Bold"/>
          <w:bCs/>
          <w:color w:val="auto"/>
          <w:szCs w:val="28"/>
          <w:lang w:eastAsia="en-GB"/>
        </w:rPr>
        <w:t>liability</w:t>
      </w:r>
    </w:p>
    <w:p w:rsidR="00CA5AC4" w:rsidRPr="0084339C" w:rsidRDefault="00CA5AC4" w:rsidP="00CA5AC4">
      <w:pPr>
        <w:pStyle w:val="ListParagraph"/>
        <w:spacing w:before="0" w:after="0"/>
        <w:jc w:val="left"/>
        <w:rPr>
          <w:rFonts w:eastAsia="Cambria" w:cs="FSLola-Bold"/>
          <w:b/>
          <w:bCs/>
          <w:color w:val="auto"/>
          <w:szCs w:val="28"/>
          <w:lang w:eastAsia="en-GB"/>
        </w:rPr>
      </w:pPr>
    </w:p>
    <w:p w:rsidR="00016AE0" w:rsidRPr="0084339C" w:rsidRDefault="00E85C28" w:rsidP="0084339C">
      <w:pPr>
        <w:spacing w:before="0" w:after="0"/>
        <w:ind w:left="720"/>
        <w:jc w:val="left"/>
        <w:rPr>
          <w:rFonts w:eastAsiaTheme="minorHAnsi" w:cstheme="minorBidi"/>
          <w:color w:val="auto"/>
          <w:szCs w:val="22"/>
        </w:rPr>
      </w:pPr>
      <w:r w:rsidRPr="0084339C">
        <w:rPr>
          <w:rFonts w:eastAsia="Cambria" w:cs="FSLola"/>
          <w:color w:val="auto"/>
          <w:szCs w:val="23"/>
          <w:lang w:eastAsia="en-GB"/>
        </w:rPr>
        <w:t xml:space="preserve">The pension fund liability is calculated every three years by the appointed actuary, </w:t>
      </w:r>
      <w:r w:rsidR="00A85B2E" w:rsidRPr="0084339C">
        <w:rPr>
          <w:rFonts w:eastAsia="Cambria" w:cs="FSLola"/>
          <w:color w:val="auto"/>
          <w:szCs w:val="23"/>
          <w:lang w:eastAsia="en-GB"/>
        </w:rPr>
        <w:t>wit</w:t>
      </w:r>
      <w:r w:rsidR="00A85B2E">
        <w:rPr>
          <w:rFonts w:eastAsia="Cambria" w:cs="FSLola"/>
          <w:color w:val="auto"/>
          <w:szCs w:val="23"/>
          <w:lang w:eastAsia="en-GB"/>
        </w:rPr>
        <w:t>h</w:t>
      </w:r>
      <w:r w:rsidR="00A85B2E" w:rsidRPr="0084339C">
        <w:rPr>
          <w:rFonts w:eastAsia="Cambria" w:cs="FSLola"/>
          <w:color w:val="auto"/>
          <w:szCs w:val="23"/>
          <w:lang w:eastAsia="en-GB"/>
        </w:rPr>
        <w:t xml:space="preserve"> annual</w:t>
      </w:r>
      <w:r w:rsidRPr="0084339C">
        <w:rPr>
          <w:rFonts w:eastAsia="Cambria" w:cs="FSLola"/>
          <w:color w:val="auto"/>
          <w:szCs w:val="23"/>
          <w:lang w:eastAsia="en-GB"/>
        </w:rPr>
        <w:t xml:space="preserve"> updates in the intervening years. The methodology used is in line with accepte</w:t>
      </w:r>
      <w:r w:rsidR="0084339C">
        <w:rPr>
          <w:rFonts w:eastAsia="Cambria" w:cs="FSLola"/>
          <w:color w:val="auto"/>
          <w:szCs w:val="23"/>
          <w:lang w:eastAsia="en-GB"/>
        </w:rPr>
        <w:t xml:space="preserve">d </w:t>
      </w:r>
      <w:r w:rsidRPr="0084339C">
        <w:rPr>
          <w:rFonts w:eastAsia="Cambria" w:cs="FSLola"/>
          <w:color w:val="auto"/>
          <w:szCs w:val="23"/>
          <w:lang w:eastAsia="en-GB"/>
        </w:rPr>
        <w:t>guidelines and in accordance with IAS 19. Assumptions underpinning the valuations</w:t>
      </w:r>
      <w:r w:rsidR="0084339C" w:rsidRPr="0084339C">
        <w:rPr>
          <w:rFonts w:eastAsia="Cambria" w:cs="FSLola"/>
          <w:color w:val="auto"/>
          <w:szCs w:val="23"/>
          <w:lang w:eastAsia="en-GB"/>
        </w:rPr>
        <w:t xml:space="preserve"> </w:t>
      </w:r>
      <w:r w:rsidRPr="0084339C">
        <w:rPr>
          <w:rFonts w:eastAsia="Cambria" w:cs="FSLola"/>
          <w:color w:val="auto"/>
          <w:szCs w:val="23"/>
          <w:lang w:eastAsia="en-GB"/>
        </w:rPr>
        <w:t xml:space="preserve">are agreed with the actuary and are summarised in </w:t>
      </w:r>
      <w:r w:rsidR="00CA5AC4">
        <w:rPr>
          <w:rFonts w:eastAsia="Cambria" w:cs="FSLola"/>
          <w:color w:val="auto"/>
          <w:szCs w:val="23"/>
          <w:lang w:eastAsia="en-GB"/>
        </w:rPr>
        <w:t>n</w:t>
      </w:r>
      <w:r w:rsidRPr="0084339C">
        <w:rPr>
          <w:rFonts w:eastAsia="Cambria" w:cs="FSLola"/>
          <w:color w:val="auto"/>
          <w:szCs w:val="23"/>
          <w:lang w:eastAsia="en-GB"/>
        </w:rPr>
        <w:t xml:space="preserve">ote </w:t>
      </w:r>
      <w:r w:rsidR="00CA5AC4">
        <w:rPr>
          <w:rFonts w:eastAsia="Cambria" w:cs="FSLola"/>
          <w:color w:val="auto"/>
          <w:szCs w:val="23"/>
          <w:lang w:eastAsia="en-GB"/>
        </w:rPr>
        <w:t>2</w:t>
      </w:r>
      <w:r w:rsidRPr="0084339C">
        <w:rPr>
          <w:rFonts w:eastAsia="Cambria" w:cs="FSLola"/>
          <w:color w:val="auto"/>
          <w:szCs w:val="23"/>
          <w:lang w:eastAsia="en-GB"/>
        </w:rPr>
        <w:t>8. This estimate is subject to</w:t>
      </w:r>
      <w:r w:rsidR="0084339C" w:rsidRPr="0084339C">
        <w:rPr>
          <w:rFonts w:eastAsia="Cambria" w:cs="FSLola"/>
          <w:color w:val="auto"/>
          <w:szCs w:val="23"/>
          <w:lang w:eastAsia="en-GB"/>
        </w:rPr>
        <w:t xml:space="preserve"> </w:t>
      </w:r>
      <w:r w:rsidRPr="0084339C">
        <w:rPr>
          <w:color w:val="auto"/>
          <w:lang w:eastAsia="en-GB"/>
        </w:rPr>
        <w:t>significant variances based on changes to the underlying assumptions.</w:t>
      </w:r>
    </w:p>
    <w:p w:rsidR="00016AE0" w:rsidRDefault="00016AE0" w:rsidP="00274914">
      <w:pPr>
        <w:pStyle w:val="BodyTextIndent2"/>
        <w:tabs>
          <w:tab w:val="left" w:pos="851"/>
        </w:tabs>
        <w:spacing w:after="0"/>
        <w:ind w:left="851"/>
        <w:rPr>
          <w:rFonts w:eastAsiaTheme="minorHAnsi" w:cstheme="minorBidi"/>
          <w:szCs w:val="22"/>
          <w:lang w:eastAsia="en-US"/>
        </w:rPr>
      </w:pPr>
    </w:p>
    <w:p w:rsidR="00016AE0" w:rsidRDefault="00016AE0" w:rsidP="00274914">
      <w:pPr>
        <w:pStyle w:val="BodyTextIndent2"/>
        <w:tabs>
          <w:tab w:val="left" w:pos="851"/>
        </w:tabs>
        <w:spacing w:after="0"/>
        <w:ind w:left="851"/>
        <w:rPr>
          <w:rFonts w:eastAsiaTheme="minorHAnsi" w:cstheme="minorBidi"/>
          <w:szCs w:val="22"/>
          <w:lang w:eastAsia="en-US"/>
        </w:rPr>
      </w:pPr>
    </w:p>
    <w:p w:rsidR="00016AE0" w:rsidRDefault="00016AE0" w:rsidP="00274914">
      <w:pPr>
        <w:pStyle w:val="BodyTextIndent2"/>
        <w:tabs>
          <w:tab w:val="left" w:pos="851"/>
        </w:tabs>
        <w:spacing w:after="0"/>
        <w:ind w:left="851"/>
        <w:rPr>
          <w:rFonts w:eastAsiaTheme="minorHAnsi" w:cstheme="minorBidi"/>
          <w:szCs w:val="22"/>
          <w:lang w:eastAsia="en-US"/>
        </w:rPr>
      </w:pPr>
    </w:p>
    <w:p w:rsidR="00274914" w:rsidRPr="002F17B5" w:rsidRDefault="00274914" w:rsidP="009A4C35">
      <w:pPr>
        <w:pStyle w:val="BodyTextIndent"/>
        <w:numPr>
          <w:ilvl w:val="0"/>
          <w:numId w:val="75"/>
        </w:numPr>
        <w:tabs>
          <w:tab w:val="num" w:pos="567"/>
        </w:tabs>
        <w:spacing w:before="0" w:after="0"/>
        <w:ind w:left="567" w:hanging="567"/>
        <w:rPr>
          <w:b/>
          <w:szCs w:val="24"/>
        </w:rPr>
      </w:pPr>
      <w:r w:rsidRPr="002F17B5">
        <w:rPr>
          <w:b/>
          <w:szCs w:val="24"/>
        </w:rPr>
        <w:t xml:space="preserve">Assumptions </w:t>
      </w:r>
      <w:r w:rsidRPr="002F17B5">
        <w:rPr>
          <w:b/>
        </w:rPr>
        <w:t>made about the future and other major sources of estimated uncertainty</w:t>
      </w:r>
    </w:p>
    <w:p w:rsidR="00274914" w:rsidRPr="002F17B5" w:rsidRDefault="00274914" w:rsidP="00274914">
      <w:pPr>
        <w:pStyle w:val="BodyTextIndent"/>
        <w:spacing w:after="0"/>
        <w:ind w:left="709"/>
        <w:rPr>
          <w:b/>
          <w:szCs w:val="24"/>
        </w:rPr>
      </w:pPr>
    </w:p>
    <w:p w:rsidR="00274914" w:rsidRPr="002F17B5" w:rsidRDefault="00274914" w:rsidP="00274914">
      <w:pPr>
        <w:pStyle w:val="BodyTextIndent2"/>
        <w:tabs>
          <w:tab w:val="left" w:pos="709"/>
        </w:tabs>
        <w:spacing w:after="0"/>
        <w:ind w:left="567"/>
        <w:rPr>
          <w:szCs w:val="24"/>
        </w:rPr>
      </w:pPr>
      <w:r w:rsidRPr="002F17B5">
        <w:rPr>
          <w:szCs w:val="24"/>
        </w:rPr>
        <w:t xml:space="preserve">The Statement of Accounts contains estimated figures that are based on assumptions made by the Pension Fund about the future or that are otherwise uncertain.  Estimates are made taking into account historical experience, current trends and other relevant factors.  </w:t>
      </w:r>
    </w:p>
    <w:p w:rsidR="00274914" w:rsidRPr="002F17B5" w:rsidRDefault="00274914" w:rsidP="00274914">
      <w:pPr>
        <w:pStyle w:val="BodyTextIndent2"/>
        <w:tabs>
          <w:tab w:val="left" w:pos="709"/>
        </w:tabs>
        <w:spacing w:after="0"/>
        <w:ind w:left="567"/>
        <w:rPr>
          <w:sz w:val="4"/>
          <w:szCs w:val="24"/>
        </w:rPr>
      </w:pPr>
    </w:p>
    <w:p w:rsidR="00274914" w:rsidRPr="002F17B5" w:rsidRDefault="00274914" w:rsidP="00274914">
      <w:pPr>
        <w:pStyle w:val="BodyTextIndent2"/>
        <w:tabs>
          <w:tab w:val="left" w:pos="709"/>
        </w:tabs>
        <w:spacing w:after="0"/>
        <w:ind w:left="567"/>
        <w:rPr>
          <w:szCs w:val="24"/>
        </w:rPr>
      </w:pPr>
    </w:p>
    <w:p w:rsidR="00274914" w:rsidRPr="002F17B5" w:rsidRDefault="00274914" w:rsidP="00274914">
      <w:pPr>
        <w:pStyle w:val="BodyTextIndent2"/>
        <w:tabs>
          <w:tab w:val="left" w:pos="709"/>
        </w:tabs>
        <w:spacing w:after="0"/>
        <w:ind w:left="567"/>
        <w:rPr>
          <w:szCs w:val="24"/>
        </w:rPr>
      </w:pPr>
      <w:r w:rsidRPr="002F17B5">
        <w:rPr>
          <w:szCs w:val="24"/>
        </w:rPr>
        <w:lastRenderedPageBreak/>
        <w:t xml:space="preserve"> However, because balances cannot be determined with certainty, actual results could be materially different from the assumptions and estimates.</w:t>
      </w:r>
    </w:p>
    <w:p w:rsidR="00274914" w:rsidRPr="002F17B5" w:rsidRDefault="00274914" w:rsidP="00274914">
      <w:pPr>
        <w:pStyle w:val="BodyTextIndent2"/>
        <w:tabs>
          <w:tab w:val="left" w:pos="709"/>
        </w:tabs>
        <w:spacing w:after="0"/>
        <w:ind w:left="567"/>
        <w:rPr>
          <w:szCs w:val="24"/>
        </w:rPr>
      </w:pPr>
    </w:p>
    <w:p w:rsidR="00274914" w:rsidRPr="002F17B5" w:rsidRDefault="00274914" w:rsidP="00274914">
      <w:pPr>
        <w:pStyle w:val="BodyTextIndent2"/>
        <w:tabs>
          <w:tab w:val="left" w:pos="851"/>
        </w:tabs>
        <w:spacing w:after="0"/>
        <w:ind w:left="567"/>
      </w:pPr>
      <w:r w:rsidRPr="002F17B5">
        <w:rPr>
          <w:szCs w:val="24"/>
        </w:rPr>
        <w:t>The items in the Pension Fund's net asset statement at 31 March 2014 for which there is a significant risk of material adjustment in the forthcoming year are as follows:</w:t>
      </w:r>
    </w:p>
    <w:p w:rsidR="00274914" w:rsidRDefault="00274914" w:rsidP="00274914"/>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4150"/>
        <w:gridCol w:w="4195"/>
      </w:tblGrid>
      <w:tr w:rsidR="00274914" w:rsidRPr="002F17B5" w:rsidTr="00371DBF">
        <w:tc>
          <w:tcPr>
            <w:tcW w:w="1662" w:type="dxa"/>
          </w:tcPr>
          <w:p w:rsidR="00274914" w:rsidRPr="002F17B5" w:rsidRDefault="00274914" w:rsidP="00274914">
            <w:pPr>
              <w:rPr>
                <w:b/>
                <w:szCs w:val="22"/>
              </w:rPr>
            </w:pPr>
            <w:r w:rsidRPr="002F17B5">
              <w:rPr>
                <w:b/>
                <w:sz w:val="22"/>
                <w:szCs w:val="22"/>
              </w:rPr>
              <w:t>Item</w:t>
            </w:r>
          </w:p>
        </w:tc>
        <w:tc>
          <w:tcPr>
            <w:tcW w:w="4150" w:type="dxa"/>
          </w:tcPr>
          <w:p w:rsidR="00274914" w:rsidRPr="002F17B5" w:rsidRDefault="00274914" w:rsidP="00274914">
            <w:pPr>
              <w:rPr>
                <w:b/>
                <w:szCs w:val="22"/>
              </w:rPr>
            </w:pPr>
            <w:r w:rsidRPr="002F17B5">
              <w:rPr>
                <w:b/>
                <w:sz w:val="22"/>
                <w:szCs w:val="22"/>
              </w:rPr>
              <w:t>Uncertainties</w:t>
            </w:r>
          </w:p>
        </w:tc>
        <w:tc>
          <w:tcPr>
            <w:tcW w:w="4195" w:type="dxa"/>
          </w:tcPr>
          <w:p w:rsidR="00274914" w:rsidRPr="002F17B5" w:rsidRDefault="00274914" w:rsidP="00274914">
            <w:pPr>
              <w:rPr>
                <w:b/>
                <w:szCs w:val="22"/>
              </w:rPr>
            </w:pPr>
            <w:r w:rsidRPr="002F17B5">
              <w:rPr>
                <w:b/>
                <w:sz w:val="22"/>
                <w:szCs w:val="22"/>
              </w:rPr>
              <w:t>Impact if actual results differ from assumptions</w:t>
            </w:r>
          </w:p>
        </w:tc>
      </w:tr>
      <w:tr w:rsidR="00274914" w:rsidRPr="002F17B5" w:rsidTr="00371DBF">
        <w:trPr>
          <w:trHeight w:val="2088"/>
        </w:trPr>
        <w:tc>
          <w:tcPr>
            <w:tcW w:w="1662" w:type="dxa"/>
          </w:tcPr>
          <w:p w:rsidR="00274914" w:rsidRPr="002F17B5" w:rsidRDefault="00274914" w:rsidP="00274914">
            <w:pPr>
              <w:rPr>
                <w:szCs w:val="22"/>
              </w:rPr>
            </w:pPr>
            <w:r w:rsidRPr="002F17B5">
              <w:rPr>
                <w:sz w:val="22"/>
                <w:szCs w:val="22"/>
              </w:rPr>
              <w:t xml:space="preserve">Private equity and infrastructure investments. </w:t>
            </w:r>
          </w:p>
          <w:p w:rsidR="00274914" w:rsidRPr="002F17B5" w:rsidRDefault="00274914" w:rsidP="00274914">
            <w:pPr>
              <w:rPr>
                <w:szCs w:val="22"/>
              </w:rPr>
            </w:pPr>
          </w:p>
        </w:tc>
        <w:tc>
          <w:tcPr>
            <w:tcW w:w="4150" w:type="dxa"/>
          </w:tcPr>
          <w:p w:rsidR="00274914" w:rsidRPr="002F17B5" w:rsidRDefault="00274914" w:rsidP="00371DBF">
            <w:pPr>
              <w:jc w:val="left"/>
              <w:rPr>
                <w:szCs w:val="22"/>
              </w:rPr>
            </w:pPr>
            <w:r w:rsidRPr="002F17B5">
              <w:rPr>
                <w:sz w:val="22"/>
                <w:szCs w:val="22"/>
              </w:rPr>
              <w:t xml:space="preserve">Private equity and infrastructure investments are valued at fair value in accordance with British Private Equity and Venture Capital Association guidelines / International Private Equity and Venture Capital Valuation guidelines or equivalent. </w:t>
            </w:r>
          </w:p>
        </w:tc>
        <w:tc>
          <w:tcPr>
            <w:tcW w:w="4195" w:type="dxa"/>
          </w:tcPr>
          <w:p w:rsidR="00274914" w:rsidRPr="002F17B5" w:rsidRDefault="00274914" w:rsidP="00371DBF">
            <w:pPr>
              <w:jc w:val="left"/>
              <w:rPr>
                <w:szCs w:val="22"/>
              </w:rPr>
            </w:pPr>
            <w:r w:rsidRPr="002F17B5">
              <w:rPr>
                <w:sz w:val="22"/>
                <w:szCs w:val="22"/>
              </w:rPr>
              <w:t>The market value of private equity and infrastructure investments in the financial statements totals £512.9m.</w:t>
            </w:r>
          </w:p>
          <w:p w:rsidR="00274914" w:rsidRPr="002F17B5" w:rsidRDefault="00274914" w:rsidP="00371DBF">
            <w:pPr>
              <w:jc w:val="left"/>
              <w:rPr>
                <w:szCs w:val="22"/>
              </w:rPr>
            </w:pPr>
          </w:p>
          <w:p w:rsidR="00274914" w:rsidRPr="002F17B5" w:rsidRDefault="00274914" w:rsidP="00371DBF">
            <w:pPr>
              <w:jc w:val="left"/>
              <w:rPr>
                <w:szCs w:val="22"/>
              </w:rPr>
            </w:pPr>
            <w:r w:rsidRPr="002F17B5">
              <w:rPr>
                <w:sz w:val="22"/>
                <w:szCs w:val="22"/>
              </w:rPr>
              <w:t>There is a risk that these investments might be under or overstated in the accounts.</w:t>
            </w:r>
          </w:p>
        </w:tc>
      </w:tr>
      <w:tr w:rsidR="00274914" w:rsidRPr="002F17B5" w:rsidTr="00371DBF">
        <w:trPr>
          <w:trHeight w:val="1431"/>
        </w:trPr>
        <w:tc>
          <w:tcPr>
            <w:tcW w:w="1662" w:type="dxa"/>
          </w:tcPr>
          <w:p w:rsidR="00274914" w:rsidRPr="002F17B5" w:rsidRDefault="00274914" w:rsidP="00274914">
            <w:pPr>
              <w:rPr>
                <w:szCs w:val="22"/>
              </w:rPr>
            </w:pPr>
            <w:r w:rsidRPr="002F17B5">
              <w:rPr>
                <w:sz w:val="22"/>
                <w:szCs w:val="22"/>
              </w:rPr>
              <w:t>Local authority bond valuations.</w:t>
            </w:r>
          </w:p>
          <w:p w:rsidR="00274914" w:rsidRPr="002F17B5" w:rsidRDefault="00274914" w:rsidP="00274914">
            <w:pPr>
              <w:rPr>
                <w:szCs w:val="22"/>
              </w:rPr>
            </w:pPr>
            <w:r w:rsidRPr="002F17B5">
              <w:rPr>
                <w:sz w:val="22"/>
                <w:szCs w:val="22"/>
              </w:rPr>
              <w:t xml:space="preserve"> </w:t>
            </w:r>
          </w:p>
        </w:tc>
        <w:tc>
          <w:tcPr>
            <w:tcW w:w="4150" w:type="dxa"/>
          </w:tcPr>
          <w:p w:rsidR="00231F92" w:rsidRPr="008C0AEC" w:rsidRDefault="00231F92" w:rsidP="008C0AEC">
            <w:pPr>
              <w:rPr>
                <w:sz w:val="22"/>
                <w:szCs w:val="22"/>
              </w:rPr>
            </w:pPr>
            <w:r w:rsidRPr="008C0AEC">
              <w:rPr>
                <w:sz w:val="22"/>
                <w:szCs w:val="22"/>
              </w:rPr>
              <w:t xml:space="preserve">The local authority bond value is based on a valuation technique that requires management judgement including </w:t>
            </w:r>
            <w:r w:rsidR="00152B2D" w:rsidRPr="008C0AEC">
              <w:rPr>
                <w:sz w:val="22"/>
                <w:szCs w:val="22"/>
              </w:rPr>
              <w:t>earnings</w:t>
            </w:r>
            <w:r w:rsidRPr="008C0AEC">
              <w:rPr>
                <w:sz w:val="22"/>
                <w:szCs w:val="22"/>
              </w:rPr>
              <w:t xml:space="preserve"> multiples, public market </w:t>
            </w:r>
            <w:proofErr w:type="spellStart"/>
            <w:r w:rsidRPr="008C0AEC">
              <w:rPr>
                <w:sz w:val="22"/>
                <w:szCs w:val="22"/>
              </w:rPr>
              <w:t>comparables</w:t>
            </w:r>
            <w:proofErr w:type="spellEnd"/>
            <w:r w:rsidRPr="008C0AEC">
              <w:rPr>
                <w:sz w:val="22"/>
                <w:szCs w:val="22"/>
              </w:rPr>
              <w:t xml:space="preserve"> and estimated future cash flows.</w:t>
            </w:r>
          </w:p>
          <w:p w:rsidR="00274914" w:rsidRPr="002F17B5" w:rsidRDefault="00274914" w:rsidP="008C0AEC">
            <w:pPr>
              <w:jc w:val="left"/>
              <w:rPr>
                <w:szCs w:val="22"/>
              </w:rPr>
            </w:pPr>
          </w:p>
        </w:tc>
        <w:tc>
          <w:tcPr>
            <w:tcW w:w="4195" w:type="dxa"/>
          </w:tcPr>
          <w:p w:rsidR="00274914" w:rsidRPr="002F17B5" w:rsidRDefault="00274914" w:rsidP="00371DBF">
            <w:pPr>
              <w:jc w:val="left"/>
              <w:rPr>
                <w:szCs w:val="22"/>
              </w:rPr>
            </w:pPr>
            <w:r w:rsidRPr="002F17B5">
              <w:rPr>
                <w:sz w:val="22"/>
                <w:szCs w:val="22"/>
              </w:rPr>
              <w:t>The market value of local authority bonds totals £17.4m in the financial statements and there is a risk that this may be under or overstated.</w:t>
            </w:r>
          </w:p>
        </w:tc>
      </w:tr>
      <w:tr w:rsidR="00274914" w:rsidRPr="002F17B5" w:rsidTr="00371DBF">
        <w:trPr>
          <w:trHeight w:val="2088"/>
        </w:trPr>
        <w:tc>
          <w:tcPr>
            <w:tcW w:w="1662" w:type="dxa"/>
          </w:tcPr>
          <w:p w:rsidR="00274914" w:rsidRPr="002F17B5" w:rsidRDefault="00274914" w:rsidP="00274914">
            <w:pPr>
              <w:rPr>
                <w:szCs w:val="22"/>
              </w:rPr>
            </w:pPr>
            <w:r w:rsidRPr="002F17B5">
              <w:rPr>
                <w:sz w:val="22"/>
                <w:szCs w:val="22"/>
              </w:rPr>
              <w:t>Indirect overseas property valuations.</w:t>
            </w:r>
          </w:p>
        </w:tc>
        <w:tc>
          <w:tcPr>
            <w:tcW w:w="4150" w:type="dxa"/>
            <w:shd w:val="clear" w:color="auto" w:fill="auto"/>
          </w:tcPr>
          <w:p w:rsidR="00274914" w:rsidRPr="002F17B5" w:rsidRDefault="00274914" w:rsidP="00371DBF">
            <w:pPr>
              <w:jc w:val="left"/>
              <w:rPr>
                <w:szCs w:val="22"/>
              </w:rPr>
            </w:pPr>
            <w:r w:rsidRPr="002F17B5">
              <w:rPr>
                <w:sz w:val="22"/>
                <w:szCs w:val="22"/>
              </w:rPr>
              <w:t>Overseas indirect properties are valued at the current open market value as defined by the RICS Appraisal and Valuation Standards. These investments are not publicly listed and as such there is a degree of estimation involved in the valuation.</w:t>
            </w:r>
          </w:p>
        </w:tc>
        <w:tc>
          <w:tcPr>
            <w:tcW w:w="4195" w:type="dxa"/>
          </w:tcPr>
          <w:p w:rsidR="00274914" w:rsidRPr="002F17B5" w:rsidRDefault="00274914" w:rsidP="00371DBF">
            <w:pPr>
              <w:jc w:val="left"/>
              <w:rPr>
                <w:szCs w:val="22"/>
              </w:rPr>
            </w:pPr>
            <w:r w:rsidRPr="002F17B5">
              <w:rPr>
                <w:sz w:val="22"/>
                <w:szCs w:val="22"/>
              </w:rPr>
              <w:t xml:space="preserve">Overseas indirect property investments in the financial statements total £25.4m.  </w:t>
            </w:r>
          </w:p>
          <w:p w:rsidR="00274914" w:rsidRPr="002F17B5" w:rsidRDefault="00274914" w:rsidP="00371DBF">
            <w:pPr>
              <w:jc w:val="left"/>
              <w:rPr>
                <w:szCs w:val="22"/>
              </w:rPr>
            </w:pPr>
          </w:p>
          <w:p w:rsidR="00274914" w:rsidRPr="002F17B5" w:rsidRDefault="00274914" w:rsidP="00371DBF">
            <w:pPr>
              <w:jc w:val="left"/>
              <w:rPr>
                <w:szCs w:val="22"/>
              </w:rPr>
            </w:pPr>
            <w:r w:rsidRPr="002F17B5">
              <w:rPr>
                <w:sz w:val="22"/>
                <w:szCs w:val="22"/>
              </w:rPr>
              <w:t>There is a risk that these investments may be under or overstated in the accounts.</w:t>
            </w:r>
          </w:p>
        </w:tc>
      </w:tr>
      <w:tr w:rsidR="00274914" w:rsidRPr="002F17B5" w:rsidTr="00371DBF">
        <w:trPr>
          <w:trHeight w:val="3074"/>
        </w:trPr>
        <w:tc>
          <w:tcPr>
            <w:tcW w:w="1662" w:type="dxa"/>
          </w:tcPr>
          <w:p w:rsidR="00274914" w:rsidRPr="002F17B5" w:rsidRDefault="00084771" w:rsidP="00371DBF">
            <w:pPr>
              <w:pStyle w:val="Default"/>
              <w:jc w:val="left"/>
              <w:rPr>
                <w:sz w:val="22"/>
                <w:szCs w:val="22"/>
              </w:rPr>
            </w:pPr>
            <w:r>
              <w:rPr>
                <w:sz w:val="22"/>
                <w:szCs w:val="22"/>
              </w:rPr>
              <w:t>Actuarial present value of retirement benefits</w:t>
            </w:r>
          </w:p>
        </w:tc>
        <w:tc>
          <w:tcPr>
            <w:tcW w:w="4150" w:type="dxa"/>
          </w:tcPr>
          <w:tbl>
            <w:tblPr>
              <w:tblW w:w="0" w:type="auto"/>
              <w:tblBorders>
                <w:top w:val="nil"/>
                <w:left w:val="nil"/>
                <w:bottom w:val="nil"/>
                <w:right w:val="nil"/>
              </w:tblBorders>
              <w:tblLook w:val="0000" w:firstRow="0" w:lastRow="0" w:firstColumn="0" w:lastColumn="0" w:noHBand="0" w:noVBand="0"/>
            </w:tblPr>
            <w:tblGrid>
              <w:gridCol w:w="3934"/>
            </w:tblGrid>
            <w:tr w:rsidR="00274914" w:rsidRPr="002F17B5" w:rsidTr="00274914">
              <w:trPr>
                <w:trHeight w:val="3077"/>
              </w:trPr>
              <w:tc>
                <w:tcPr>
                  <w:tcW w:w="0" w:type="auto"/>
                </w:tcPr>
                <w:p w:rsidR="00274914" w:rsidRPr="002F17B5" w:rsidRDefault="00274914" w:rsidP="00371DBF">
                  <w:pPr>
                    <w:pStyle w:val="Default"/>
                    <w:jc w:val="left"/>
                    <w:rPr>
                      <w:sz w:val="22"/>
                      <w:szCs w:val="22"/>
                    </w:rPr>
                  </w:pPr>
                  <w:r w:rsidRPr="002F17B5">
                    <w:rPr>
                      <w:sz w:val="22"/>
                      <w:szCs w:val="22"/>
                    </w:rPr>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(Mercers) is engaged to provide the authority with expert advice about the assumptions to be applied.</w:t>
                  </w:r>
                </w:p>
              </w:tc>
            </w:tr>
          </w:tbl>
          <w:p w:rsidR="00274914" w:rsidRPr="002F17B5" w:rsidRDefault="00274914" w:rsidP="00371DBF">
            <w:pPr>
              <w:jc w:val="left"/>
              <w:rPr>
                <w:szCs w:val="22"/>
              </w:rPr>
            </w:pPr>
          </w:p>
        </w:tc>
        <w:tc>
          <w:tcPr>
            <w:tcW w:w="4195" w:type="dxa"/>
          </w:tcPr>
          <w:p w:rsidR="00274914" w:rsidRPr="002F17B5" w:rsidRDefault="00274914" w:rsidP="00371DBF">
            <w:pPr>
              <w:pStyle w:val="Default"/>
              <w:jc w:val="left"/>
              <w:rPr>
                <w:sz w:val="22"/>
                <w:szCs w:val="22"/>
              </w:rPr>
            </w:pPr>
            <w:r w:rsidRPr="002F17B5">
              <w:rPr>
                <w:sz w:val="22"/>
                <w:szCs w:val="22"/>
              </w:rPr>
              <w:t xml:space="preserve">The effects on the net pension liability of changes in individual assumptions can be measured. For instance, a 0.25% reduction in the discount rate assumption would increase the value of the liabilities by approximately </w:t>
            </w:r>
            <w:r w:rsidRPr="002F17B5">
              <w:rPr>
                <w:color w:val="auto"/>
                <w:sz w:val="22"/>
                <w:szCs w:val="22"/>
              </w:rPr>
              <w:t>£300 million.</w:t>
            </w:r>
            <w:r w:rsidRPr="002F17B5">
              <w:rPr>
                <w:sz w:val="22"/>
                <w:szCs w:val="22"/>
              </w:rPr>
              <w:t xml:space="preserve">  A 0.5% increase in assumed earnings inflation would increase the value of the liabilities by approximately £128m and a 1 year increase in assumed life expectancy would increase the liabilities by approximately £139m.</w:t>
            </w:r>
          </w:p>
        </w:tc>
      </w:tr>
    </w:tbl>
    <w:p w:rsidR="00371DBF" w:rsidRDefault="00371DBF" w:rsidP="00371DBF">
      <w:pPr>
        <w:autoSpaceDE/>
        <w:autoSpaceDN/>
        <w:adjustRightInd/>
        <w:spacing w:before="0" w:after="0"/>
        <w:ind w:left="862"/>
        <w:jc w:val="left"/>
        <w:rPr>
          <w:b/>
        </w:rPr>
      </w:pPr>
    </w:p>
    <w:p w:rsidR="00515C2F" w:rsidRDefault="00515C2F" w:rsidP="00371DBF">
      <w:pPr>
        <w:autoSpaceDE/>
        <w:autoSpaceDN/>
        <w:adjustRightInd/>
        <w:spacing w:before="0" w:after="0"/>
        <w:ind w:left="862"/>
        <w:jc w:val="left"/>
        <w:rPr>
          <w:b/>
        </w:rPr>
      </w:pPr>
    </w:p>
    <w:p w:rsidR="00515C2F" w:rsidRDefault="00515C2F" w:rsidP="00371DBF">
      <w:pPr>
        <w:autoSpaceDE/>
        <w:autoSpaceDN/>
        <w:adjustRightInd/>
        <w:spacing w:before="0" w:after="0"/>
        <w:ind w:left="862"/>
        <w:jc w:val="left"/>
        <w:rPr>
          <w:b/>
        </w:rPr>
      </w:pPr>
    </w:p>
    <w:p w:rsidR="00515C2F" w:rsidRDefault="00515C2F" w:rsidP="00371DBF">
      <w:pPr>
        <w:autoSpaceDE/>
        <w:autoSpaceDN/>
        <w:adjustRightInd/>
        <w:spacing w:before="0" w:after="0"/>
        <w:ind w:left="862"/>
        <w:jc w:val="left"/>
        <w:rPr>
          <w:b/>
        </w:rPr>
      </w:pPr>
    </w:p>
    <w:p w:rsidR="00515C2F" w:rsidRDefault="00515C2F" w:rsidP="00371DBF">
      <w:pPr>
        <w:autoSpaceDE/>
        <w:autoSpaceDN/>
        <w:adjustRightInd/>
        <w:spacing w:before="0" w:after="0"/>
        <w:ind w:left="862"/>
        <w:jc w:val="left"/>
        <w:rPr>
          <w:b/>
        </w:rPr>
      </w:pPr>
    </w:p>
    <w:p w:rsidR="00515C2F" w:rsidRDefault="00515C2F" w:rsidP="00371DBF">
      <w:pPr>
        <w:autoSpaceDE/>
        <w:autoSpaceDN/>
        <w:adjustRightInd/>
        <w:spacing w:before="0" w:after="0"/>
        <w:ind w:left="862"/>
        <w:jc w:val="left"/>
        <w:rPr>
          <w:b/>
        </w:rPr>
      </w:pPr>
    </w:p>
    <w:p w:rsidR="00515C2F" w:rsidRDefault="00515C2F" w:rsidP="00371DBF">
      <w:pPr>
        <w:autoSpaceDE/>
        <w:autoSpaceDN/>
        <w:adjustRightInd/>
        <w:spacing w:before="0" w:after="0"/>
        <w:ind w:left="862"/>
        <w:jc w:val="left"/>
        <w:rPr>
          <w:b/>
        </w:rPr>
      </w:pPr>
    </w:p>
    <w:p w:rsidR="00274914" w:rsidRPr="002F17B5" w:rsidRDefault="00274914" w:rsidP="009A4C35">
      <w:pPr>
        <w:numPr>
          <w:ilvl w:val="0"/>
          <w:numId w:val="75"/>
        </w:numPr>
        <w:autoSpaceDE/>
        <w:autoSpaceDN/>
        <w:adjustRightInd/>
        <w:spacing w:before="0" w:after="0"/>
        <w:jc w:val="left"/>
        <w:rPr>
          <w:b/>
        </w:rPr>
      </w:pPr>
      <w:r w:rsidRPr="002F17B5">
        <w:rPr>
          <w:b/>
        </w:rPr>
        <w:t>Contributions receivable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274914">
            <w:pPr>
              <w:spacing w:after="60"/>
              <w:rPr>
                <w:b/>
              </w:rPr>
            </w:pPr>
          </w:p>
        </w:tc>
        <w:tc>
          <w:tcPr>
            <w:tcW w:w="1559" w:type="dxa"/>
          </w:tcPr>
          <w:p w:rsidR="00274914" w:rsidRPr="002F17B5" w:rsidRDefault="00274914" w:rsidP="00D55D63">
            <w:pPr>
              <w:spacing w:after="0"/>
              <w:jc w:val="right"/>
              <w:rPr>
                <w:b/>
              </w:rPr>
            </w:pPr>
            <w:r w:rsidRPr="002F17B5">
              <w:rPr>
                <w:b/>
              </w:rPr>
              <w:t>2013/14</w:t>
            </w:r>
          </w:p>
          <w:p w:rsidR="00274914" w:rsidRPr="002F17B5" w:rsidRDefault="00274914" w:rsidP="00D55D63">
            <w:pPr>
              <w:spacing w:after="0"/>
              <w:jc w:val="right"/>
              <w:rPr>
                <w:b/>
              </w:rPr>
            </w:pPr>
            <w:r w:rsidRPr="002F17B5">
              <w:rPr>
                <w:b/>
              </w:rPr>
              <w:t>£m</w:t>
            </w:r>
          </w:p>
        </w:tc>
        <w:tc>
          <w:tcPr>
            <w:tcW w:w="430" w:type="dxa"/>
            <w:tcBorders>
              <w:right w:val="single" w:sz="4" w:space="0" w:color="FFFFFF" w:themeColor="background1"/>
            </w:tcBorders>
          </w:tcPr>
          <w:p w:rsidR="00274914" w:rsidRPr="002F17B5" w:rsidRDefault="00274914" w:rsidP="00D55D63">
            <w:pPr>
              <w:spacing w:after="0"/>
              <w:jc w:val="right"/>
              <w:rPr>
                <w:b/>
              </w:rPr>
            </w:pPr>
          </w:p>
          <w:p w:rsidR="00274914" w:rsidRPr="002F17B5" w:rsidRDefault="00274914" w:rsidP="00D55D63">
            <w:pPr>
              <w:spacing w:after="0"/>
              <w:jc w:val="right"/>
              <w:rPr>
                <w:b/>
              </w:rPr>
            </w:pPr>
          </w:p>
        </w:tc>
        <w:tc>
          <w:tcPr>
            <w:tcW w:w="1696" w:type="dxa"/>
            <w:tcBorders>
              <w:left w:val="single" w:sz="4" w:space="0" w:color="FFFFFF" w:themeColor="background1"/>
            </w:tcBorders>
          </w:tcPr>
          <w:p w:rsidR="00274914" w:rsidRPr="002F17B5" w:rsidRDefault="00274914" w:rsidP="00D55D63">
            <w:pPr>
              <w:spacing w:after="0"/>
              <w:jc w:val="right"/>
              <w:rPr>
                <w:b/>
              </w:rPr>
            </w:pPr>
            <w:r w:rsidRPr="002F17B5">
              <w:rPr>
                <w:b/>
              </w:rPr>
              <w:t>2012/13</w:t>
            </w:r>
          </w:p>
          <w:p w:rsidR="00274914" w:rsidRPr="002F17B5" w:rsidRDefault="00274914" w:rsidP="00D55D63">
            <w:pPr>
              <w:spacing w:after="0"/>
              <w:jc w:val="right"/>
              <w:rPr>
                <w:b/>
              </w:rPr>
            </w:pPr>
            <w:r w:rsidRPr="002F17B5">
              <w:rPr>
                <w:b/>
              </w:rPr>
              <w:t>£m</w:t>
            </w:r>
          </w:p>
        </w:tc>
      </w:tr>
      <w:tr w:rsidR="00274914" w:rsidRPr="002F17B5" w:rsidTr="00274914">
        <w:trPr>
          <w:trHeight w:val="306"/>
        </w:trPr>
        <w:tc>
          <w:tcPr>
            <w:tcW w:w="5058" w:type="dxa"/>
          </w:tcPr>
          <w:p w:rsidR="00274914" w:rsidRPr="002F17B5" w:rsidRDefault="00274914" w:rsidP="00274914">
            <w:pPr>
              <w:spacing w:after="60"/>
              <w:rPr>
                <w:b/>
              </w:rPr>
            </w:pPr>
            <w:r w:rsidRPr="002F17B5">
              <w:rPr>
                <w:b/>
              </w:rPr>
              <w:t>Employers' contributions</w:t>
            </w:r>
          </w:p>
        </w:tc>
        <w:tc>
          <w:tcPr>
            <w:tcW w:w="1559" w:type="dxa"/>
          </w:tcPr>
          <w:p w:rsidR="00274914" w:rsidRPr="002F17B5" w:rsidRDefault="00274914" w:rsidP="00274914">
            <w:pPr>
              <w:spacing w:after="60"/>
              <w:jc w:val="right"/>
            </w:pPr>
          </w:p>
        </w:tc>
        <w:tc>
          <w:tcPr>
            <w:tcW w:w="430" w:type="dxa"/>
            <w:tcBorders>
              <w:right w:val="single" w:sz="4" w:space="0" w:color="FFFFFF" w:themeColor="background1"/>
            </w:tcBorders>
          </w:tcPr>
          <w:p w:rsidR="00274914" w:rsidRPr="002F17B5" w:rsidRDefault="00274914" w:rsidP="00274914">
            <w:pPr>
              <w:spacing w:after="60"/>
              <w:jc w:val="right"/>
            </w:pPr>
          </w:p>
        </w:tc>
        <w:tc>
          <w:tcPr>
            <w:tcW w:w="1696" w:type="dxa"/>
            <w:tcBorders>
              <w:left w:val="single" w:sz="4" w:space="0" w:color="FFFFFF" w:themeColor="background1"/>
            </w:tcBorders>
          </w:tcPr>
          <w:p w:rsidR="00274914" w:rsidRPr="002F17B5" w:rsidRDefault="00274914" w:rsidP="00274914">
            <w:pPr>
              <w:spacing w:after="60"/>
              <w:jc w:val="right"/>
            </w:pPr>
          </w:p>
        </w:tc>
      </w:tr>
      <w:tr w:rsidR="00274914" w:rsidRPr="002F17B5" w:rsidTr="00274914">
        <w:trPr>
          <w:trHeight w:val="171"/>
        </w:trPr>
        <w:tc>
          <w:tcPr>
            <w:tcW w:w="5058" w:type="dxa"/>
          </w:tcPr>
          <w:p w:rsidR="00274914" w:rsidRPr="002F17B5" w:rsidRDefault="00274914" w:rsidP="00274914">
            <w:pPr>
              <w:spacing w:after="60"/>
            </w:pPr>
            <w:r w:rsidRPr="002F17B5">
              <w:t>County Council</w:t>
            </w:r>
          </w:p>
        </w:tc>
        <w:tc>
          <w:tcPr>
            <w:tcW w:w="1559" w:type="dxa"/>
          </w:tcPr>
          <w:p w:rsidR="00274914" w:rsidRPr="002F17B5" w:rsidRDefault="00274914" w:rsidP="00274914">
            <w:pPr>
              <w:spacing w:after="60"/>
              <w:jc w:val="right"/>
            </w:pPr>
            <w:r w:rsidRPr="002F17B5">
              <w:t>67.5</w:t>
            </w:r>
          </w:p>
        </w:tc>
        <w:tc>
          <w:tcPr>
            <w:tcW w:w="430" w:type="dxa"/>
            <w:tcBorders>
              <w:right w:val="single" w:sz="4" w:space="0" w:color="FFFFFF" w:themeColor="background1"/>
            </w:tcBorders>
          </w:tcPr>
          <w:p w:rsidR="00274914" w:rsidRPr="002F17B5" w:rsidRDefault="00274914" w:rsidP="00274914">
            <w:pPr>
              <w:spacing w:after="60"/>
              <w:jc w:val="right"/>
            </w:pPr>
          </w:p>
        </w:tc>
        <w:tc>
          <w:tcPr>
            <w:tcW w:w="1696" w:type="dxa"/>
            <w:tcBorders>
              <w:left w:val="single" w:sz="4" w:space="0" w:color="FFFFFF" w:themeColor="background1"/>
            </w:tcBorders>
          </w:tcPr>
          <w:p w:rsidR="00274914" w:rsidRPr="002F17B5" w:rsidRDefault="00274914" w:rsidP="00274914">
            <w:pPr>
              <w:spacing w:after="60"/>
              <w:jc w:val="right"/>
            </w:pPr>
            <w:r w:rsidRPr="002F17B5">
              <w:t>61.3</w:t>
            </w:r>
          </w:p>
        </w:tc>
      </w:tr>
      <w:tr w:rsidR="00274914" w:rsidRPr="002F17B5" w:rsidTr="00274914">
        <w:tc>
          <w:tcPr>
            <w:tcW w:w="5058" w:type="dxa"/>
          </w:tcPr>
          <w:p w:rsidR="00274914" w:rsidRPr="002F17B5" w:rsidRDefault="00274914" w:rsidP="00274914">
            <w:pPr>
              <w:spacing w:after="60"/>
            </w:pPr>
            <w:r w:rsidRPr="002F17B5">
              <w:t>Scheduled Bodies</w:t>
            </w:r>
          </w:p>
        </w:tc>
        <w:tc>
          <w:tcPr>
            <w:tcW w:w="1559" w:type="dxa"/>
          </w:tcPr>
          <w:p w:rsidR="00274914" w:rsidRPr="002F17B5" w:rsidRDefault="00274914" w:rsidP="00274914">
            <w:pPr>
              <w:spacing w:after="60"/>
              <w:jc w:val="right"/>
            </w:pPr>
            <w:r w:rsidRPr="002F17B5">
              <w:t>74.0</w:t>
            </w:r>
          </w:p>
        </w:tc>
        <w:tc>
          <w:tcPr>
            <w:tcW w:w="430" w:type="dxa"/>
            <w:tcBorders>
              <w:right w:val="single" w:sz="4" w:space="0" w:color="FFFFFF" w:themeColor="background1"/>
            </w:tcBorders>
          </w:tcPr>
          <w:p w:rsidR="00274914" w:rsidRPr="002F17B5" w:rsidRDefault="00274914" w:rsidP="00274914">
            <w:pPr>
              <w:spacing w:after="60"/>
              <w:jc w:val="right"/>
            </w:pPr>
          </w:p>
        </w:tc>
        <w:tc>
          <w:tcPr>
            <w:tcW w:w="1696" w:type="dxa"/>
            <w:tcBorders>
              <w:left w:val="single" w:sz="4" w:space="0" w:color="FFFFFF" w:themeColor="background1"/>
            </w:tcBorders>
          </w:tcPr>
          <w:p w:rsidR="00274914" w:rsidRPr="002F17B5" w:rsidRDefault="00274914" w:rsidP="00274914">
            <w:pPr>
              <w:spacing w:after="60"/>
              <w:jc w:val="right"/>
            </w:pPr>
            <w:r w:rsidRPr="002F17B5">
              <w:t>71.2</w:t>
            </w:r>
          </w:p>
        </w:tc>
      </w:tr>
      <w:tr w:rsidR="00274914" w:rsidRPr="002F17B5" w:rsidTr="00274914">
        <w:tc>
          <w:tcPr>
            <w:tcW w:w="5058" w:type="dxa"/>
          </w:tcPr>
          <w:p w:rsidR="00274914" w:rsidRPr="002F17B5" w:rsidRDefault="00274914" w:rsidP="00274914">
            <w:pPr>
              <w:spacing w:after="60"/>
            </w:pPr>
            <w:r w:rsidRPr="002F17B5">
              <w:t>Admitted Bodies</w:t>
            </w:r>
          </w:p>
        </w:tc>
        <w:tc>
          <w:tcPr>
            <w:tcW w:w="1559" w:type="dxa"/>
            <w:tcBorders>
              <w:bottom w:val="single" w:sz="12" w:space="0" w:color="auto"/>
            </w:tcBorders>
          </w:tcPr>
          <w:p w:rsidR="00274914" w:rsidRPr="002F17B5" w:rsidRDefault="00274914" w:rsidP="00274914">
            <w:pPr>
              <w:spacing w:after="60"/>
              <w:jc w:val="right"/>
            </w:pPr>
            <w:r w:rsidRPr="002F17B5">
              <w:t>13.1</w:t>
            </w:r>
          </w:p>
        </w:tc>
        <w:tc>
          <w:tcPr>
            <w:tcW w:w="430" w:type="dxa"/>
            <w:tcBorders>
              <w:right w:val="single" w:sz="4" w:space="0" w:color="FFFFFF" w:themeColor="background1"/>
            </w:tcBorders>
          </w:tcPr>
          <w:p w:rsidR="00274914" w:rsidRPr="002F17B5" w:rsidRDefault="00274914" w:rsidP="00274914">
            <w:pPr>
              <w:spacing w:after="60"/>
              <w:jc w:val="right"/>
            </w:pPr>
          </w:p>
        </w:tc>
        <w:tc>
          <w:tcPr>
            <w:tcW w:w="1696" w:type="dxa"/>
            <w:tcBorders>
              <w:left w:val="single" w:sz="4" w:space="0" w:color="FFFFFF" w:themeColor="background1"/>
              <w:bottom w:val="single" w:sz="12" w:space="0" w:color="auto"/>
            </w:tcBorders>
          </w:tcPr>
          <w:p w:rsidR="00274914" w:rsidRPr="002F17B5" w:rsidRDefault="00274914" w:rsidP="00274914">
            <w:pPr>
              <w:spacing w:after="60"/>
              <w:jc w:val="right"/>
            </w:pPr>
            <w:r w:rsidRPr="002F17B5">
              <w:t>12.6</w:t>
            </w:r>
          </w:p>
        </w:tc>
      </w:tr>
      <w:tr w:rsidR="00274914" w:rsidRPr="002F17B5" w:rsidTr="00274914">
        <w:tc>
          <w:tcPr>
            <w:tcW w:w="5058" w:type="dxa"/>
          </w:tcPr>
          <w:p w:rsidR="00274914" w:rsidRPr="002F17B5" w:rsidRDefault="00274914" w:rsidP="00274914">
            <w:pPr>
              <w:spacing w:after="60"/>
            </w:pPr>
          </w:p>
        </w:tc>
        <w:tc>
          <w:tcPr>
            <w:tcW w:w="1559" w:type="dxa"/>
            <w:tcBorders>
              <w:top w:val="single" w:sz="12" w:space="0" w:color="auto"/>
              <w:bottom w:val="single" w:sz="12" w:space="0" w:color="auto"/>
            </w:tcBorders>
          </w:tcPr>
          <w:p w:rsidR="00274914" w:rsidRPr="002F17B5" w:rsidRDefault="00274914" w:rsidP="00274914">
            <w:pPr>
              <w:spacing w:after="60"/>
              <w:jc w:val="right"/>
            </w:pPr>
            <w:r w:rsidRPr="002F17B5">
              <w:t>154.6</w:t>
            </w:r>
          </w:p>
        </w:tc>
        <w:tc>
          <w:tcPr>
            <w:tcW w:w="430" w:type="dxa"/>
          </w:tcPr>
          <w:p w:rsidR="00274914" w:rsidRPr="002F17B5" w:rsidRDefault="00274914" w:rsidP="00274914">
            <w:pPr>
              <w:spacing w:after="60"/>
              <w:jc w:val="right"/>
            </w:pPr>
          </w:p>
        </w:tc>
        <w:tc>
          <w:tcPr>
            <w:tcW w:w="1696" w:type="dxa"/>
            <w:tcBorders>
              <w:top w:val="single" w:sz="12" w:space="0" w:color="auto"/>
              <w:bottom w:val="single" w:sz="12" w:space="0" w:color="auto"/>
            </w:tcBorders>
          </w:tcPr>
          <w:p w:rsidR="00274914" w:rsidRPr="002F17B5" w:rsidRDefault="00274914" w:rsidP="00274914">
            <w:pPr>
              <w:spacing w:after="60"/>
              <w:jc w:val="right"/>
            </w:pPr>
            <w:r w:rsidRPr="002F17B5">
              <w:t>145.1</w:t>
            </w:r>
          </w:p>
        </w:tc>
      </w:tr>
      <w:tr w:rsidR="00274914" w:rsidRPr="002F17B5" w:rsidTr="00D55D63">
        <w:trPr>
          <w:trHeight w:val="322"/>
        </w:trPr>
        <w:tc>
          <w:tcPr>
            <w:tcW w:w="5058" w:type="dxa"/>
          </w:tcPr>
          <w:p w:rsidR="00CA5AC4" w:rsidRDefault="00CA5AC4" w:rsidP="00274914">
            <w:pPr>
              <w:spacing w:after="60"/>
              <w:rPr>
                <w:b/>
              </w:rPr>
            </w:pPr>
          </w:p>
          <w:p w:rsidR="00274914" w:rsidRPr="002F17B5" w:rsidRDefault="00274914" w:rsidP="00274914">
            <w:pPr>
              <w:spacing w:after="60"/>
              <w:rPr>
                <w:b/>
              </w:rPr>
            </w:pPr>
            <w:r w:rsidRPr="002F17B5">
              <w:rPr>
                <w:b/>
              </w:rPr>
              <w:t>Pension Strain</w:t>
            </w:r>
          </w:p>
        </w:tc>
        <w:tc>
          <w:tcPr>
            <w:tcW w:w="1559" w:type="dxa"/>
          </w:tcPr>
          <w:p w:rsidR="00274914" w:rsidRPr="002F17B5" w:rsidRDefault="00274914" w:rsidP="00274914">
            <w:pPr>
              <w:spacing w:after="60"/>
              <w:jc w:val="right"/>
            </w:pPr>
          </w:p>
        </w:tc>
        <w:tc>
          <w:tcPr>
            <w:tcW w:w="430" w:type="dxa"/>
          </w:tcPr>
          <w:p w:rsidR="00274914" w:rsidRPr="002F17B5" w:rsidRDefault="00274914" w:rsidP="00274914">
            <w:pPr>
              <w:spacing w:after="60"/>
              <w:jc w:val="right"/>
            </w:pPr>
          </w:p>
        </w:tc>
        <w:tc>
          <w:tcPr>
            <w:tcW w:w="1696" w:type="dxa"/>
          </w:tcPr>
          <w:p w:rsidR="00274914" w:rsidRPr="002F17B5" w:rsidRDefault="00274914" w:rsidP="00274914">
            <w:pPr>
              <w:spacing w:after="60"/>
              <w:jc w:val="right"/>
            </w:pPr>
          </w:p>
        </w:tc>
      </w:tr>
      <w:tr w:rsidR="00274914" w:rsidRPr="002F17B5" w:rsidTr="00274914">
        <w:tc>
          <w:tcPr>
            <w:tcW w:w="5058" w:type="dxa"/>
          </w:tcPr>
          <w:p w:rsidR="00274914" w:rsidRPr="002F17B5" w:rsidRDefault="00274914" w:rsidP="00274914">
            <w:pPr>
              <w:spacing w:after="60"/>
            </w:pPr>
            <w:r w:rsidRPr="002F17B5">
              <w:t>County Council</w:t>
            </w:r>
          </w:p>
        </w:tc>
        <w:tc>
          <w:tcPr>
            <w:tcW w:w="1559" w:type="dxa"/>
          </w:tcPr>
          <w:p w:rsidR="00274914" w:rsidRPr="002F17B5" w:rsidRDefault="00274914" w:rsidP="00274914">
            <w:pPr>
              <w:spacing w:after="60"/>
              <w:jc w:val="right"/>
            </w:pPr>
            <w:r w:rsidRPr="002F17B5">
              <w:t>1.6</w:t>
            </w:r>
          </w:p>
        </w:tc>
        <w:tc>
          <w:tcPr>
            <w:tcW w:w="430" w:type="dxa"/>
          </w:tcPr>
          <w:p w:rsidR="00274914" w:rsidRPr="002F17B5" w:rsidRDefault="00274914" w:rsidP="00274914">
            <w:pPr>
              <w:spacing w:after="60"/>
              <w:jc w:val="right"/>
            </w:pPr>
          </w:p>
        </w:tc>
        <w:tc>
          <w:tcPr>
            <w:tcW w:w="1696" w:type="dxa"/>
          </w:tcPr>
          <w:p w:rsidR="00274914" w:rsidRPr="002F17B5" w:rsidRDefault="00274914" w:rsidP="00274914">
            <w:pPr>
              <w:spacing w:after="60"/>
              <w:jc w:val="right"/>
            </w:pPr>
            <w:r w:rsidRPr="002F17B5">
              <w:t>2.1</w:t>
            </w:r>
          </w:p>
        </w:tc>
      </w:tr>
      <w:tr w:rsidR="00274914" w:rsidRPr="002F17B5" w:rsidTr="00274914">
        <w:tc>
          <w:tcPr>
            <w:tcW w:w="5058" w:type="dxa"/>
          </w:tcPr>
          <w:p w:rsidR="00274914" w:rsidRPr="002F17B5" w:rsidRDefault="00274914" w:rsidP="00274914">
            <w:pPr>
              <w:spacing w:after="60"/>
            </w:pPr>
            <w:r w:rsidRPr="002F17B5">
              <w:t>Scheduled Bodies</w:t>
            </w:r>
          </w:p>
        </w:tc>
        <w:tc>
          <w:tcPr>
            <w:tcW w:w="1559" w:type="dxa"/>
          </w:tcPr>
          <w:p w:rsidR="00274914" w:rsidRPr="002F17B5" w:rsidRDefault="00274914" w:rsidP="00274914">
            <w:pPr>
              <w:spacing w:after="60"/>
              <w:jc w:val="right"/>
            </w:pPr>
            <w:r w:rsidRPr="002F17B5">
              <w:t>3.6</w:t>
            </w:r>
          </w:p>
        </w:tc>
        <w:tc>
          <w:tcPr>
            <w:tcW w:w="430" w:type="dxa"/>
          </w:tcPr>
          <w:p w:rsidR="00274914" w:rsidRPr="002F17B5" w:rsidRDefault="00274914" w:rsidP="00274914">
            <w:pPr>
              <w:spacing w:after="60"/>
              <w:jc w:val="right"/>
            </w:pPr>
          </w:p>
        </w:tc>
        <w:tc>
          <w:tcPr>
            <w:tcW w:w="1696" w:type="dxa"/>
          </w:tcPr>
          <w:p w:rsidR="00274914" w:rsidRPr="002F17B5" w:rsidRDefault="00274914" w:rsidP="00274914">
            <w:pPr>
              <w:spacing w:after="60"/>
              <w:jc w:val="right"/>
            </w:pPr>
            <w:r w:rsidRPr="002F17B5">
              <w:t>3.5</w:t>
            </w:r>
          </w:p>
        </w:tc>
      </w:tr>
      <w:tr w:rsidR="00274914" w:rsidRPr="002F17B5" w:rsidTr="00274914">
        <w:tc>
          <w:tcPr>
            <w:tcW w:w="5058" w:type="dxa"/>
          </w:tcPr>
          <w:p w:rsidR="00274914" w:rsidRPr="002F17B5" w:rsidRDefault="00274914" w:rsidP="00274914">
            <w:pPr>
              <w:spacing w:after="60"/>
            </w:pPr>
            <w:r w:rsidRPr="002F17B5">
              <w:t>Admitted Bodies</w:t>
            </w:r>
          </w:p>
        </w:tc>
        <w:tc>
          <w:tcPr>
            <w:tcW w:w="1559" w:type="dxa"/>
            <w:tcBorders>
              <w:bottom w:val="single" w:sz="12" w:space="0" w:color="auto"/>
            </w:tcBorders>
          </w:tcPr>
          <w:p w:rsidR="00274914" w:rsidRPr="002F17B5" w:rsidRDefault="00274914" w:rsidP="00274914">
            <w:pPr>
              <w:spacing w:after="60"/>
              <w:jc w:val="right"/>
            </w:pPr>
            <w:r w:rsidRPr="002F17B5">
              <w:t>0.2</w:t>
            </w:r>
          </w:p>
        </w:tc>
        <w:tc>
          <w:tcPr>
            <w:tcW w:w="430" w:type="dxa"/>
          </w:tcPr>
          <w:p w:rsidR="00274914" w:rsidRPr="002F17B5" w:rsidRDefault="00274914" w:rsidP="00274914">
            <w:pPr>
              <w:spacing w:after="60"/>
              <w:jc w:val="right"/>
            </w:pPr>
          </w:p>
        </w:tc>
        <w:tc>
          <w:tcPr>
            <w:tcW w:w="1696" w:type="dxa"/>
            <w:tcBorders>
              <w:bottom w:val="single" w:sz="12" w:space="0" w:color="auto"/>
            </w:tcBorders>
          </w:tcPr>
          <w:p w:rsidR="00274914" w:rsidRPr="002F17B5" w:rsidRDefault="00274914" w:rsidP="00274914">
            <w:pPr>
              <w:spacing w:after="60"/>
              <w:jc w:val="right"/>
            </w:pPr>
            <w:r w:rsidRPr="002F17B5">
              <w:t>0.3</w:t>
            </w:r>
          </w:p>
        </w:tc>
      </w:tr>
      <w:tr w:rsidR="00274914" w:rsidRPr="002F17B5" w:rsidTr="00274914">
        <w:tc>
          <w:tcPr>
            <w:tcW w:w="5058" w:type="dxa"/>
          </w:tcPr>
          <w:p w:rsidR="00274914" w:rsidRPr="002F17B5" w:rsidRDefault="00274914" w:rsidP="00274914">
            <w:pPr>
              <w:spacing w:after="60"/>
            </w:pPr>
          </w:p>
        </w:tc>
        <w:tc>
          <w:tcPr>
            <w:tcW w:w="1559" w:type="dxa"/>
            <w:tcBorders>
              <w:bottom w:val="single" w:sz="12" w:space="0" w:color="auto"/>
            </w:tcBorders>
          </w:tcPr>
          <w:p w:rsidR="00274914" w:rsidRPr="002F17B5" w:rsidRDefault="00274914" w:rsidP="00274914">
            <w:pPr>
              <w:spacing w:after="60"/>
              <w:jc w:val="right"/>
            </w:pPr>
            <w:r w:rsidRPr="002F17B5">
              <w:t>5.4</w:t>
            </w:r>
          </w:p>
        </w:tc>
        <w:tc>
          <w:tcPr>
            <w:tcW w:w="430" w:type="dxa"/>
          </w:tcPr>
          <w:p w:rsidR="00274914" w:rsidRPr="002F17B5" w:rsidRDefault="00274914" w:rsidP="00274914">
            <w:pPr>
              <w:spacing w:after="60"/>
              <w:jc w:val="right"/>
            </w:pPr>
          </w:p>
        </w:tc>
        <w:tc>
          <w:tcPr>
            <w:tcW w:w="1696" w:type="dxa"/>
            <w:tcBorders>
              <w:bottom w:val="single" w:sz="12" w:space="0" w:color="auto"/>
            </w:tcBorders>
          </w:tcPr>
          <w:p w:rsidR="00274914" w:rsidRPr="002F17B5" w:rsidRDefault="00274914" w:rsidP="00274914">
            <w:pPr>
              <w:spacing w:after="60"/>
              <w:jc w:val="right"/>
            </w:pPr>
            <w:r w:rsidRPr="002F17B5">
              <w:t>5.9</w:t>
            </w:r>
          </w:p>
        </w:tc>
      </w:tr>
      <w:tr w:rsidR="00274914" w:rsidRPr="002F17B5" w:rsidTr="00274914">
        <w:tc>
          <w:tcPr>
            <w:tcW w:w="5058" w:type="dxa"/>
          </w:tcPr>
          <w:p w:rsidR="00274914" w:rsidRPr="002F17B5" w:rsidRDefault="00274914" w:rsidP="00274914">
            <w:pPr>
              <w:spacing w:after="60"/>
            </w:pPr>
          </w:p>
        </w:tc>
        <w:tc>
          <w:tcPr>
            <w:tcW w:w="1559" w:type="dxa"/>
            <w:tcBorders>
              <w:top w:val="single" w:sz="12" w:space="0" w:color="auto"/>
              <w:bottom w:val="single" w:sz="12" w:space="0" w:color="auto"/>
            </w:tcBorders>
          </w:tcPr>
          <w:p w:rsidR="00274914" w:rsidRPr="002F17B5" w:rsidRDefault="00274914" w:rsidP="00274914">
            <w:pPr>
              <w:spacing w:after="60"/>
              <w:jc w:val="right"/>
            </w:pPr>
            <w:r w:rsidRPr="002F17B5">
              <w:t>160.0</w:t>
            </w:r>
          </w:p>
        </w:tc>
        <w:tc>
          <w:tcPr>
            <w:tcW w:w="430" w:type="dxa"/>
          </w:tcPr>
          <w:p w:rsidR="00274914" w:rsidRPr="002F17B5" w:rsidRDefault="00274914" w:rsidP="00274914">
            <w:pPr>
              <w:spacing w:after="60"/>
              <w:jc w:val="right"/>
            </w:pPr>
          </w:p>
        </w:tc>
        <w:tc>
          <w:tcPr>
            <w:tcW w:w="1696" w:type="dxa"/>
            <w:tcBorders>
              <w:top w:val="single" w:sz="12" w:space="0" w:color="auto"/>
              <w:bottom w:val="single" w:sz="12" w:space="0" w:color="auto"/>
            </w:tcBorders>
          </w:tcPr>
          <w:p w:rsidR="00274914" w:rsidRPr="002F17B5" w:rsidRDefault="00274914" w:rsidP="00274914">
            <w:pPr>
              <w:spacing w:after="60"/>
              <w:jc w:val="right"/>
            </w:pPr>
            <w:r w:rsidRPr="002F17B5">
              <w:t>151.0</w:t>
            </w:r>
          </w:p>
        </w:tc>
      </w:tr>
      <w:tr w:rsidR="00274914" w:rsidRPr="002F17B5" w:rsidTr="00274914">
        <w:tc>
          <w:tcPr>
            <w:tcW w:w="5058" w:type="dxa"/>
          </w:tcPr>
          <w:p w:rsidR="00274914" w:rsidRPr="002F17B5" w:rsidRDefault="00274914" w:rsidP="00274914"/>
          <w:p w:rsidR="00274914" w:rsidRPr="002F17B5" w:rsidRDefault="00274914" w:rsidP="00274914"/>
          <w:p w:rsidR="00274914" w:rsidRPr="002F17B5" w:rsidRDefault="00274914" w:rsidP="00274914">
            <w:pPr>
              <w:rPr>
                <w:b/>
              </w:rPr>
            </w:pPr>
            <w:r w:rsidRPr="002F17B5">
              <w:rPr>
                <w:b/>
              </w:rPr>
              <w:t>Employee contributions</w:t>
            </w:r>
          </w:p>
        </w:tc>
        <w:tc>
          <w:tcPr>
            <w:tcW w:w="1559" w:type="dxa"/>
            <w:tcBorders>
              <w:top w:val="single" w:sz="12" w:space="0" w:color="auto"/>
            </w:tcBorders>
          </w:tcPr>
          <w:p w:rsidR="00274914" w:rsidRPr="002F17B5" w:rsidRDefault="00274914" w:rsidP="00274914">
            <w:pPr>
              <w:jc w:val="right"/>
              <w:rPr>
                <w:sz w:val="18"/>
              </w:rPr>
            </w:pPr>
          </w:p>
        </w:tc>
        <w:tc>
          <w:tcPr>
            <w:tcW w:w="430" w:type="dxa"/>
          </w:tcPr>
          <w:p w:rsidR="00274914" w:rsidRPr="002F17B5" w:rsidRDefault="00274914" w:rsidP="00274914">
            <w:pPr>
              <w:jc w:val="right"/>
            </w:pPr>
          </w:p>
        </w:tc>
        <w:tc>
          <w:tcPr>
            <w:tcW w:w="1696" w:type="dxa"/>
            <w:tcBorders>
              <w:top w:val="single" w:sz="12" w:space="0" w:color="auto"/>
            </w:tcBorders>
          </w:tcPr>
          <w:p w:rsidR="00274914" w:rsidRPr="002F17B5" w:rsidRDefault="00274914" w:rsidP="00274914">
            <w:pPr>
              <w:jc w:val="right"/>
            </w:pPr>
          </w:p>
        </w:tc>
      </w:tr>
      <w:tr w:rsidR="00274914" w:rsidRPr="002F17B5" w:rsidTr="00274914">
        <w:tc>
          <w:tcPr>
            <w:tcW w:w="5058" w:type="dxa"/>
          </w:tcPr>
          <w:p w:rsidR="00274914" w:rsidRPr="002F17B5" w:rsidRDefault="00274914" w:rsidP="00274914">
            <w:r w:rsidRPr="002F17B5">
              <w:t>County Council</w:t>
            </w:r>
          </w:p>
        </w:tc>
        <w:tc>
          <w:tcPr>
            <w:tcW w:w="1559" w:type="dxa"/>
          </w:tcPr>
          <w:p w:rsidR="00274914" w:rsidRPr="002F17B5" w:rsidRDefault="00274914" w:rsidP="00274914">
            <w:pPr>
              <w:jc w:val="right"/>
            </w:pPr>
            <w:r w:rsidRPr="002F17B5">
              <w:t>22.2</w:t>
            </w:r>
          </w:p>
        </w:tc>
        <w:tc>
          <w:tcPr>
            <w:tcW w:w="430" w:type="dxa"/>
          </w:tcPr>
          <w:p w:rsidR="00274914" w:rsidRPr="002F17B5" w:rsidRDefault="00274914" w:rsidP="00274914">
            <w:pPr>
              <w:jc w:val="right"/>
            </w:pPr>
          </w:p>
        </w:tc>
        <w:tc>
          <w:tcPr>
            <w:tcW w:w="1696" w:type="dxa"/>
          </w:tcPr>
          <w:p w:rsidR="00274914" w:rsidRPr="002F17B5" w:rsidRDefault="00274914" w:rsidP="00274914">
            <w:pPr>
              <w:jc w:val="right"/>
            </w:pPr>
            <w:r w:rsidRPr="002F17B5">
              <w:t>20.6</w:t>
            </w:r>
          </w:p>
        </w:tc>
      </w:tr>
      <w:tr w:rsidR="00274914" w:rsidRPr="002F17B5" w:rsidTr="00274914">
        <w:tc>
          <w:tcPr>
            <w:tcW w:w="5058" w:type="dxa"/>
          </w:tcPr>
          <w:p w:rsidR="00274914" w:rsidRPr="002F17B5" w:rsidRDefault="00274914" w:rsidP="00274914">
            <w:r w:rsidRPr="002F17B5">
              <w:t>Scheduled Bodies</w:t>
            </w:r>
          </w:p>
        </w:tc>
        <w:tc>
          <w:tcPr>
            <w:tcW w:w="1559" w:type="dxa"/>
          </w:tcPr>
          <w:p w:rsidR="00274914" w:rsidRPr="002F17B5" w:rsidRDefault="00274914" w:rsidP="00274914">
            <w:pPr>
              <w:jc w:val="right"/>
            </w:pPr>
            <w:r w:rsidRPr="002F17B5">
              <w:t>26.8</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26.3</w:t>
            </w:r>
          </w:p>
        </w:tc>
      </w:tr>
      <w:tr w:rsidR="00274914" w:rsidRPr="002F17B5" w:rsidTr="00274914">
        <w:tc>
          <w:tcPr>
            <w:tcW w:w="5058" w:type="dxa"/>
          </w:tcPr>
          <w:p w:rsidR="00274914" w:rsidRPr="002F17B5" w:rsidRDefault="00274914" w:rsidP="00274914">
            <w:r w:rsidRPr="002F17B5">
              <w:t>Admitted Bodies</w:t>
            </w:r>
          </w:p>
        </w:tc>
        <w:tc>
          <w:tcPr>
            <w:tcW w:w="1559" w:type="dxa"/>
            <w:tcBorders>
              <w:bottom w:val="single" w:sz="12" w:space="0" w:color="auto"/>
            </w:tcBorders>
          </w:tcPr>
          <w:p w:rsidR="00274914" w:rsidRPr="002F17B5" w:rsidRDefault="00274914" w:rsidP="00274914">
            <w:pPr>
              <w:jc w:val="right"/>
            </w:pPr>
            <w:r w:rsidRPr="002F17B5">
              <w:t>5.0</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bottom w:val="single" w:sz="12" w:space="0" w:color="auto"/>
            </w:tcBorders>
          </w:tcPr>
          <w:p w:rsidR="00274914" w:rsidRPr="002F17B5" w:rsidRDefault="00274914" w:rsidP="00274914">
            <w:pPr>
              <w:jc w:val="right"/>
            </w:pPr>
            <w:r w:rsidRPr="002F17B5">
              <w:t>4.8</w:t>
            </w:r>
          </w:p>
        </w:tc>
      </w:tr>
      <w:tr w:rsidR="00274914" w:rsidRPr="002F17B5" w:rsidTr="00274914">
        <w:tc>
          <w:tcPr>
            <w:tcW w:w="5058" w:type="dxa"/>
          </w:tcPr>
          <w:p w:rsidR="00274914" w:rsidRPr="002F17B5" w:rsidRDefault="00274914" w:rsidP="00274914"/>
        </w:tc>
        <w:tc>
          <w:tcPr>
            <w:tcW w:w="1559" w:type="dxa"/>
            <w:tcBorders>
              <w:top w:val="single" w:sz="12" w:space="0" w:color="auto"/>
              <w:bottom w:val="single" w:sz="18" w:space="0" w:color="auto"/>
            </w:tcBorders>
          </w:tcPr>
          <w:p w:rsidR="00274914" w:rsidRPr="002F17B5" w:rsidRDefault="00274914" w:rsidP="00274914">
            <w:pPr>
              <w:jc w:val="right"/>
            </w:pPr>
            <w:r w:rsidRPr="002F17B5">
              <w:t>54.0</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top w:val="single" w:sz="12" w:space="0" w:color="auto"/>
              <w:left w:val="single" w:sz="4" w:space="0" w:color="FFFFFF" w:themeColor="background1"/>
              <w:bottom w:val="single" w:sz="18" w:space="0" w:color="auto"/>
            </w:tcBorders>
          </w:tcPr>
          <w:p w:rsidR="00274914" w:rsidRPr="002F17B5" w:rsidRDefault="00274914" w:rsidP="00274914">
            <w:pPr>
              <w:jc w:val="right"/>
            </w:pPr>
            <w:r w:rsidRPr="002F17B5">
              <w:t>51.7</w:t>
            </w:r>
          </w:p>
        </w:tc>
      </w:tr>
      <w:tr w:rsidR="00274914" w:rsidRPr="002F17B5" w:rsidTr="00274914">
        <w:tc>
          <w:tcPr>
            <w:tcW w:w="5058" w:type="dxa"/>
          </w:tcPr>
          <w:p w:rsidR="00274914" w:rsidRPr="002F17B5" w:rsidRDefault="00274914" w:rsidP="00274914">
            <w:r w:rsidRPr="002F17B5">
              <w:t>Total contributions</w:t>
            </w:r>
          </w:p>
        </w:tc>
        <w:tc>
          <w:tcPr>
            <w:tcW w:w="1559" w:type="dxa"/>
            <w:tcBorders>
              <w:top w:val="single" w:sz="18" w:space="0" w:color="auto"/>
              <w:bottom w:val="single" w:sz="18" w:space="0" w:color="auto"/>
            </w:tcBorders>
          </w:tcPr>
          <w:p w:rsidR="00274914" w:rsidRPr="002F17B5" w:rsidRDefault="00274914" w:rsidP="00274914">
            <w:pPr>
              <w:jc w:val="right"/>
            </w:pPr>
            <w:r w:rsidRPr="002F17B5">
              <w:t>214.0</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274914">
            <w:pPr>
              <w:jc w:val="right"/>
            </w:pPr>
            <w:r w:rsidRPr="002F17B5">
              <w:t>202.7</w:t>
            </w:r>
          </w:p>
        </w:tc>
      </w:tr>
    </w:tbl>
    <w:p w:rsidR="00274914" w:rsidRPr="002F17B5" w:rsidRDefault="00274914" w:rsidP="00274914">
      <w:pPr>
        <w:ind w:left="720"/>
      </w:pPr>
    </w:p>
    <w:p w:rsidR="00274914" w:rsidRPr="002F17B5" w:rsidRDefault="00274914" w:rsidP="00274914">
      <w:pPr>
        <w:ind w:left="720"/>
      </w:pPr>
      <w:r w:rsidRPr="002F17B5">
        <w:t xml:space="preserve">Within the employee contributions figure for 2013/14, £0.4m is voluntary and additional regular contributions.  All employer contributions are normal contributions.  </w:t>
      </w:r>
    </w:p>
    <w:p w:rsidR="00274914" w:rsidRPr="002F17B5" w:rsidRDefault="00274914" w:rsidP="00274914">
      <w:pPr>
        <w:ind w:left="720"/>
        <w:rPr>
          <w:b/>
        </w:rPr>
      </w:pPr>
    </w:p>
    <w:p w:rsidR="00274914" w:rsidRPr="002F17B5" w:rsidRDefault="00274914" w:rsidP="00274914">
      <w:pPr>
        <w:rPr>
          <w:b/>
        </w:rPr>
      </w:pPr>
    </w:p>
    <w:p w:rsidR="00274914" w:rsidRPr="002F17B5" w:rsidRDefault="00274914" w:rsidP="009A4C35">
      <w:pPr>
        <w:pStyle w:val="ListParagraph"/>
        <w:numPr>
          <w:ilvl w:val="0"/>
          <w:numId w:val="75"/>
        </w:numPr>
        <w:autoSpaceDE/>
        <w:autoSpaceDN/>
        <w:adjustRightInd/>
        <w:spacing w:before="0" w:after="0"/>
        <w:jc w:val="left"/>
        <w:rPr>
          <w:b/>
        </w:rPr>
      </w:pPr>
      <w:r w:rsidRPr="002F17B5">
        <w:rPr>
          <w:b/>
        </w:rPr>
        <w:t>Transfers in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274914">
            <w:pPr>
              <w:rPr>
                <w:b/>
              </w:rPr>
            </w:pPr>
          </w:p>
        </w:tc>
        <w:tc>
          <w:tcPr>
            <w:tcW w:w="1559" w:type="dxa"/>
          </w:tcPr>
          <w:p w:rsidR="00274914" w:rsidRPr="002F17B5" w:rsidRDefault="00274914" w:rsidP="00274914">
            <w:pPr>
              <w:jc w:val="right"/>
              <w:rPr>
                <w:b/>
              </w:rPr>
            </w:pPr>
            <w:r w:rsidRPr="002F17B5">
              <w:rPr>
                <w:b/>
              </w:rPr>
              <w:t>2013/14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696" w:type="dxa"/>
            <w:tcBorders>
              <w:left w:val="single" w:sz="4" w:space="0" w:color="FFFFFF" w:themeColor="background1"/>
            </w:tcBorders>
          </w:tcPr>
          <w:p w:rsidR="00274914" w:rsidRPr="002F17B5" w:rsidRDefault="00274914" w:rsidP="00274914">
            <w:pPr>
              <w:jc w:val="right"/>
              <w:rPr>
                <w:b/>
              </w:rPr>
            </w:pPr>
            <w:r w:rsidRPr="002F17B5">
              <w:rPr>
                <w:b/>
              </w:rPr>
              <w:t>2012/13</w:t>
            </w:r>
          </w:p>
          <w:p w:rsidR="00274914" w:rsidRPr="002F17B5" w:rsidRDefault="00274914" w:rsidP="00274914">
            <w:pPr>
              <w:jc w:val="right"/>
              <w:rPr>
                <w:b/>
              </w:rPr>
            </w:pPr>
            <w:r w:rsidRPr="002F17B5">
              <w:rPr>
                <w:b/>
              </w:rPr>
              <w:t>£m</w:t>
            </w:r>
          </w:p>
        </w:tc>
      </w:tr>
      <w:tr w:rsidR="00274914" w:rsidRPr="002F17B5" w:rsidTr="00274914">
        <w:tc>
          <w:tcPr>
            <w:tcW w:w="5058" w:type="dxa"/>
          </w:tcPr>
          <w:p w:rsidR="00274914" w:rsidRPr="002F17B5" w:rsidRDefault="00274914" w:rsidP="00274914">
            <w:r w:rsidRPr="002F17B5">
              <w:t>Individual transfers in from other schemes</w:t>
            </w:r>
          </w:p>
        </w:tc>
        <w:tc>
          <w:tcPr>
            <w:tcW w:w="1559" w:type="dxa"/>
          </w:tcPr>
          <w:p w:rsidR="00274914" w:rsidRPr="002F17B5" w:rsidRDefault="00274914" w:rsidP="00274914">
            <w:pPr>
              <w:jc w:val="right"/>
            </w:pPr>
            <w:r w:rsidRPr="002F17B5">
              <w:t>7.1</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9.9</w:t>
            </w:r>
          </w:p>
        </w:tc>
      </w:tr>
      <w:tr w:rsidR="00274914" w:rsidRPr="002F17B5" w:rsidTr="00274914">
        <w:tc>
          <w:tcPr>
            <w:tcW w:w="5058" w:type="dxa"/>
          </w:tcPr>
          <w:p w:rsidR="00274914" w:rsidRPr="002F17B5" w:rsidRDefault="00274914" w:rsidP="00274914"/>
        </w:tc>
        <w:tc>
          <w:tcPr>
            <w:tcW w:w="1559" w:type="dxa"/>
            <w:tcBorders>
              <w:top w:val="single" w:sz="18" w:space="0" w:color="auto"/>
              <w:bottom w:val="single" w:sz="18" w:space="0" w:color="auto"/>
            </w:tcBorders>
          </w:tcPr>
          <w:p w:rsidR="00274914" w:rsidRPr="002F17B5" w:rsidRDefault="00274914" w:rsidP="00274914">
            <w:pPr>
              <w:jc w:val="right"/>
            </w:pPr>
            <w:r w:rsidRPr="002F17B5">
              <w:t>7.1</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274914">
            <w:pPr>
              <w:jc w:val="right"/>
            </w:pPr>
            <w:r w:rsidRPr="002F17B5">
              <w:t>9.9</w:t>
            </w:r>
          </w:p>
        </w:tc>
      </w:tr>
    </w:tbl>
    <w:p w:rsidR="00274914" w:rsidRPr="002F17B5" w:rsidRDefault="00274914" w:rsidP="00274914">
      <w:pPr>
        <w:pStyle w:val="BodyTextIndent"/>
        <w:tabs>
          <w:tab w:val="left" w:pos="709"/>
        </w:tabs>
        <w:spacing w:after="0"/>
        <w:ind w:left="709"/>
        <w:rPr>
          <w:szCs w:val="24"/>
        </w:rPr>
      </w:pPr>
      <w:r w:rsidRPr="002F17B5">
        <w:rPr>
          <w:szCs w:val="24"/>
        </w:rPr>
        <w:t xml:space="preserve"> </w:t>
      </w:r>
    </w:p>
    <w:p w:rsidR="00274914" w:rsidRPr="002F17B5" w:rsidRDefault="00274914" w:rsidP="009A4C35">
      <w:pPr>
        <w:numPr>
          <w:ilvl w:val="0"/>
          <w:numId w:val="75"/>
        </w:numPr>
        <w:autoSpaceDE/>
        <w:autoSpaceDN/>
        <w:adjustRightInd/>
        <w:spacing w:before="0" w:after="0"/>
        <w:jc w:val="left"/>
      </w:pPr>
      <w:r w:rsidRPr="002F17B5">
        <w:rPr>
          <w:b/>
        </w:rPr>
        <w:lastRenderedPageBreak/>
        <w:t>Benefits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274914">
            <w:pPr>
              <w:rPr>
                <w:b/>
              </w:rPr>
            </w:pPr>
          </w:p>
        </w:tc>
        <w:tc>
          <w:tcPr>
            <w:tcW w:w="1559" w:type="dxa"/>
          </w:tcPr>
          <w:p w:rsidR="00274914" w:rsidRPr="002F17B5" w:rsidRDefault="00274914" w:rsidP="00274914">
            <w:pPr>
              <w:jc w:val="right"/>
              <w:rPr>
                <w:b/>
              </w:rPr>
            </w:pPr>
            <w:r w:rsidRPr="002F17B5">
              <w:rPr>
                <w:b/>
              </w:rPr>
              <w:t>2013/14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696" w:type="dxa"/>
            <w:tcBorders>
              <w:left w:val="single" w:sz="4" w:space="0" w:color="FFFFFF" w:themeColor="background1"/>
            </w:tcBorders>
          </w:tcPr>
          <w:p w:rsidR="00274914" w:rsidRPr="002F17B5" w:rsidRDefault="00274914" w:rsidP="00274914">
            <w:pPr>
              <w:jc w:val="right"/>
              <w:rPr>
                <w:b/>
              </w:rPr>
            </w:pPr>
            <w:r w:rsidRPr="002F17B5">
              <w:rPr>
                <w:b/>
              </w:rPr>
              <w:t>2012/13</w:t>
            </w:r>
          </w:p>
          <w:p w:rsidR="00274914" w:rsidRPr="002F17B5" w:rsidRDefault="00274914" w:rsidP="00274914">
            <w:pPr>
              <w:jc w:val="right"/>
              <w:rPr>
                <w:b/>
              </w:rPr>
            </w:pPr>
            <w:r w:rsidRPr="002F17B5">
              <w:rPr>
                <w:b/>
              </w:rPr>
              <w:t>£m</w:t>
            </w:r>
          </w:p>
        </w:tc>
      </w:tr>
      <w:tr w:rsidR="00274914" w:rsidRPr="002F17B5" w:rsidTr="00274914">
        <w:tc>
          <w:tcPr>
            <w:tcW w:w="5058" w:type="dxa"/>
          </w:tcPr>
          <w:p w:rsidR="00274914" w:rsidRPr="002F17B5" w:rsidRDefault="00274914" w:rsidP="00274914">
            <w:r w:rsidRPr="002F17B5">
              <w:t>Pensions</w:t>
            </w:r>
          </w:p>
        </w:tc>
        <w:tc>
          <w:tcPr>
            <w:tcW w:w="1559" w:type="dxa"/>
          </w:tcPr>
          <w:p w:rsidR="00274914" w:rsidRPr="002F17B5" w:rsidRDefault="00274914" w:rsidP="00274914">
            <w:pPr>
              <w:jc w:val="right"/>
            </w:pPr>
            <w:r w:rsidRPr="002F17B5">
              <w:t>183.9</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176.5</w:t>
            </w:r>
          </w:p>
        </w:tc>
      </w:tr>
      <w:tr w:rsidR="00274914" w:rsidRPr="002F17B5" w:rsidTr="00274914">
        <w:tc>
          <w:tcPr>
            <w:tcW w:w="5058" w:type="dxa"/>
          </w:tcPr>
          <w:p w:rsidR="00274914" w:rsidRPr="002F17B5" w:rsidRDefault="00274914" w:rsidP="00274914">
            <w:r w:rsidRPr="002F17B5">
              <w:t>Lump sum retirement benefits</w:t>
            </w:r>
          </w:p>
        </w:tc>
        <w:tc>
          <w:tcPr>
            <w:tcW w:w="1559" w:type="dxa"/>
          </w:tcPr>
          <w:p w:rsidR="00274914" w:rsidRPr="002F17B5" w:rsidRDefault="00274914" w:rsidP="00274914">
            <w:pPr>
              <w:jc w:val="right"/>
            </w:pPr>
            <w:r w:rsidRPr="002F17B5">
              <w:t>33.2</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28.3</w:t>
            </w:r>
          </w:p>
        </w:tc>
      </w:tr>
      <w:tr w:rsidR="00274914" w:rsidRPr="002F17B5" w:rsidTr="00274914">
        <w:tc>
          <w:tcPr>
            <w:tcW w:w="5058" w:type="dxa"/>
          </w:tcPr>
          <w:p w:rsidR="00274914" w:rsidRPr="002F17B5" w:rsidRDefault="00274914" w:rsidP="00274914">
            <w:r w:rsidRPr="002F17B5">
              <w:t>Lump Sum death benefits</w:t>
            </w:r>
          </w:p>
        </w:tc>
        <w:tc>
          <w:tcPr>
            <w:tcW w:w="1559" w:type="dxa"/>
            <w:tcBorders>
              <w:bottom w:val="single" w:sz="18" w:space="0" w:color="auto"/>
            </w:tcBorders>
          </w:tcPr>
          <w:p w:rsidR="00274914" w:rsidRPr="002F17B5" w:rsidRDefault="00274914" w:rsidP="00274914">
            <w:pPr>
              <w:jc w:val="right"/>
            </w:pPr>
            <w:r w:rsidRPr="002F17B5">
              <w:t>4.0</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bottom w:val="single" w:sz="18" w:space="0" w:color="auto"/>
            </w:tcBorders>
          </w:tcPr>
          <w:p w:rsidR="00274914" w:rsidRPr="002F17B5" w:rsidRDefault="00274914" w:rsidP="00274914">
            <w:pPr>
              <w:jc w:val="right"/>
            </w:pPr>
            <w:r w:rsidRPr="002F17B5">
              <w:t>5.4</w:t>
            </w:r>
          </w:p>
        </w:tc>
      </w:tr>
      <w:tr w:rsidR="00274914" w:rsidRPr="002F17B5" w:rsidTr="00274914">
        <w:tc>
          <w:tcPr>
            <w:tcW w:w="5058" w:type="dxa"/>
          </w:tcPr>
          <w:p w:rsidR="00274914" w:rsidRPr="002F17B5" w:rsidRDefault="00274914" w:rsidP="00274914"/>
        </w:tc>
        <w:tc>
          <w:tcPr>
            <w:tcW w:w="1559" w:type="dxa"/>
            <w:tcBorders>
              <w:top w:val="single" w:sz="18" w:space="0" w:color="auto"/>
              <w:bottom w:val="single" w:sz="18" w:space="0" w:color="auto"/>
            </w:tcBorders>
          </w:tcPr>
          <w:p w:rsidR="00274914" w:rsidRPr="002F17B5" w:rsidRDefault="00274914" w:rsidP="00274914">
            <w:pPr>
              <w:jc w:val="right"/>
            </w:pPr>
            <w:r w:rsidRPr="002F17B5">
              <w:t>221.1</w:t>
            </w:r>
          </w:p>
        </w:tc>
        <w:tc>
          <w:tcPr>
            <w:tcW w:w="430" w:type="dxa"/>
          </w:tcPr>
          <w:p w:rsidR="00274914" w:rsidRPr="002F17B5" w:rsidRDefault="00274914" w:rsidP="00274914">
            <w:pPr>
              <w:jc w:val="right"/>
            </w:pPr>
          </w:p>
        </w:tc>
        <w:tc>
          <w:tcPr>
            <w:tcW w:w="1696" w:type="dxa"/>
            <w:tcBorders>
              <w:top w:val="single" w:sz="18" w:space="0" w:color="auto"/>
              <w:bottom w:val="single" w:sz="18" w:space="0" w:color="auto"/>
            </w:tcBorders>
          </w:tcPr>
          <w:p w:rsidR="00274914" w:rsidRPr="002F17B5" w:rsidRDefault="00274914" w:rsidP="00274914">
            <w:pPr>
              <w:jc w:val="right"/>
            </w:pPr>
            <w:r w:rsidRPr="002F17B5">
              <w:t>210.2</w:t>
            </w:r>
          </w:p>
        </w:tc>
      </w:tr>
      <w:tr w:rsidR="00274914" w:rsidRPr="002F17B5" w:rsidTr="00274914">
        <w:tc>
          <w:tcPr>
            <w:tcW w:w="5058" w:type="dxa"/>
          </w:tcPr>
          <w:p w:rsidR="00274914" w:rsidRPr="002F17B5" w:rsidRDefault="00274914" w:rsidP="00274914"/>
        </w:tc>
        <w:tc>
          <w:tcPr>
            <w:tcW w:w="1559" w:type="dxa"/>
            <w:tcBorders>
              <w:top w:val="single" w:sz="18" w:space="0" w:color="auto"/>
            </w:tcBorders>
          </w:tcPr>
          <w:p w:rsidR="00274914" w:rsidRPr="002F17B5" w:rsidRDefault="00274914" w:rsidP="00274914">
            <w:pPr>
              <w:jc w:val="right"/>
            </w:pPr>
          </w:p>
        </w:tc>
        <w:tc>
          <w:tcPr>
            <w:tcW w:w="430" w:type="dxa"/>
          </w:tcPr>
          <w:p w:rsidR="00274914" w:rsidRPr="002F17B5" w:rsidRDefault="00274914" w:rsidP="00274914">
            <w:pPr>
              <w:jc w:val="right"/>
            </w:pPr>
          </w:p>
        </w:tc>
        <w:tc>
          <w:tcPr>
            <w:tcW w:w="1696" w:type="dxa"/>
            <w:tcBorders>
              <w:top w:val="single" w:sz="18" w:space="0" w:color="auto"/>
            </w:tcBorders>
          </w:tcPr>
          <w:p w:rsidR="00274914" w:rsidRPr="002F17B5" w:rsidRDefault="00274914" w:rsidP="00274914">
            <w:pPr>
              <w:jc w:val="right"/>
            </w:pPr>
          </w:p>
        </w:tc>
      </w:tr>
      <w:tr w:rsidR="00274914" w:rsidRPr="002F17B5" w:rsidTr="00274914">
        <w:tc>
          <w:tcPr>
            <w:tcW w:w="5058" w:type="dxa"/>
          </w:tcPr>
          <w:p w:rsidR="00274914" w:rsidRPr="002F17B5" w:rsidRDefault="00274914" w:rsidP="00274914">
            <w:pPr>
              <w:rPr>
                <w:b/>
              </w:rPr>
            </w:pPr>
            <w:r w:rsidRPr="002F17B5">
              <w:rPr>
                <w:b/>
              </w:rPr>
              <w:t>Relating to:</w:t>
            </w:r>
          </w:p>
        </w:tc>
        <w:tc>
          <w:tcPr>
            <w:tcW w:w="1559" w:type="dxa"/>
          </w:tcPr>
          <w:p w:rsidR="00274914" w:rsidRPr="002F17B5" w:rsidRDefault="00274914" w:rsidP="00274914">
            <w:pPr>
              <w:jc w:val="right"/>
              <w:rPr>
                <w:b/>
              </w:rPr>
            </w:pPr>
          </w:p>
        </w:tc>
        <w:tc>
          <w:tcPr>
            <w:tcW w:w="430" w:type="dxa"/>
          </w:tcPr>
          <w:p w:rsidR="00274914" w:rsidRPr="002F17B5" w:rsidRDefault="00274914" w:rsidP="00274914">
            <w:pPr>
              <w:jc w:val="right"/>
              <w:rPr>
                <w:b/>
              </w:rPr>
            </w:pPr>
          </w:p>
        </w:tc>
        <w:tc>
          <w:tcPr>
            <w:tcW w:w="1696" w:type="dxa"/>
          </w:tcPr>
          <w:p w:rsidR="00274914" w:rsidRPr="002F17B5" w:rsidRDefault="00274914" w:rsidP="00274914">
            <w:pPr>
              <w:jc w:val="right"/>
              <w:rPr>
                <w:b/>
              </w:rPr>
            </w:pPr>
          </w:p>
        </w:tc>
      </w:tr>
      <w:tr w:rsidR="00274914" w:rsidRPr="002F17B5" w:rsidTr="00274914">
        <w:tc>
          <w:tcPr>
            <w:tcW w:w="5058" w:type="dxa"/>
          </w:tcPr>
          <w:p w:rsidR="00274914" w:rsidRPr="002F17B5" w:rsidRDefault="00274914" w:rsidP="00274914">
            <w:r w:rsidRPr="002F17B5">
              <w:t>County Council</w:t>
            </w:r>
          </w:p>
        </w:tc>
        <w:tc>
          <w:tcPr>
            <w:tcW w:w="1559" w:type="dxa"/>
          </w:tcPr>
          <w:p w:rsidR="00274914" w:rsidRPr="002F17B5" w:rsidRDefault="00274914" w:rsidP="00274914">
            <w:pPr>
              <w:jc w:val="right"/>
            </w:pPr>
            <w:r w:rsidRPr="002F17B5">
              <w:t>93.4</w:t>
            </w:r>
          </w:p>
        </w:tc>
        <w:tc>
          <w:tcPr>
            <w:tcW w:w="430" w:type="dxa"/>
          </w:tcPr>
          <w:p w:rsidR="00274914" w:rsidRPr="002F17B5" w:rsidRDefault="00274914" w:rsidP="00274914">
            <w:pPr>
              <w:jc w:val="right"/>
            </w:pPr>
          </w:p>
        </w:tc>
        <w:tc>
          <w:tcPr>
            <w:tcW w:w="1696" w:type="dxa"/>
          </w:tcPr>
          <w:p w:rsidR="00274914" w:rsidRPr="002F17B5" w:rsidRDefault="00274914" w:rsidP="00274914">
            <w:pPr>
              <w:jc w:val="right"/>
            </w:pPr>
            <w:r w:rsidRPr="002F17B5">
              <w:t>91.4</w:t>
            </w:r>
          </w:p>
        </w:tc>
      </w:tr>
      <w:tr w:rsidR="00274914" w:rsidRPr="002F17B5" w:rsidTr="00274914">
        <w:tc>
          <w:tcPr>
            <w:tcW w:w="5058" w:type="dxa"/>
          </w:tcPr>
          <w:p w:rsidR="00274914" w:rsidRPr="002F17B5" w:rsidRDefault="00274914" w:rsidP="00274914">
            <w:r w:rsidRPr="002F17B5">
              <w:t>Scheduled Bodies</w:t>
            </w:r>
          </w:p>
        </w:tc>
        <w:tc>
          <w:tcPr>
            <w:tcW w:w="1559" w:type="dxa"/>
          </w:tcPr>
          <w:p w:rsidR="00274914" w:rsidRPr="002F17B5" w:rsidRDefault="00274914" w:rsidP="00274914">
            <w:pPr>
              <w:jc w:val="right"/>
            </w:pPr>
            <w:r w:rsidRPr="002F17B5">
              <w:t>112.9</w:t>
            </w:r>
          </w:p>
        </w:tc>
        <w:tc>
          <w:tcPr>
            <w:tcW w:w="430" w:type="dxa"/>
          </w:tcPr>
          <w:p w:rsidR="00274914" w:rsidRPr="002F17B5" w:rsidRDefault="00274914" w:rsidP="00274914">
            <w:pPr>
              <w:jc w:val="right"/>
            </w:pPr>
          </w:p>
        </w:tc>
        <w:tc>
          <w:tcPr>
            <w:tcW w:w="1696" w:type="dxa"/>
          </w:tcPr>
          <w:p w:rsidR="00274914" w:rsidRPr="002F17B5" w:rsidRDefault="00274914" w:rsidP="00274914">
            <w:pPr>
              <w:jc w:val="right"/>
            </w:pPr>
            <w:r w:rsidRPr="002F17B5">
              <w:t>105.7</w:t>
            </w:r>
          </w:p>
        </w:tc>
      </w:tr>
      <w:tr w:rsidR="00274914" w:rsidRPr="002F17B5" w:rsidTr="00274914">
        <w:tc>
          <w:tcPr>
            <w:tcW w:w="5058" w:type="dxa"/>
          </w:tcPr>
          <w:p w:rsidR="00274914" w:rsidRPr="002F17B5" w:rsidRDefault="00274914" w:rsidP="00274914">
            <w:r w:rsidRPr="002F17B5">
              <w:t>Admitted Bodies</w:t>
            </w:r>
          </w:p>
        </w:tc>
        <w:tc>
          <w:tcPr>
            <w:tcW w:w="1559" w:type="dxa"/>
            <w:tcBorders>
              <w:bottom w:val="single" w:sz="18" w:space="0" w:color="auto"/>
            </w:tcBorders>
          </w:tcPr>
          <w:p w:rsidR="00274914" w:rsidRPr="002F17B5" w:rsidRDefault="00274914" w:rsidP="00274914">
            <w:pPr>
              <w:jc w:val="right"/>
            </w:pPr>
            <w:r w:rsidRPr="002F17B5">
              <w:t>14.8</w:t>
            </w:r>
          </w:p>
        </w:tc>
        <w:tc>
          <w:tcPr>
            <w:tcW w:w="430" w:type="dxa"/>
          </w:tcPr>
          <w:p w:rsidR="00274914" w:rsidRPr="002F17B5" w:rsidRDefault="00274914" w:rsidP="00274914">
            <w:pPr>
              <w:jc w:val="right"/>
            </w:pPr>
          </w:p>
        </w:tc>
        <w:tc>
          <w:tcPr>
            <w:tcW w:w="1696" w:type="dxa"/>
            <w:tcBorders>
              <w:bottom w:val="single" w:sz="18" w:space="0" w:color="auto"/>
            </w:tcBorders>
          </w:tcPr>
          <w:p w:rsidR="00274914" w:rsidRPr="002F17B5" w:rsidRDefault="00274914" w:rsidP="00274914">
            <w:pPr>
              <w:jc w:val="right"/>
            </w:pPr>
            <w:r w:rsidRPr="002F17B5">
              <w:t>13.1</w:t>
            </w:r>
          </w:p>
        </w:tc>
      </w:tr>
      <w:tr w:rsidR="00274914" w:rsidRPr="002F17B5" w:rsidTr="00274914">
        <w:tc>
          <w:tcPr>
            <w:tcW w:w="5058" w:type="dxa"/>
          </w:tcPr>
          <w:p w:rsidR="00274914" w:rsidRPr="002F17B5" w:rsidRDefault="00274914" w:rsidP="00274914"/>
        </w:tc>
        <w:tc>
          <w:tcPr>
            <w:tcW w:w="1559" w:type="dxa"/>
            <w:tcBorders>
              <w:top w:val="single" w:sz="18" w:space="0" w:color="auto"/>
              <w:bottom w:val="single" w:sz="18" w:space="0" w:color="auto"/>
            </w:tcBorders>
          </w:tcPr>
          <w:p w:rsidR="00274914" w:rsidRPr="002F17B5" w:rsidRDefault="00274914" w:rsidP="00274914">
            <w:pPr>
              <w:jc w:val="right"/>
            </w:pPr>
            <w:r w:rsidRPr="002F17B5">
              <w:t>221.1</w:t>
            </w:r>
          </w:p>
        </w:tc>
        <w:tc>
          <w:tcPr>
            <w:tcW w:w="430" w:type="dxa"/>
          </w:tcPr>
          <w:p w:rsidR="00274914" w:rsidRPr="002F17B5" w:rsidRDefault="00274914" w:rsidP="00274914">
            <w:pPr>
              <w:jc w:val="right"/>
            </w:pPr>
          </w:p>
        </w:tc>
        <w:tc>
          <w:tcPr>
            <w:tcW w:w="1696" w:type="dxa"/>
            <w:tcBorders>
              <w:top w:val="single" w:sz="18" w:space="0" w:color="auto"/>
              <w:bottom w:val="single" w:sz="18" w:space="0" w:color="auto"/>
            </w:tcBorders>
          </w:tcPr>
          <w:p w:rsidR="00274914" w:rsidRPr="002F17B5" w:rsidRDefault="00274914" w:rsidP="00274914">
            <w:pPr>
              <w:jc w:val="right"/>
            </w:pPr>
            <w:r w:rsidRPr="002F17B5">
              <w:t>210.2</w:t>
            </w:r>
          </w:p>
        </w:tc>
      </w:tr>
    </w:tbl>
    <w:p w:rsidR="00274914" w:rsidRPr="002F17B5" w:rsidRDefault="00274914" w:rsidP="00274914"/>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274914" w:rsidRPr="002F17B5" w:rsidTr="00274914">
        <w:tc>
          <w:tcPr>
            <w:tcW w:w="3320" w:type="dxa"/>
          </w:tcPr>
          <w:p w:rsidR="00274914" w:rsidRPr="002F17B5" w:rsidRDefault="00274914" w:rsidP="00274914">
            <w:pPr>
              <w:rPr>
                <w:b/>
              </w:rPr>
            </w:pPr>
          </w:p>
          <w:p w:rsidR="00274914" w:rsidRPr="002F17B5" w:rsidRDefault="00274914" w:rsidP="00274914">
            <w:pPr>
              <w:rPr>
                <w:b/>
                <w:sz w:val="12"/>
              </w:rPr>
            </w:pPr>
          </w:p>
        </w:tc>
        <w:tc>
          <w:tcPr>
            <w:tcW w:w="3321" w:type="dxa"/>
          </w:tcPr>
          <w:p w:rsidR="00274914" w:rsidRPr="002F17B5" w:rsidRDefault="00274914" w:rsidP="00274914">
            <w:pPr>
              <w:jc w:val="right"/>
              <w:rPr>
                <w:b/>
              </w:rPr>
            </w:pPr>
          </w:p>
        </w:tc>
        <w:tc>
          <w:tcPr>
            <w:tcW w:w="3321" w:type="dxa"/>
          </w:tcPr>
          <w:p w:rsidR="00274914" w:rsidRPr="002F17B5" w:rsidRDefault="00274914" w:rsidP="00274914">
            <w:pPr>
              <w:ind w:left="1340"/>
              <w:rPr>
                <w:b/>
              </w:rPr>
            </w:pPr>
          </w:p>
        </w:tc>
      </w:tr>
    </w:tbl>
    <w:p w:rsidR="00274914" w:rsidRPr="002F17B5" w:rsidRDefault="00274914" w:rsidP="009A4C35">
      <w:pPr>
        <w:numPr>
          <w:ilvl w:val="0"/>
          <w:numId w:val="75"/>
        </w:numPr>
        <w:autoSpaceDE/>
        <w:autoSpaceDN/>
        <w:adjustRightInd/>
        <w:spacing w:before="0" w:after="0"/>
        <w:jc w:val="left"/>
        <w:rPr>
          <w:b/>
        </w:rPr>
      </w:pPr>
      <w:r w:rsidRPr="002F17B5">
        <w:rPr>
          <w:b/>
        </w:rPr>
        <w:t>Payments to and on account of leavers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CA5AC4">
        <w:trPr>
          <w:trHeight w:val="719"/>
        </w:trPr>
        <w:tc>
          <w:tcPr>
            <w:tcW w:w="5058" w:type="dxa"/>
          </w:tcPr>
          <w:p w:rsidR="00274914" w:rsidRPr="002F17B5" w:rsidRDefault="00274914" w:rsidP="00274914">
            <w:pPr>
              <w:rPr>
                <w:b/>
              </w:rPr>
            </w:pPr>
          </w:p>
        </w:tc>
        <w:tc>
          <w:tcPr>
            <w:tcW w:w="1559" w:type="dxa"/>
          </w:tcPr>
          <w:p w:rsidR="00274914" w:rsidRPr="002F17B5" w:rsidRDefault="00274914" w:rsidP="00274914">
            <w:pPr>
              <w:jc w:val="right"/>
              <w:rPr>
                <w:b/>
              </w:rPr>
            </w:pPr>
            <w:r w:rsidRPr="002F17B5">
              <w:rPr>
                <w:b/>
              </w:rPr>
              <w:t>2013/14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696" w:type="dxa"/>
            <w:tcBorders>
              <w:left w:val="single" w:sz="4" w:space="0" w:color="FFFFFF" w:themeColor="background1"/>
            </w:tcBorders>
          </w:tcPr>
          <w:p w:rsidR="00274914" w:rsidRPr="002F17B5" w:rsidRDefault="00274914" w:rsidP="00274914">
            <w:pPr>
              <w:jc w:val="right"/>
              <w:rPr>
                <w:b/>
              </w:rPr>
            </w:pPr>
            <w:r w:rsidRPr="002F17B5">
              <w:rPr>
                <w:b/>
              </w:rPr>
              <w:t>2012/13</w:t>
            </w:r>
          </w:p>
          <w:p w:rsidR="00274914" w:rsidRPr="002F17B5" w:rsidRDefault="00274914" w:rsidP="00274914">
            <w:pPr>
              <w:jc w:val="right"/>
              <w:rPr>
                <w:b/>
              </w:rPr>
            </w:pPr>
            <w:r w:rsidRPr="002F17B5">
              <w:rPr>
                <w:b/>
              </w:rPr>
              <w:t>£m</w:t>
            </w:r>
          </w:p>
        </w:tc>
      </w:tr>
      <w:tr w:rsidR="00274914" w:rsidRPr="002F17B5" w:rsidTr="00CA5AC4">
        <w:trPr>
          <w:trHeight w:val="373"/>
        </w:trPr>
        <w:tc>
          <w:tcPr>
            <w:tcW w:w="5058" w:type="dxa"/>
          </w:tcPr>
          <w:p w:rsidR="00274914" w:rsidRPr="002F17B5" w:rsidRDefault="00274914" w:rsidP="00274914">
            <w:r w:rsidRPr="002F17B5">
              <w:t>Individual transfers to other schemes</w:t>
            </w:r>
          </w:p>
        </w:tc>
        <w:tc>
          <w:tcPr>
            <w:tcW w:w="1559" w:type="dxa"/>
            <w:vMerge w:val="restart"/>
          </w:tcPr>
          <w:p w:rsidR="00274914" w:rsidRPr="002F17B5" w:rsidRDefault="00274914" w:rsidP="00274914">
            <w:pPr>
              <w:jc w:val="right"/>
            </w:pPr>
            <w:r w:rsidRPr="002F17B5">
              <w:t>12.9</w:t>
            </w:r>
          </w:p>
          <w:p w:rsidR="00274914" w:rsidRPr="002F17B5" w:rsidRDefault="00274914" w:rsidP="00274914">
            <w:pPr>
              <w:jc w:val="right"/>
            </w:pPr>
            <w:r w:rsidRPr="002F17B5">
              <w:t>2.4</w:t>
            </w:r>
          </w:p>
        </w:tc>
        <w:tc>
          <w:tcPr>
            <w:tcW w:w="430" w:type="dxa"/>
            <w:tcBorders>
              <w:right w:val="single" w:sz="4" w:space="0" w:color="FFFFFF" w:themeColor="background1"/>
            </w:tcBorders>
          </w:tcPr>
          <w:p w:rsidR="00274914" w:rsidRPr="002F17B5" w:rsidRDefault="00274914" w:rsidP="00274914">
            <w:pPr>
              <w:jc w:val="right"/>
            </w:pPr>
          </w:p>
        </w:tc>
        <w:tc>
          <w:tcPr>
            <w:tcW w:w="1696" w:type="dxa"/>
            <w:vMerge w:val="restart"/>
            <w:tcBorders>
              <w:left w:val="single" w:sz="4" w:space="0" w:color="FFFFFF" w:themeColor="background1"/>
            </w:tcBorders>
          </w:tcPr>
          <w:p w:rsidR="00274914" w:rsidRPr="002F17B5" w:rsidRDefault="00274914" w:rsidP="00274914">
            <w:pPr>
              <w:jc w:val="right"/>
            </w:pPr>
            <w:r w:rsidRPr="002F17B5">
              <w:t>12.6</w:t>
            </w:r>
          </w:p>
          <w:p w:rsidR="00274914" w:rsidRPr="002F17B5" w:rsidRDefault="00274914" w:rsidP="00274914">
            <w:pPr>
              <w:jc w:val="right"/>
            </w:pPr>
            <w:r w:rsidRPr="002F17B5">
              <w:t>0</w:t>
            </w:r>
          </w:p>
        </w:tc>
      </w:tr>
      <w:tr w:rsidR="00274914" w:rsidRPr="002F17B5" w:rsidTr="00CA5AC4">
        <w:trPr>
          <w:trHeight w:val="359"/>
        </w:trPr>
        <w:tc>
          <w:tcPr>
            <w:tcW w:w="5058" w:type="dxa"/>
          </w:tcPr>
          <w:p w:rsidR="00274914" w:rsidRPr="002F17B5" w:rsidRDefault="00274914" w:rsidP="00274914">
            <w:r w:rsidRPr="002F17B5">
              <w:t>Bulk transfers to other schemes</w:t>
            </w:r>
          </w:p>
        </w:tc>
        <w:tc>
          <w:tcPr>
            <w:tcW w:w="1559" w:type="dxa"/>
            <w:vMerge/>
            <w:tcBorders>
              <w:bottom w:val="single" w:sz="18" w:space="0" w:color="auto"/>
            </w:tcBorders>
          </w:tcPr>
          <w:p w:rsidR="00274914" w:rsidRPr="002F17B5" w:rsidRDefault="00274914" w:rsidP="00274914">
            <w:pPr>
              <w:jc w:val="right"/>
            </w:pPr>
          </w:p>
        </w:tc>
        <w:tc>
          <w:tcPr>
            <w:tcW w:w="430" w:type="dxa"/>
            <w:tcBorders>
              <w:right w:val="single" w:sz="4" w:space="0" w:color="FFFFFF" w:themeColor="background1"/>
            </w:tcBorders>
          </w:tcPr>
          <w:p w:rsidR="00274914" w:rsidRPr="002F17B5" w:rsidRDefault="00274914" w:rsidP="00274914">
            <w:pPr>
              <w:jc w:val="right"/>
            </w:pPr>
          </w:p>
        </w:tc>
        <w:tc>
          <w:tcPr>
            <w:tcW w:w="1696" w:type="dxa"/>
            <w:vMerge/>
            <w:tcBorders>
              <w:left w:val="single" w:sz="4" w:space="0" w:color="FFFFFF" w:themeColor="background1"/>
              <w:bottom w:val="single" w:sz="18" w:space="0" w:color="auto"/>
            </w:tcBorders>
          </w:tcPr>
          <w:p w:rsidR="00274914" w:rsidRPr="002F17B5" w:rsidRDefault="00274914" w:rsidP="00274914">
            <w:pPr>
              <w:jc w:val="right"/>
            </w:pPr>
          </w:p>
        </w:tc>
      </w:tr>
      <w:tr w:rsidR="00CA5AC4" w:rsidRPr="002F17B5" w:rsidTr="00CA5AC4">
        <w:trPr>
          <w:trHeight w:val="330"/>
        </w:trPr>
        <w:tc>
          <w:tcPr>
            <w:tcW w:w="5058" w:type="dxa"/>
            <w:vMerge w:val="restart"/>
          </w:tcPr>
          <w:p w:rsidR="00CA5AC4" w:rsidRDefault="00CA5AC4" w:rsidP="00274914"/>
          <w:p w:rsidR="00CA5AC4" w:rsidRPr="002F17B5" w:rsidRDefault="00CA5AC4" w:rsidP="00274914"/>
        </w:tc>
        <w:tc>
          <w:tcPr>
            <w:tcW w:w="1559" w:type="dxa"/>
            <w:tcBorders>
              <w:top w:val="single" w:sz="18" w:space="0" w:color="auto"/>
              <w:bottom w:val="single" w:sz="18" w:space="0" w:color="auto"/>
            </w:tcBorders>
          </w:tcPr>
          <w:p w:rsidR="00CA5AC4" w:rsidRPr="002F17B5" w:rsidRDefault="00CA5AC4" w:rsidP="00274914">
            <w:pPr>
              <w:jc w:val="right"/>
            </w:pPr>
            <w:r w:rsidRPr="002F17B5">
              <w:t>15.3</w:t>
            </w:r>
          </w:p>
        </w:tc>
        <w:tc>
          <w:tcPr>
            <w:tcW w:w="430" w:type="dxa"/>
            <w:vMerge w:val="restart"/>
            <w:tcBorders>
              <w:right w:val="single" w:sz="4" w:space="0" w:color="FFFFFF" w:themeColor="background1"/>
            </w:tcBorders>
          </w:tcPr>
          <w:p w:rsidR="00CA5AC4" w:rsidRPr="002F17B5" w:rsidRDefault="00CA5AC4" w:rsidP="00274914">
            <w:pPr>
              <w:jc w:val="right"/>
            </w:pPr>
          </w:p>
        </w:tc>
        <w:tc>
          <w:tcPr>
            <w:tcW w:w="1696" w:type="dxa"/>
            <w:tcBorders>
              <w:top w:val="single" w:sz="18" w:space="0" w:color="auto"/>
              <w:left w:val="single" w:sz="4" w:space="0" w:color="FFFFFF" w:themeColor="background1"/>
              <w:bottom w:val="single" w:sz="18" w:space="0" w:color="auto"/>
            </w:tcBorders>
          </w:tcPr>
          <w:p w:rsidR="00CA5AC4" w:rsidRPr="002F17B5" w:rsidRDefault="00CA5AC4" w:rsidP="00274914">
            <w:pPr>
              <w:jc w:val="right"/>
            </w:pPr>
            <w:r w:rsidRPr="002F17B5">
              <w:t>12.6</w:t>
            </w:r>
          </w:p>
        </w:tc>
      </w:tr>
      <w:tr w:rsidR="00CA5AC4" w:rsidRPr="002F17B5" w:rsidTr="00CA5AC4">
        <w:trPr>
          <w:trHeight w:val="450"/>
        </w:trPr>
        <w:tc>
          <w:tcPr>
            <w:tcW w:w="5058" w:type="dxa"/>
            <w:vMerge/>
          </w:tcPr>
          <w:p w:rsidR="00CA5AC4" w:rsidRDefault="00CA5AC4" w:rsidP="00274914"/>
        </w:tc>
        <w:tc>
          <w:tcPr>
            <w:tcW w:w="1559" w:type="dxa"/>
            <w:tcBorders>
              <w:top w:val="single" w:sz="18" w:space="0" w:color="auto"/>
            </w:tcBorders>
          </w:tcPr>
          <w:p w:rsidR="00CA5AC4" w:rsidRPr="002F17B5" w:rsidRDefault="00CA5AC4" w:rsidP="00274914">
            <w:pPr>
              <w:jc w:val="right"/>
            </w:pPr>
          </w:p>
        </w:tc>
        <w:tc>
          <w:tcPr>
            <w:tcW w:w="430" w:type="dxa"/>
            <w:vMerge/>
          </w:tcPr>
          <w:p w:rsidR="00CA5AC4" w:rsidRPr="002F17B5" w:rsidRDefault="00CA5AC4" w:rsidP="00274914">
            <w:pPr>
              <w:jc w:val="right"/>
            </w:pPr>
          </w:p>
        </w:tc>
        <w:tc>
          <w:tcPr>
            <w:tcW w:w="1696" w:type="dxa"/>
            <w:tcBorders>
              <w:top w:val="single" w:sz="18" w:space="0" w:color="auto"/>
            </w:tcBorders>
          </w:tcPr>
          <w:p w:rsidR="00CA5AC4" w:rsidRPr="002F17B5" w:rsidRDefault="00CA5AC4" w:rsidP="00274914">
            <w:pPr>
              <w:jc w:val="right"/>
            </w:pPr>
          </w:p>
        </w:tc>
      </w:tr>
    </w:tbl>
    <w:p w:rsidR="00274914" w:rsidRPr="002F17B5" w:rsidRDefault="00274914" w:rsidP="00274914"/>
    <w:p w:rsidR="00274914" w:rsidRPr="002F17B5" w:rsidRDefault="00274914" w:rsidP="009A4C35">
      <w:pPr>
        <w:numPr>
          <w:ilvl w:val="0"/>
          <w:numId w:val="75"/>
        </w:numPr>
        <w:autoSpaceDE/>
        <w:autoSpaceDN/>
        <w:adjustRightInd/>
        <w:spacing w:before="0" w:after="0"/>
        <w:jc w:val="left"/>
        <w:rPr>
          <w:b/>
        </w:rPr>
      </w:pPr>
      <w:r w:rsidRPr="002F17B5">
        <w:rPr>
          <w:b/>
        </w:rPr>
        <w:t>Administrative expenses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274914">
            <w:pPr>
              <w:rPr>
                <w:b/>
              </w:rPr>
            </w:pPr>
          </w:p>
        </w:tc>
        <w:tc>
          <w:tcPr>
            <w:tcW w:w="1559" w:type="dxa"/>
          </w:tcPr>
          <w:p w:rsidR="00274914" w:rsidRPr="002F17B5" w:rsidRDefault="00274914" w:rsidP="00274914">
            <w:pPr>
              <w:jc w:val="right"/>
              <w:rPr>
                <w:b/>
              </w:rPr>
            </w:pPr>
            <w:r w:rsidRPr="002F17B5">
              <w:rPr>
                <w:b/>
              </w:rPr>
              <w:t>2013/14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696" w:type="dxa"/>
            <w:tcBorders>
              <w:left w:val="single" w:sz="4" w:space="0" w:color="FFFFFF" w:themeColor="background1"/>
            </w:tcBorders>
          </w:tcPr>
          <w:p w:rsidR="00274914" w:rsidRPr="002F17B5" w:rsidRDefault="00274914" w:rsidP="00274914">
            <w:pPr>
              <w:jc w:val="right"/>
              <w:rPr>
                <w:b/>
              </w:rPr>
            </w:pPr>
            <w:r w:rsidRPr="002F17B5">
              <w:rPr>
                <w:b/>
              </w:rPr>
              <w:t>2012/13</w:t>
            </w:r>
          </w:p>
          <w:p w:rsidR="00274914" w:rsidRPr="002F17B5" w:rsidRDefault="00274914" w:rsidP="00274914">
            <w:pPr>
              <w:jc w:val="right"/>
              <w:rPr>
                <w:b/>
              </w:rPr>
            </w:pPr>
            <w:r w:rsidRPr="002F17B5">
              <w:rPr>
                <w:b/>
              </w:rPr>
              <w:t>£m</w:t>
            </w:r>
          </w:p>
        </w:tc>
      </w:tr>
      <w:tr w:rsidR="00274914" w:rsidRPr="002F17B5" w:rsidTr="00274914">
        <w:tc>
          <w:tcPr>
            <w:tcW w:w="5058" w:type="dxa"/>
          </w:tcPr>
          <w:p w:rsidR="00274914" w:rsidRPr="002F17B5" w:rsidRDefault="00274914" w:rsidP="00274914">
            <w:r w:rsidRPr="002F17B5">
              <w:t>Administration and processing</w:t>
            </w:r>
          </w:p>
        </w:tc>
        <w:tc>
          <w:tcPr>
            <w:tcW w:w="1559" w:type="dxa"/>
          </w:tcPr>
          <w:p w:rsidR="00274914" w:rsidRPr="002F17B5" w:rsidRDefault="00274914" w:rsidP="00274914">
            <w:pPr>
              <w:jc w:val="right"/>
            </w:pPr>
            <w:r w:rsidRPr="002F17B5">
              <w:t>4.2</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3.8</w:t>
            </w:r>
          </w:p>
        </w:tc>
      </w:tr>
      <w:tr w:rsidR="00274914" w:rsidRPr="002F17B5" w:rsidTr="00274914">
        <w:tc>
          <w:tcPr>
            <w:tcW w:w="5058" w:type="dxa"/>
          </w:tcPr>
          <w:p w:rsidR="00274914" w:rsidRPr="002F17B5" w:rsidRDefault="00274914" w:rsidP="00274914">
            <w:r w:rsidRPr="002F17B5">
              <w:t>Audit fee</w:t>
            </w:r>
            <w:r w:rsidR="00E20042">
              <w:t>*</w:t>
            </w:r>
          </w:p>
        </w:tc>
        <w:tc>
          <w:tcPr>
            <w:tcW w:w="1559" w:type="dxa"/>
          </w:tcPr>
          <w:p w:rsidR="00274914" w:rsidRPr="002F17B5" w:rsidRDefault="00274914" w:rsidP="00274914">
            <w:pPr>
              <w:jc w:val="right"/>
            </w:pPr>
            <w:r w:rsidRPr="002F17B5">
              <w:t>0.1</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0.1</w:t>
            </w:r>
          </w:p>
        </w:tc>
      </w:tr>
      <w:tr w:rsidR="00274914" w:rsidRPr="002F17B5" w:rsidTr="00274914">
        <w:tc>
          <w:tcPr>
            <w:tcW w:w="5058" w:type="dxa"/>
          </w:tcPr>
          <w:p w:rsidR="00274914" w:rsidRPr="002F17B5" w:rsidRDefault="00274914" w:rsidP="00274914">
            <w:r w:rsidRPr="002F17B5">
              <w:t>Legal and other professional fees</w:t>
            </w:r>
          </w:p>
        </w:tc>
        <w:tc>
          <w:tcPr>
            <w:tcW w:w="1559" w:type="dxa"/>
            <w:tcBorders>
              <w:bottom w:val="single" w:sz="18" w:space="0" w:color="auto"/>
            </w:tcBorders>
          </w:tcPr>
          <w:p w:rsidR="00274914" w:rsidRPr="002F17B5" w:rsidRDefault="00274914" w:rsidP="00274914">
            <w:pPr>
              <w:jc w:val="right"/>
            </w:pPr>
            <w:r w:rsidRPr="002F17B5">
              <w:t>0.2</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bottom w:val="single" w:sz="18" w:space="0" w:color="auto"/>
            </w:tcBorders>
          </w:tcPr>
          <w:p w:rsidR="00274914" w:rsidRPr="002F17B5" w:rsidRDefault="00274914" w:rsidP="00274914">
            <w:pPr>
              <w:jc w:val="right"/>
            </w:pPr>
            <w:r w:rsidRPr="002F17B5">
              <w:t>1.1</w:t>
            </w:r>
          </w:p>
        </w:tc>
      </w:tr>
      <w:tr w:rsidR="00274914" w:rsidRPr="002F17B5" w:rsidTr="00274914">
        <w:tc>
          <w:tcPr>
            <w:tcW w:w="5058" w:type="dxa"/>
          </w:tcPr>
          <w:p w:rsidR="00274914" w:rsidRPr="002F17B5" w:rsidRDefault="00274914" w:rsidP="00274914"/>
        </w:tc>
        <w:tc>
          <w:tcPr>
            <w:tcW w:w="1559" w:type="dxa"/>
            <w:tcBorders>
              <w:top w:val="single" w:sz="18" w:space="0" w:color="auto"/>
              <w:bottom w:val="single" w:sz="18" w:space="0" w:color="auto"/>
            </w:tcBorders>
          </w:tcPr>
          <w:p w:rsidR="00274914" w:rsidRPr="002F17B5" w:rsidRDefault="00274914" w:rsidP="00274914">
            <w:pPr>
              <w:jc w:val="right"/>
            </w:pPr>
            <w:r w:rsidRPr="002F17B5">
              <w:t>4.5</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274914">
            <w:pPr>
              <w:jc w:val="right"/>
            </w:pPr>
            <w:r w:rsidRPr="002F17B5">
              <w:t>5.0</w:t>
            </w:r>
          </w:p>
        </w:tc>
      </w:tr>
    </w:tbl>
    <w:p w:rsidR="00E20042" w:rsidRDefault="00E20042" w:rsidP="00630928">
      <w:pPr>
        <w:autoSpaceDE/>
        <w:autoSpaceDN/>
        <w:adjustRightInd/>
        <w:spacing w:before="0"/>
        <w:ind w:left="709"/>
        <w:jc w:val="left"/>
      </w:pPr>
      <w:r>
        <w:t>*The total amount payable for external audit services carried out by the appointed auditor in 2013/14 was £38k (£41k in 2013/13).</w:t>
      </w:r>
    </w:p>
    <w:p w:rsidR="006F0CB5" w:rsidRPr="00630928" w:rsidRDefault="006F0CB5" w:rsidP="00630928">
      <w:pPr>
        <w:autoSpaceDE/>
        <w:autoSpaceDN/>
        <w:adjustRightInd/>
        <w:spacing w:before="0"/>
        <w:ind w:left="709"/>
        <w:jc w:val="left"/>
      </w:pPr>
    </w:p>
    <w:p w:rsidR="00274914" w:rsidRPr="002F17B5" w:rsidRDefault="00274914" w:rsidP="009A4C35">
      <w:pPr>
        <w:numPr>
          <w:ilvl w:val="0"/>
          <w:numId w:val="75"/>
        </w:numPr>
        <w:autoSpaceDE/>
        <w:autoSpaceDN/>
        <w:adjustRightInd/>
        <w:spacing w:before="0"/>
        <w:jc w:val="left"/>
      </w:pPr>
      <w:r w:rsidRPr="002F17B5">
        <w:rPr>
          <w:b/>
        </w:rPr>
        <w:t>Investment income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274914">
            <w:pPr>
              <w:rPr>
                <w:b/>
              </w:rPr>
            </w:pPr>
          </w:p>
        </w:tc>
        <w:tc>
          <w:tcPr>
            <w:tcW w:w="1559" w:type="dxa"/>
          </w:tcPr>
          <w:p w:rsidR="00274914" w:rsidRPr="002F17B5" w:rsidRDefault="00274914" w:rsidP="00274914">
            <w:pPr>
              <w:jc w:val="right"/>
              <w:rPr>
                <w:b/>
              </w:rPr>
            </w:pPr>
            <w:r w:rsidRPr="002F17B5">
              <w:rPr>
                <w:b/>
              </w:rPr>
              <w:t>2013/14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696" w:type="dxa"/>
            <w:tcBorders>
              <w:left w:val="single" w:sz="4" w:space="0" w:color="FFFFFF" w:themeColor="background1"/>
            </w:tcBorders>
          </w:tcPr>
          <w:p w:rsidR="00274914" w:rsidRPr="002F17B5" w:rsidRDefault="00274914" w:rsidP="00274914">
            <w:pPr>
              <w:jc w:val="right"/>
              <w:rPr>
                <w:b/>
              </w:rPr>
            </w:pPr>
            <w:r w:rsidRPr="002F17B5">
              <w:rPr>
                <w:b/>
              </w:rPr>
              <w:t>2012/13</w:t>
            </w:r>
          </w:p>
          <w:p w:rsidR="00274914" w:rsidRPr="002F17B5" w:rsidRDefault="00274914" w:rsidP="00274914">
            <w:pPr>
              <w:jc w:val="right"/>
              <w:rPr>
                <w:b/>
              </w:rPr>
            </w:pPr>
            <w:r w:rsidRPr="002F17B5">
              <w:rPr>
                <w:b/>
              </w:rPr>
              <w:t>£m</w:t>
            </w:r>
          </w:p>
        </w:tc>
      </w:tr>
      <w:tr w:rsidR="00274914" w:rsidRPr="002F17B5" w:rsidTr="00274914">
        <w:tc>
          <w:tcPr>
            <w:tcW w:w="5058" w:type="dxa"/>
          </w:tcPr>
          <w:p w:rsidR="00274914" w:rsidRPr="002F17B5" w:rsidRDefault="00274914" w:rsidP="00274914">
            <w:r w:rsidRPr="002F17B5">
              <w:t>Fixed interest securities</w:t>
            </w:r>
          </w:p>
        </w:tc>
        <w:tc>
          <w:tcPr>
            <w:tcW w:w="1559" w:type="dxa"/>
          </w:tcPr>
          <w:p w:rsidR="00274914" w:rsidRPr="002F17B5" w:rsidRDefault="00274914" w:rsidP="00274914">
            <w:pPr>
              <w:jc w:val="right"/>
            </w:pPr>
            <w:r w:rsidRPr="002F17B5">
              <w:t>31.5</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21.5</w:t>
            </w:r>
          </w:p>
        </w:tc>
      </w:tr>
      <w:tr w:rsidR="00274914" w:rsidRPr="002F17B5" w:rsidTr="00274914">
        <w:tc>
          <w:tcPr>
            <w:tcW w:w="5058" w:type="dxa"/>
          </w:tcPr>
          <w:p w:rsidR="00274914" w:rsidRPr="002F17B5" w:rsidRDefault="00274914" w:rsidP="00274914">
            <w:r w:rsidRPr="002F17B5">
              <w:t>Equity dividends</w:t>
            </w:r>
          </w:p>
        </w:tc>
        <w:tc>
          <w:tcPr>
            <w:tcW w:w="1559" w:type="dxa"/>
          </w:tcPr>
          <w:p w:rsidR="00274914" w:rsidRPr="002F17B5" w:rsidRDefault="00274914" w:rsidP="00274914">
            <w:pPr>
              <w:jc w:val="right"/>
            </w:pPr>
            <w:r w:rsidRPr="002F17B5">
              <w:t>36.8</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59.5</w:t>
            </w:r>
          </w:p>
        </w:tc>
      </w:tr>
      <w:tr w:rsidR="00274914" w:rsidRPr="002F17B5" w:rsidTr="00274914">
        <w:tc>
          <w:tcPr>
            <w:tcW w:w="5058" w:type="dxa"/>
          </w:tcPr>
          <w:p w:rsidR="00274914" w:rsidRPr="002F17B5" w:rsidRDefault="00274914" w:rsidP="00274914">
            <w:r w:rsidRPr="002F17B5">
              <w:t>Index linked securities</w:t>
            </w:r>
          </w:p>
        </w:tc>
        <w:tc>
          <w:tcPr>
            <w:tcW w:w="1559" w:type="dxa"/>
          </w:tcPr>
          <w:p w:rsidR="00274914" w:rsidRPr="002F17B5" w:rsidRDefault="00274914" w:rsidP="00274914">
            <w:pPr>
              <w:jc w:val="right"/>
            </w:pPr>
            <w:r w:rsidRPr="002F17B5">
              <w:t>1.6</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1.2</w:t>
            </w:r>
          </w:p>
        </w:tc>
      </w:tr>
      <w:tr w:rsidR="00274914" w:rsidRPr="002F17B5" w:rsidTr="00274914">
        <w:tc>
          <w:tcPr>
            <w:tcW w:w="5058" w:type="dxa"/>
          </w:tcPr>
          <w:p w:rsidR="00274914" w:rsidRPr="002F17B5" w:rsidRDefault="00274914" w:rsidP="00274914">
            <w:r w:rsidRPr="002F17B5">
              <w:t>Pooled investment vehicles</w:t>
            </w:r>
          </w:p>
        </w:tc>
        <w:tc>
          <w:tcPr>
            <w:tcW w:w="1559" w:type="dxa"/>
          </w:tcPr>
          <w:p w:rsidR="00274914" w:rsidRPr="002F17B5" w:rsidRDefault="00274914" w:rsidP="00274914">
            <w:pPr>
              <w:jc w:val="right"/>
            </w:pPr>
            <w:r w:rsidRPr="002F17B5">
              <w:t>6.4</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6.3</w:t>
            </w:r>
          </w:p>
        </w:tc>
      </w:tr>
      <w:tr w:rsidR="00274914" w:rsidRPr="002F17B5" w:rsidTr="00274914">
        <w:tc>
          <w:tcPr>
            <w:tcW w:w="5058" w:type="dxa"/>
          </w:tcPr>
          <w:p w:rsidR="00274914" w:rsidRPr="002F17B5" w:rsidRDefault="00274914" w:rsidP="00274914">
            <w:r w:rsidRPr="002F17B5">
              <w:t>Net rents from properties</w:t>
            </w:r>
          </w:p>
        </w:tc>
        <w:tc>
          <w:tcPr>
            <w:tcW w:w="1559" w:type="dxa"/>
          </w:tcPr>
          <w:p w:rsidR="00274914" w:rsidRPr="002F17B5" w:rsidRDefault="00274914" w:rsidP="00274914">
            <w:pPr>
              <w:jc w:val="right"/>
            </w:pPr>
            <w:r w:rsidRPr="002F17B5">
              <w:t>23.5</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25.0</w:t>
            </w:r>
          </w:p>
        </w:tc>
      </w:tr>
      <w:tr w:rsidR="00274914" w:rsidRPr="002F17B5" w:rsidTr="00274914">
        <w:tc>
          <w:tcPr>
            <w:tcW w:w="5058" w:type="dxa"/>
          </w:tcPr>
          <w:p w:rsidR="00274914" w:rsidRPr="002F17B5" w:rsidRDefault="00274914" w:rsidP="00274914">
            <w:r w:rsidRPr="002F17B5">
              <w:t>Interest on cash deposits</w:t>
            </w:r>
          </w:p>
        </w:tc>
        <w:tc>
          <w:tcPr>
            <w:tcW w:w="1559" w:type="dxa"/>
          </w:tcPr>
          <w:p w:rsidR="00274914" w:rsidRPr="002F17B5" w:rsidRDefault="00274914" w:rsidP="00274914">
            <w:pPr>
              <w:jc w:val="right"/>
            </w:pPr>
            <w:r w:rsidRPr="002F17B5">
              <w:t>3.2</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2.8</w:t>
            </w:r>
          </w:p>
        </w:tc>
      </w:tr>
      <w:tr w:rsidR="00274914" w:rsidRPr="002F17B5" w:rsidTr="00274914">
        <w:tc>
          <w:tcPr>
            <w:tcW w:w="5058" w:type="dxa"/>
          </w:tcPr>
          <w:p w:rsidR="00274914" w:rsidRPr="002F17B5" w:rsidRDefault="00274914" w:rsidP="00274914">
            <w:r w:rsidRPr="002F17B5">
              <w:t>Other</w:t>
            </w:r>
          </w:p>
        </w:tc>
        <w:tc>
          <w:tcPr>
            <w:tcW w:w="1559" w:type="dxa"/>
            <w:tcBorders>
              <w:bottom w:val="single" w:sz="18" w:space="0" w:color="auto"/>
            </w:tcBorders>
          </w:tcPr>
          <w:p w:rsidR="00274914" w:rsidRPr="002F17B5" w:rsidRDefault="00274914" w:rsidP="00274914">
            <w:pPr>
              <w:jc w:val="right"/>
            </w:pPr>
            <w:r w:rsidRPr="002F17B5">
              <w:t>2.3</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bottom w:val="single" w:sz="18" w:space="0" w:color="auto"/>
            </w:tcBorders>
          </w:tcPr>
          <w:p w:rsidR="00274914" w:rsidRPr="002F17B5" w:rsidRDefault="00274914" w:rsidP="00274914">
            <w:pPr>
              <w:jc w:val="right"/>
            </w:pPr>
            <w:r w:rsidRPr="002F17B5">
              <w:t>4.5</w:t>
            </w:r>
          </w:p>
        </w:tc>
      </w:tr>
      <w:tr w:rsidR="00274914" w:rsidRPr="002F17B5" w:rsidTr="00274914">
        <w:tc>
          <w:tcPr>
            <w:tcW w:w="5058" w:type="dxa"/>
          </w:tcPr>
          <w:p w:rsidR="00274914" w:rsidRPr="002F17B5" w:rsidRDefault="00274914" w:rsidP="00274914"/>
        </w:tc>
        <w:tc>
          <w:tcPr>
            <w:tcW w:w="1559" w:type="dxa"/>
            <w:tcBorders>
              <w:top w:val="single" w:sz="18" w:space="0" w:color="auto"/>
              <w:bottom w:val="single" w:sz="18" w:space="0" w:color="auto"/>
            </w:tcBorders>
          </w:tcPr>
          <w:p w:rsidR="00274914" w:rsidRPr="002F17B5" w:rsidRDefault="00274914" w:rsidP="00274914">
            <w:pPr>
              <w:jc w:val="right"/>
            </w:pPr>
            <w:r w:rsidRPr="002F17B5">
              <w:t>105.3</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274914">
            <w:pPr>
              <w:jc w:val="right"/>
            </w:pPr>
            <w:r w:rsidRPr="002F17B5">
              <w:t>120.8</w:t>
            </w:r>
          </w:p>
        </w:tc>
      </w:tr>
      <w:tr w:rsidR="00274914" w:rsidRPr="002F17B5" w:rsidTr="00274914">
        <w:tc>
          <w:tcPr>
            <w:tcW w:w="5058" w:type="dxa"/>
          </w:tcPr>
          <w:p w:rsidR="00274914" w:rsidRPr="002F17B5" w:rsidRDefault="00274914" w:rsidP="00274914"/>
        </w:tc>
        <w:tc>
          <w:tcPr>
            <w:tcW w:w="1559" w:type="dxa"/>
            <w:tcBorders>
              <w:top w:val="single" w:sz="18" w:space="0" w:color="auto"/>
              <w:bottom w:val="nil"/>
            </w:tcBorders>
          </w:tcPr>
          <w:p w:rsidR="00274914" w:rsidRPr="002F17B5" w:rsidRDefault="00274914" w:rsidP="00274914">
            <w:pPr>
              <w:jc w:val="right"/>
            </w:pP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top w:val="single" w:sz="18" w:space="0" w:color="auto"/>
              <w:left w:val="single" w:sz="4" w:space="0" w:color="FFFFFF" w:themeColor="background1"/>
              <w:bottom w:val="nil"/>
            </w:tcBorders>
          </w:tcPr>
          <w:p w:rsidR="00274914" w:rsidRPr="002F17B5" w:rsidRDefault="00274914" w:rsidP="00274914">
            <w:pPr>
              <w:jc w:val="right"/>
            </w:pPr>
          </w:p>
        </w:tc>
      </w:tr>
    </w:tbl>
    <w:p w:rsidR="00274914" w:rsidRPr="002F17B5" w:rsidRDefault="00274914" w:rsidP="00274914">
      <w:pPr>
        <w:ind w:firstLine="709"/>
        <w:rPr>
          <w:b/>
          <w:sz w:val="22"/>
          <w:szCs w:val="22"/>
        </w:rPr>
      </w:pPr>
    </w:p>
    <w:p w:rsidR="00274914" w:rsidRPr="002F17B5" w:rsidRDefault="00274914" w:rsidP="009A4C35">
      <w:pPr>
        <w:pStyle w:val="BodyTextIndent"/>
        <w:numPr>
          <w:ilvl w:val="0"/>
          <w:numId w:val="75"/>
        </w:numPr>
        <w:spacing w:before="0" w:after="0"/>
        <w:rPr>
          <w:b/>
          <w:szCs w:val="24"/>
        </w:rPr>
      </w:pPr>
      <w:r w:rsidRPr="002F17B5">
        <w:rPr>
          <w:b/>
          <w:szCs w:val="24"/>
        </w:rPr>
        <w:t>Net rents from Properties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274914">
            <w:pPr>
              <w:rPr>
                <w:b/>
              </w:rPr>
            </w:pPr>
          </w:p>
        </w:tc>
        <w:tc>
          <w:tcPr>
            <w:tcW w:w="1559" w:type="dxa"/>
          </w:tcPr>
          <w:p w:rsidR="00274914" w:rsidRPr="002F17B5" w:rsidRDefault="00274914" w:rsidP="00274914">
            <w:pPr>
              <w:jc w:val="right"/>
              <w:rPr>
                <w:b/>
              </w:rPr>
            </w:pPr>
            <w:r w:rsidRPr="002F17B5">
              <w:rPr>
                <w:b/>
              </w:rPr>
              <w:t>2013/14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696" w:type="dxa"/>
            <w:tcBorders>
              <w:left w:val="single" w:sz="4" w:space="0" w:color="FFFFFF" w:themeColor="background1"/>
            </w:tcBorders>
          </w:tcPr>
          <w:p w:rsidR="00274914" w:rsidRPr="002F17B5" w:rsidRDefault="00274914" w:rsidP="00274914">
            <w:pPr>
              <w:jc w:val="right"/>
              <w:rPr>
                <w:b/>
              </w:rPr>
            </w:pPr>
            <w:r w:rsidRPr="002F17B5">
              <w:rPr>
                <w:b/>
              </w:rPr>
              <w:t>2012/13</w:t>
            </w:r>
          </w:p>
          <w:p w:rsidR="00274914" w:rsidRPr="002F17B5" w:rsidRDefault="00274914" w:rsidP="00274914">
            <w:pPr>
              <w:jc w:val="right"/>
              <w:rPr>
                <w:b/>
              </w:rPr>
            </w:pPr>
            <w:r w:rsidRPr="002F17B5">
              <w:rPr>
                <w:b/>
              </w:rPr>
              <w:t>£m</w:t>
            </w:r>
          </w:p>
        </w:tc>
      </w:tr>
      <w:tr w:rsidR="00274914" w:rsidRPr="002F17B5" w:rsidTr="00274914">
        <w:tc>
          <w:tcPr>
            <w:tcW w:w="5058" w:type="dxa"/>
          </w:tcPr>
          <w:p w:rsidR="00274914" w:rsidRPr="002F17B5" w:rsidRDefault="00274914" w:rsidP="00274914">
            <w:r w:rsidRPr="002F17B5">
              <w:t>Rental Income</w:t>
            </w:r>
          </w:p>
        </w:tc>
        <w:tc>
          <w:tcPr>
            <w:tcW w:w="1559" w:type="dxa"/>
          </w:tcPr>
          <w:p w:rsidR="00274914" w:rsidRPr="002F17B5" w:rsidRDefault="00274914" w:rsidP="00274914">
            <w:pPr>
              <w:jc w:val="right"/>
            </w:pPr>
            <w:r w:rsidRPr="002F17B5">
              <w:t>27.4</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tcBorders>
          </w:tcPr>
          <w:p w:rsidR="00274914" w:rsidRPr="002F17B5" w:rsidRDefault="00274914" w:rsidP="00274914">
            <w:pPr>
              <w:jc w:val="right"/>
            </w:pPr>
            <w:r w:rsidRPr="002F17B5">
              <w:t>28.1</w:t>
            </w:r>
          </w:p>
        </w:tc>
      </w:tr>
      <w:tr w:rsidR="00274914" w:rsidRPr="002F17B5" w:rsidTr="00274914">
        <w:tc>
          <w:tcPr>
            <w:tcW w:w="5058" w:type="dxa"/>
          </w:tcPr>
          <w:p w:rsidR="00274914" w:rsidRPr="002F17B5" w:rsidRDefault="00274914" w:rsidP="00274914">
            <w:r w:rsidRPr="002F17B5">
              <w:t>Direct operating expenses</w:t>
            </w:r>
          </w:p>
        </w:tc>
        <w:tc>
          <w:tcPr>
            <w:tcW w:w="1559" w:type="dxa"/>
            <w:tcBorders>
              <w:bottom w:val="single" w:sz="18" w:space="0" w:color="auto"/>
            </w:tcBorders>
          </w:tcPr>
          <w:p w:rsidR="00274914" w:rsidRPr="002F17B5" w:rsidRDefault="00274914" w:rsidP="00274914">
            <w:pPr>
              <w:jc w:val="right"/>
            </w:pPr>
            <w:r w:rsidRPr="002F17B5">
              <w:t>(3.9)</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left w:val="single" w:sz="4" w:space="0" w:color="FFFFFF" w:themeColor="background1"/>
              <w:bottom w:val="single" w:sz="18" w:space="0" w:color="auto"/>
            </w:tcBorders>
          </w:tcPr>
          <w:p w:rsidR="00274914" w:rsidRPr="002F17B5" w:rsidRDefault="00274914" w:rsidP="00274914">
            <w:pPr>
              <w:jc w:val="right"/>
            </w:pPr>
            <w:r w:rsidRPr="002F17B5">
              <w:t>(3.1)</w:t>
            </w:r>
          </w:p>
        </w:tc>
      </w:tr>
      <w:tr w:rsidR="00274914" w:rsidRPr="002F17B5" w:rsidTr="00274914">
        <w:tc>
          <w:tcPr>
            <w:tcW w:w="5058" w:type="dxa"/>
          </w:tcPr>
          <w:p w:rsidR="00003EB0" w:rsidRPr="002F17B5" w:rsidRDefault="00274914" w:rsidP="00274914">
            <w:r w:rsidRPr="002F17B5">
              <w:t>Net income</w:t>
            </w:r>
          </w:p>
        </w:tc>
        <w:tc>
          <w:tcPr>
            <w:tcW w:w="1559" w:type="dxa"/>
            <w:tcBorders>
              <w:top w:val="single" w:sz="18" w:space="0" w:color="auto"/>
              <w:bottom w:val="single" w:sz="18" w:space="0" w:color="auto"/>
            </w:tcBorders>
          </w:tcPr>
          <w:p w:rsidR="00274914" w:rsidRPr="002F17B5" w:rsidRDefault="00274914" w:rsidP="00274914">
            <w:pPr>
              <w:jc w:val="right"/>
            </w:pPr>
            <w:r w:rsidRPr="002F17B5">
              <w:t>23.5</w:t>
            </w:r>
          </w:p>
        </w:tc>
        <w:tc>
          <w:tcPr>
            <w:tcW w:w="430" w:type="dxa"/>
            <w:tcBorders>
              <w:right w:val="single" w:sz="4" w:space="0" w:color="FFFFFF" w:themeColor="background1"/>
            </w:tcBorders>
          </w:tcPr>
          <w:p w:rsidR="00274914" w:rsidRPr="002F17B5" w:rsidRDefault="00274914" w:rsidP="00274914">
            <w:pPr>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274914">
            <w:pPr>
              <w:jc w:val="right"/>
            </w:pPr>
            <w:r w:rsidRPr="002F17B5">
              <w:t>25.0</w:t>
            </w:r>
          </w:p>
        </w:tc>
      </w:tr>
    </w:tbl>
    <w:p w:rsidR="0007123B" w:rsidRDefault="0007123B" w:rsidP="008C0AEC">
      <w:pPr>
        <w:pStyle w:val="BodyTextIndent"/>
        <w:spacing w:before="0" w:after="0"/>
        <w:ind w:left="862"/>
        <w:rPr>
          <w:b/>
          <w:szCs w:val="24"/>
        </w:rPr>
      </w:pPr>
    </w:p>
    <w:p w:rsidR="0007123B" w:rsidRDefault="0007123B" w:rsidP="009A4C35">
      <w:pPr>
        <w:pStyle w:val="BodyTextIndent"/>
        <w:numPr>
          <w:ilvl w:val="0"/>
          <w:numId w:val="75"/>
        </w:numPr>
        <w:spacing w:before="0" w:after="0"/>
        <w:rPr>
          <w:b/>
          <w:szCs w:val="24"/>
        </w:rPr>
      </w:pPr>
      <w:r>
        <w:rPr>
          <w:b/>
          <w:szCs w:val="24"/>
        </w:rPr>
        <w:t>Operating leases</w:t>
      </w:r>
    </w:p>
    <w:p w:rsidR="0007123B" w:rsidRDefault="0007123B" w:rsidP="008C0AEC">
      <w:pPr>
        <w:pStyle w:val="BodyTextIndent"/>
        <w:spacing w:before="0" w:after="0"/>
        <w:rPr>
          <w:b/>
          <w:szCs w:val="24"/>
        </w:rPr>
      </w:pPr>
    </w:p>
    <w:p w:rsidR="0007123B" w:rsidRDefault="0007123B" w:rsidP="008C0AEC">
      <w:pPr>
        <w:pStyle w:val="BodyTextIndent"/>
        <w:spacing w:before="0" w:after="0"/>
        <w:rPr>
          <w:szCs w:val="24"/>
        </w:rPr>
      </w:pPr>
      <w:r>
        <w:rPr>
          <w:szCs w:val="24"/>
        </w:rPr>
        <w:t xml:space="preserve">The Pension Fund </w:t>
      </w:r>
      <w:r w:rsidR="00796606">
        <w:rPr>
          <w:szCs w:val="24"/>
        </w:rPr>
        <w:t>leases out its investment properties under operating leases.</w:t>
      </w:r>
    </w:p>
    <w:p w:rsidR="00796606" w:rsidRDefault="00796606" w:rsidP="008C0AEC">
      <w:pPr>
        <w:pStyle w:val="BodyTextIndent"/>
        <w:spacing w:before="0" w:after="0"/>
        <w:rPr>
          <w:szCs w:val="24"/>
        </w:rPr>
      </w:pPr>
    </w:p>
    <w:p w:rsidR="00796606" w:rsidRPr="008C0AEC" w:rsidRDefault="00796606" w:rsidP="008C0AEC">
      <w:pPr>
        <w:pStyle w:val="BodyTextIndent"/>
        <w:spacing w:before="0" w:after="0"/>
        <w:rPr>
          <w:szCs w:val="24"/>
        </w:rPr>
      </w:pPr>
      <w:r>
        <w:rPr>
          <w:szCs w:val="24"/>
        </w:rPr>
        <w:t>The future minimum leases receivable under non -cancellable leases in future years are:</w:t>
      </w:r>
    </w:p>
    <w:p w:rsidR="0007123B" w:rsidRPr="002F17B5" w:rsidRDefault="0007123B" w:rsidP="008C0AEC">
      <w:pPr>
        <w:pStyle w:val="BodyTextIndent"/>
        <w:spacing w:before="0" w:after="0"/>
        <w:ind w:left="862"/>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07123B" w:rsidRPr="002F17B5" w:rsidTr="00FB6515">
        <w:tc>
          <w:tcPr>
            <w:tcW w:w="5058" w:type="dxa"/>
          </w:tcPr>
          <w:p w:rsidR="0007123B" w:rsidRPr="002F17B5" w:rsidRDefault="0007123B" w:rsidP="00FB6515">
            <w:pPr>
              <w:rPr>
                <w:b/>
              </w:rPr>
            </w:pPr>
          </w:p>
        </w:tc>
        <w:tc>
          <w:tcPr>
            <w:tcW w:w="1559" w:type="dxa"/>
          </w:tcPr>
          <w:p w:rsidR="0007123B" w:rsidRPr="002F17B5" w:rsidRDefault="0007123B" w:rsidP="00FB6515">
            <w:pPr>
              <w:jc w:val="right"/>
              <w:rPr>
                <w:b/>
              </w:rPr>
            </w:pPr>
            <w:r w:rsidRPr="002F17B5">
              <w:rPr>
                <w:b/>
              </w:rPr>
              <w:t>2013/14</w:t>
            </w:r>
          </w:p>
          <w:p w:rsidR="0007123B" w:rsidRPr="002F17B5" w:rsidRDefault="0007123B" w:rsidP="00FB6515">
            <w:pPr>
              <w:jc w:val="right"/>
              <w:rPr>
                <w:b/>
              </w:rPr>
            </w:pPr>
            <w:r w:rsidRPr="002F17B5">
              <w:rPr>
                <w:b/>
              </w:rPr>
              <w:t>£m</w:t>
            </w:r>
          </w:p>
        </w:tc>
        <w:tc>
          <w:tcPr>
            <w:tcW w:w="430" w:type="dxa"/>
            <w:tcBorders>
              <w:right w:val="single" w:sz="4" w:space="0" w:color="FFFFFF" w:themeColor="background1"/>
            </w:tcBorders>
          </w:tcPr>
          <w:p w:rsidR="0007123B" w:rsidRPr="002F17B5" w:rsidRDefault="0007123B" w:rsidP="00FB6515">
            <w:pPr>
              <w:jc w:val="right"/>
              <w:rPr>
                <w:b/>
              </w:rPr>
            </w:pPr>
          </w:p>
          <w:p w:rsidR="0007123B" w:rsidRPr="002F17B5" w:rsidRDefault="0007123B" w:rsidP="00FB6515">
            <w:pPr>
              <w:jc w:val="right"/>
              <w:rPr>
                <w:b/>
              </w:rPr>
            </w:pPr>
          </w:p>
        </w:tc>
        <w:tc>
          <w:tcPr>
            <w:tcW w:w="1696" w:type="dxa"/>
            <w:tcBorders>
              <w:left w:val="single" w:sz="4" w:space="0" w:color="FFFFFF" w:themeColor="background1"/>
            </w:tcBorders>
          </w:tcPr>
          <w:p w:rsidR="0007123B" w:rsidRPr="002F17B5" w:rsidRDefault="0007123B" w:rsidP="00FB6515">
            <w:pPr>
              <w:jc w:val="right"/>
              <w:rPr>
                <w:b/>
              </w:rPr>
            </w:pPr>
            <w:r w:rsidRPr="002F17B5">
              <w:rPr>
                <w:b/>
              </w:rPr>
              <w:t>2012/13</w:t>
            </w:r>
          </w:p>
          <w:p w:rsidR="0007123B" w:rsidRPr="002F17B5" w:rsidRDefault="0007123B" w:rsidP="00FB6515">
            <w:pPr>
              <w:jc w:val="right"/>
              <w:rPr>
                <w:b/>
              </w:rPr>
            </w:pPr>
            <w:r w:rsidRPr="002F17B5">
              <w:rPr>
                <w:b/>
              </w:rPr>
              <w:t>£m</w:t>
            </w:r>
          </w:p>
        </w:tc>
      </w:tr>
      <w:tr w:rsidR="0007123B" w:rsidRPr="002F17B5" w:rsidTr="00FB6515">
        <w:tc>
          <w:tcPr>
            <w:tcW w:w="5058" w:type="dxa"/>
          </w:tcPr>
          <w:p w:rsidR="0007123B" w:rsidRPr="002F17B5" w:rsidRDefault="00796606" w:rsidP="00FB6515">
            <w:r>
              <w:t>Leases expiring in the following year</w:t>
            </w:r>
          </w:p>
        </w:tc>
        <w:tc>
          <w:tcPr>
            <w:tcW w:w="1559" w:type="dxa"/>
          </w:tcPr>
          <w:p w:rsidR="0007123B" w:rsidRPr="002F17B5" w:rsidRDefault="0007123B" w:rsidP="00FB6515">
            <w:pPr>
              <w:jc w:val="right"/>
            </w:pPr>
            <w:r w:rsidRPr="002F17B5">
              <w:t>2</w:t>
            </w:r>
            <w:r w:rsidR="00796606">
              <w:t>.0</w:t>
            </w:r>
          </w:p>
        </w:tc>
        <w:tc>
          <w:tcPr>
            <w:tcW w:w="430" w:type="dxa"/>
            <w:tcBorders>
              <w:right w:val="single" w:sz="4" w:space="0" w:color="FFFFFF" w:themeColor="background1"/>
            </w:tcBorders>
          </w:tcPr>
          <w:p w:rsidR="0007123B" w:rsidRPr="002F17B5" w:rsidRDefault="0007123B" w:rsidP="00FB6515">
            <w:pPr>
              <w:jc w:val="right"/>
            </w:pPr>
          </w:p>
        </w:tc>
        <w:tc>
          <w:tcPr>
            <w:tcW w:w="1696" w:type="dxa"/>
            <w:tcBorders>
              <w:left w:val="single" w:sz="4" w:space="0" w:color="FFFFFF" w:themeColor="background1"/>
            </w:tcBorders>
          </w:tcPr>
          <w:p w:rsidR="0007123B" w:rsidRPr="002F17B5" w:rsidRDefault="0007123B" w:rsidP="00FB6515">
            <w:pPr>
              <w:jc w:val="right"/>
            </w:pPr>
            <w:r w:rsidRPr="002F17B5">
              <w:t>2</w:t>
            </w:r>
            <w:r w:rsidR="00796606">
              <w:t>.9</w:t>
            </w:r>
          </w:p>
        </w:tc>
      </w:tr>
      <w:tr w:rsidR="0007123B" w:rsidRPr="002F17B5" w:rsidTr="008C0AEC">
        <w:tc>
          <w:tcPr>
            <w:tcW w:w="5058" w:type="dxa"/>
          </w:tcPr>
          <w:p w:rsidR="0007123B" w:rsidRPr="002F17B5" w:rsidRDefault="00796606" w:rsidP="00FB6515">
            <w:r>
              <w:t>Leases expiring in two to five years</w:t>
            </w:r>
          </w:p>
        </w:tc>
        <w:tc>
          <w:tcPr>
            <w:tcW w:w="1559" w:type="dxa"/>
          </w:tcPr>
          <w:p w:rsidR="0007123B" w:rsidRPr="002F17B5" w:rsidRDefault="00796606" w:rsidP="00FB6515">
            <w:pPr>
              <w:jc w:val="right"/>
            </w:pPr>
            <w:r>
              <w:t>11.9</w:t>
            </w:r>
          </w:p>
        </w:tc>
        <w:tc>
          <w:tcPr>
            <w:tcW w:w="430" w:type="dxa"/>
            <w:tcBorders>
              <w:right w:val="single" w:sz="4" w:space="0" w:color="FFFFFF" w:themeColor="background1"/>
            </w:tcBorders>
          </w:tcPr>
          <w:p w:rsidR="0007123B" w:rsidRPr="002F17B5" w:rsidRDefault="0007123B" w:rsidP="00FB6515">
            <w:pPr>
              <w:jc w:val="right"/>
            </w:pPr>
          </w:p>
        </w:tc>
        <w:tc>
          <w:tcPr>
            <w:tcW w:w="1696" w:type="dxa"/>
            <w:tcBorders>
              <w:left w:val="single" w:sz="4" w:space="0" w:color="FFFFFF" w:themeColor="background1"/>
            </w:tcBorders>
          </w:tcPr>
          <w:p w:rsidR="0007123B" w:rsidRPr="002F17B5" w:rsidRDefault="00796606" w:rsidP="00FB6515">
            <w:pPr>
              <w:jc w:val="right"/>
            </w:pPr>
            <w:r>
              <w:t>13.2</w:t>
            </w:r>
          </w:p>
        </w:tc>
      </w:tr>
      <w:tr w:rsidR="00796606" w:rsidRPr="002F17B5" w:rsidTr="008C0AEC">
        <w:tc>
          <w:tcPr>
            <w:tcW w:w="5058" w:type="dxa"/>
          </w:tcPr>
          <w:p w:rsidR="00796606" w:rsidRDefault="00796606" w:rsidP="00FB6515">
            <w:r>
              <w:t>Leases expiring after five years</w:t>
            </w:r>
          </w:p>
        </w:tc>
        <w:tc>
          <w:tcPr>
            <w:tcW w:w="1559" w:type="dxa"/>
            <w:tcBorders>
              <w:bottom w:val="single" w:sz="18" w:space="0" w:color="auto"/>
            </w:tcBorders>
          </w:tcPr>
          <w:p w:rsidR="00796606" w:rsidRPr="002F17B5" w:rsidRDefault="00796606" w:rsidP="008C0AEC">
            <w:pPr>
              <w:tabs>
                <w:tab w:val="right" w:pos="1343"/>
              </w:tabs>
            </w:pPr>
            <w:r>
              <w:tab/>
              <w:t>12.4</w:t>
            </w:r>
          </w:p>
        </w:tc>
        <w:tc>
          <w:tcPr>
            <w:tcW w:w="430" w:type="dxa"/>
          </w:tcPr>
          <w:p w:rsidR="00796606" w:rsidRPr="002F17B5" w:rsidRDefault="00796606" w:rsidP="00FB6515">
            <w:pPr>
              <w:jc w:val="right"/>
            </w:pPr>
          </w:p>
        </w:tc>
        <w:tc>
          <w:tcPr>
            <w:tcW w:w="1696" w:type="dxa"/>
            <w:tcBorders>
              <w:bottom w:val="single" w:sz="18" w:space="0" w:color="auto"/>
            </w:tcBorders>
          </w:tcPr>
          <w:p w:rsidR="00796606" w:rsidRPr="002F17B5" w:rsidRDefault="00796606" w:rsidP="00FB6515">
            <w:pPr>
              <w:jc w:val="right"/>
            </w:pPr>
            <w:r>
              <w:t>13.6</w:t>
            </w:r>
          </w:p>
        </w:tc>
      </w:tr>
      <w:tr w:rsidR="0007123B" w:rsidRPr="002F17B5" w:rsidTr="008C0AEC">
        <w:tc>
          <w:tcPr>
            <w:tcW w:w="5058" w:type="dxa"/>
          </w:tcPr>
          <w:p w:rsidR="0007123B" w:rsidRPr="002F17B5" w:rsidRDefault="00796606" w:rsidP="00FB6515">
            <w:r>
              <w:t>Total</w:t>
            </w:r>
          </w:p>
        </w:tc>
        <w:tc>
          <w:tcPr>
            <w:tcW w:w="1559" w:type="dxa"/>
            <w:tcBorders>
              <w:top w:val="single" w:sz="18" w:space="0" w:color="auto"/>
              <w:bottom w:val="single" w:sz="18" w:space="0" w:color="auto"/>
            </w:tcBorders>
          </w:tcPr>
          <w:p w:rsidR="0007123B" w:rsidRPr="002F17B5" w:rsidRDefault="00796606" w:rsidP="00FB6515">
            <w:pPr>
              <w:jc w:val="right"/>
            </w:pPr>
            <w:r>
              <w:t>26.3</w:t>
            </w:r>
          </w:p>
        </w:tc>
        <w:tc>
          <w:tcPr>
            <w:tcW w:w="430" w:type="dxa"/>
            <w:tcBorders>
              <w:right w:val="single" w:sz="4" w:space="0" w:color="FFFFFF" w:themeColor="background1"/>
            </w:tcBorders>
          </w:tcPr>
          <w:p w:rsidR="0007123B" w:rsidRPr="002F17B5" w:rsidRDefault="0007123B" w:rsidP="00FB6515">
            <w:pPr>
              <w:jc w:val="right"/>
            </w:pPr>
          </w:p>
        </w:tc>
        <w:tc>
          <w:tcPr>
            <w:tcW w:w="1696" w:type="dxa"/>
            <w:tcBorders>
              <w:top w:val="single" w:sz="18" w:space="0" w:color="auto"/>
              <w:left w:val="single" w:sz="4" w:space="0" w:color="FFFFFF" w:themeColor="background1"/>
              <w:bottom w:val="single" w:sz="18" w:space="0" w:color="auto"/>
            </w:tcBorders>
          </w:tcPr>
          <w:p w:rsidR="0007123B" w:rsidRPr="002F17B5" w:rsidRDefault="00796606" w:rsidP="00FB6515">
            <w:pPr>
              <w:jc w:val="right"/>
            </w:pPr>
            <w:r>
              <w:t>29.7</w:t>
            </w:r>
          </w:p>
        </w:tc>
      </w:tr>
    </w:tbl>
    <w:p w:rsidR="00274914" w:rsidRDefault="00274914" w:rsidP="00274914">
      <w:pPr>
        <w:pStyle w:val="BodyTextIndent"/>
        <w:spacing w:after="0"/>
        <w:rPr>
          <w:b/>
          <w:szCs w:val="24"/>
        </w:rPr>
      </w:pPr>
    </w:p>
    <w:p w:rsidR="00796606" w:rsidRPr="00796606" w:rsidRDefault="00796606" w:rsidP="00796606">
      <w:pPr>
        <w:pStyle w:val="BodyTextIndent"/>
      </w:pPr>
      <w:r w:rsidRPr="00796606">
        <w:lastRenderedPageBreak/>
        <w:t>There are no contingent rents as all rents are fixed until the next rent review (generally on 5 year review patterns) and then are either reviewed to Market Rent, a fixed uplift or in line with an index.</w:t>
      </w:r>
    </w:p>
    <w:p w:rsidR="00796606" w:rsidRDefault="00796606" w:rsidP="00796606">
      <w:pPr>
        <w:pStyle w:val="BodyTextIndent"/>
      </w:pPr>
      <w:r w:rsidRPr="00796606">
        <w:t>The income is contractually secured against a wide range of tenants who in turn operate in a range of market sectors. Income is generally reviewed to Market Rent 5 yearly, and there is also an element of the portfolio income that is indexed or has fixed uplifts (generally being in the range of 2-4% per annum). The portfolio also features a number of vacant properties for which the future income depends on the terms agreed by tenants, and the investment manager is working with letting agents to fill these voids.</w:t>
      </w:r>
    </w:p>
    <w:p w:rsidR="00AC0229" w:rsidRPr="00796606" w:rsidRDefault="00AC0229" w:rsidP="00796606">
      <w:pPr>
        <w:pStyle w:val="BodyTextIndent"/>
      </w:pPr>
    </w:p>
    <w:p w:rsidR="00274914" w:rsidRPr="002F17B5" w:rsidRDefault="00274914" w:rsidP="008C0AEC">
      <w:pPr>
        <w:pStyle w:val="BodyTextIndent"/>
        <w:spacing w:after="0"/>
        <w:ind w:left="0"/>
        <w:rPr>
          <w:b/>
          <w:szCs w:val="24"/>
        </w:rPr>
      </w:pPr>
    </w:p>
    <w:p w:rsidR="00274914" w:rsidRPr="002F17B5" w:rsidRDefault="00274914" w:rsidP="009A4C35">
      <w:pPr>
        <w:numPr>
          <w:ilvl w:val="0"/>
          <w:numId w:val="75"/>
        </w:numPr>
        <w:autoSpaceDE/>
        <w:autoSpaceDN/>
        <w:adjustRightInd/>
        <w:spacing w:before="0" w:after="240"/>
        <w:jc w:val="left"/>
      </w:pPr>
      <w:r w:rsidRPr="002F17B5">
        <w:rPr>
          <w:b/>
        </w:rPr>
        <w:t>Stock Lending</w:t>
      </w:r>
    </w:p>
    <w:p w:rsidR="00274914" w:rsidRPr="002F17B5" w:rsidRDefault="00274914" w:rsidP="00274914">
      <w:pPr>
        <w:pStyle w:val="BodyTextIndent"/>
        <w:ind w:left="709"/>
        <w:rPr>
          <w:szCs w:val="24"/>
        </w:rPr>
      </w:pPr>
      <w:r w:rsidRPr="002F17B5">
        <w:rPr>
          <w:szCs w:val="24"/>
        </w:rPr>
        <w:t>Northern Trust the Fund's custodian, are authorised to release stock to a third party under stock lending arrangements up to the statutory limits for this activity.  Stock lending income generated in 2013/14 was £1.2m (2012/13 £0.6m)</w:t>
      </w:r>
    </w:p>
    <w:p w:rsidR="00274914" w:rsidRPr="002F17B5" w:rsidRDefault="00274914" w:rsidP="00274914">
      <w:pPr>
        <w:pStyle w:val="BodyTextIndent"/>
        <w:ind w:left="709"/>
        <w:rPr>
          <w:szCs w:val="24"/>
        </w:rPr>
      </w:pPr>
      <w:r w:rsidRPr="002F17B5">
        <w:rPr>
          <w:szCs w:val="24"/>
        </w:rPr>
        <w:t>Securities on loan at the 31</w:t>
      </w:r>
      <w:r w:rsidRPr="002F17B5">
        <w:rPr>
          <w:szCs w:val="24"/>
          <w:vertAlign w:val="superscript"/>
        </w:rPr>
        <w:t>st</w:t>
      </w:r>
      <w:r w:rsidRPr="002F17B5">
        <w:rPr>
          <w:szCs w:val="24"/>
        </w:rPr>
        <w:t xml:space="preserve"> March 2014 were £131.7m and are included in the net asset statement to reflect the scheme's continuing economic interest in the securities.  This consisted of £129.9m of equities and £1.8m of bonds.</w:t>
      </w:r>
    </w:p>
    <w:p w:rsidR="00274914" w:rsidRDefault="00274914" w:rsidP="00274914">
      <w:pPr>
        <w:pStyle w:val="BodyTextIndent"/>
        <w:ind w:left="709"/>
        <w:rPr>
          <w:szCs w:val="24"/>
        </w:rPr>
      </w:pPr>
      <w:r w:rsidRPr="002F17B5">
        <w:rPr>
          <w:szCs w:val="24"/>
        </w:rPr>
        <w:t>Collateral is marked to market, and adjusted daily. Additional collateral of between 2% and 5% is requested as an additional measure of industry standard practice to mitigate risk. As the Fund has an obligation to return the collateral to the borrowers, collateral is excluded from the Fund valuation. The collateral is non cash and totalled £139.8m of government bonds.</w:t>
      </w:r>
    </w:p>
    <w:p w:rsidR="00AC0229" w:rsidRDefault="00AC0229" w:rsidP="00274914">
      <w:pPr>
        <w:pStyle w:val="BodyTextIndent"/>
        <w:ind w:left="709"/>
        <w:rPr>
          <w:szCs w:val="24"/>
        </w:rPr>
      </w:pPr>
    </w:p>
    <w:p w:rsidR="00AC0229" w:rsidRPr="002F17B5" w:rsidRDefault="00AC0229" w:rsidP="00274914">
      <w:pPr>
        <w:pStyle w:val="BodyTextIndent"/>
        <w:ind w:left="709"/>
        <w:rPr>
          <w:szCs w:val="24"/>
        </w:rPr>
      </w:pPr>
    </w:p>
    <w:p w:rsidR="00274914" w:rsidRPr="002F17B5" w:rsidRDefault="00274914" w:rsidP="009A4C35">
      <w:pPr>
        <w:pStyle w:val="ListParagraph"/>
        <w:numPr>
          <w:ilvl w:val="0"/>
          <w:numId w:val="75"/>
        </w:numPr>
        <w:autoSpaceDE/>
        <w:autoSpaceDN/>
        <w:adjustRightInd/>
        <w:spacing w:before="0"/>
        <w:jc w:val="left"/>
        <w:rPr>
          <w:b/>
        </w:rPr>
      </w:pPr>
      <w:r w:rsidRPr="002F17B5">
        <w:rPr>
          <w:b/>
        </w:rPr>
        <w:t>Reconciliation of movements in investments and derivatives</w:t>
      </w:r>
    </w:p>
    <w:tbl>
      <w:tblPr>
        <w:tblStyle w:val="TableGrid"/>
        <w:tblW w:w="1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
        <w:gridCol w:w="771"/>
        <w:gridCol w:w="937"/>
        <w:gridCol w:w="65"/>
        <w:gridCol w:w="363"/>
        <w:gridCol w:w="1249"/>
        <w:gridCol w:w="168"/>
        <w:gridCol w:w="6"/>
        <w:gridCol w:w="1675"/>
        <w:gridCol w:w="99"/>
        <w:gridCol w:w="789"/>
        <w:gridCol w:w="854"/>
        <w:gridCol w:w="138"/>
        <w:gridCol w:w="706"/>
        <w:gridCol w:w="820"/>
        <w:gridCol w:w="39"/>
      </w:tblGrid>
      <w:tr w:rsidR="00274914" w:rsidRPr="002F17B5" w:rsidTr="00274914">
        <w:trPr>
          <w:trHeight w:val="949"/>
        </w:trPr>
        <w:tc>
          <w:tcPr>
            <w:tcW w:w="2383" w:type="dxa"/>
            <w:gridSpan w:val="2"/>
          </w:tcPr>
          <w:p w:rsidR="00274914" w:rsidRPr="002F17B5" w:rsidRDefault="00274914" w:rsidP="00274914">
            <w:pPr>
              <w:rPr>
                <w:b/>
                <w:sz w:val="20"/>
              </w:rPr>
            </w:pPr>
          </w:p>
        </w:tc>
        <w:tc>
          <w:tcPr>
            <w:tcW w:w="1708" w:type="dxa"/>
            <w:gridSpan w:val="2"/>
          </w:tcPr>
          <w:p w:rsidR="00274914" w:rsidRPr="002F17B5" w:rsidRDefault="00274914" w:rsidP="00274914">
            <w:pPr>
              <w:jc w:val="right"/>
              <w:rPr>
                <w:b/>
                <w:sz w:val="20"/>
              </w:rPr>
            </w:pPr>
            <w:r w:rsidRPr="002F17B5">
              <w:rPr>
                <w:b/>
                <w:sz w:val="20"/>
              </w:rPr>
              <w:t>Market Value at 1 April 2013</w:t>
            </w:r>
          </w:p>
        </w:tc>
        <w:tc>
          <w:tcPr>
            <w:tcW w:w="1851" w:type="dxa"/>
            <w:gridSpan w:val="5"/>
          </w:tcPr>
          <w:p w:rsidR="00274914" w:rsidRPr="002F17B5" w:rsidRDefault="00274914" w:rsidP="00274914">
            <w:pPr>
              <w:jc w:val="right"/>
              <w:rPr>
                <w:b/>
                <w:sz w:val="20"/>
              </w:rPr>
            </w:pPr>
            <w:r w:rsidRPr="002F17B5">
              <w:rPr>
                <w:b/>
                <w:sz w:val="20"/>
              </w:rPr>
              <w:t>Purchases at cost and derivative payments</w:t>
            </w:r>
          </w:p>
        </w:tc>
        <w:tc>
          <w:tcPr>
            <w:tcW w:w="1675" w:type="dxa"/>
          </w:tcPr>
          <w:p w:rsidR="00274914" w:rsidRPr="002F17B5" w:rsidRDefault="00274914" w:rsidP="00274914">
            <w:pPr>
              <w:jc w:val="right"/>
              <w:rPr>
                <w:b/>
                <w:sz w:val="20"/>
              </w:rPr>
            </w:pPr>
            <w:r w:rsidRPr="002F17B5">
              <w:rPr>
                <w:b/>
                <w:sz w:val="20"/>
              </w:rPr>
              <w:t>Sales proceeds and derivative receipts</w:t>
            </w:r>
          </w:p>
        </w:tc>
        <w:tc>
          <w:tcPr>
            <w:tcW w:w="1742" w:type="dxa"/>
            <w:gridSpan w:val="3"/>
          </w:tcPr>
          <w:p w:rsidR="00274914" w:rsidRPr="002F17B5" w:rsidRDefault="00274914" w:rsidP="00274914">
            <w:pPr>
              <w:jc w:val="right"/>
              <w:rPr>
                <w:b/>
                <w:sz w:val="20"/>
              </w:rPr>
            </w:pPr>
            <w:r w:rsidRPr="002F17B5">
              <w:rPr>
                <w:b/>
                <w:sz w:val="20"/>
              </w:rPr>
              <w:t>Change in market</w:t>
            </w:r>
          </w:p>
          <w:p w:rsidR="00274914" w:rsidRPr="002F17B5" w:rsidRDefault="00274914" w:rsidP="00274914">
            <w:pPr>
              <w:jc w:val="right"/>
              <w:rPr>
                <w:b/>
                <w:sz w:val="20"/>
              </w:rPr>
            </w:pPr>
            <w:r w:rsidRPr="002F17B5">
              <w:rPr>
                <w:b/>
                <w:sz w:val="20"/>
              </w:rPr>
              <w:t xml:space="preserve"> value</w:t>
            </w:r>
          </w:p>
        </w:tc>
        <w:tc>
          <w:tcPr>
            <w:tcW w:w="1703" w:type="dxa"/>
            <w:gridSpan w:val="4"/>
          </w:tcPr>
          <w:p w:rsidR="00274914" w:rsidRPr="002F17B5" w:rsidRDefault="00274914" w:rsidP="00274914">
            <w:pPr>
              <w:jc w:val="right"/>
              <w:rPr>
                <w:b/>
                <w:sz w:val="20"/>
              </w:rPr>
            </w:pPr>
            <w:r w:rsidRPr="002F17B5">
              <w:rPr>
                <w:b/>
                <w:sz w:val="20"/>
              </w:rPr>
              <w:t xml:space="preserve">Market value at 31 March </w:t>
            </w:r>
          </w:p>
          <w:p w:rsidR="00274914" w:rsidRPr="002F17B5" w:rsidRDefault="00274914" w:rsidP="00274914">
            <w:pPr>
              <w:jc w:val="right"/>
              <w:rPr>
                <w:b/>
                <w:sz w:val="20"/>
              </w:rPr>
            </w:pPr>
            <w:r w:rsidRPr="002F17B5">
              <w:rPr>
                <w:b/>
                <w:sz w:val="20"/>
              </w:rPr>
              <w:t>2014</w:t>
            </w:r>
          </w:p>
        </w:tc>
      </w:tr>
      <w:tr w:rsidR="00274914" w:rsidRPr="002F17B5" w:rsidTr="00274914">
        <w:trPr>
          <w:trHeight w:val="234"/>
        </w:trPr>
        <w:tc>
          <w:tcPr>
            <w:tcW w:w="2383" w:type="dxa"/>
            <w:gridSpan w:val="2"/>
          </w:tcPr>
          <w:p w:rsidR="00274914" w:rsidRPr="002F17B5" w:rsidRDefault="00274914" w:rsidP="00274914">
            <w:pPr>
              <w:rPr>
                <w:b/>
                <w:sz w:val="20"/>
              </w:rPr>
            </w:pPr>
          </w:p>
        </w:tc>
        <w:tc>
          <w:tcPr>
            <w:tcW w:w="771" w:type="dxa"/>
            <w:tcBorders>
              <w:right w:val="single" w:sz="18" w:space="0" w:color="FFFFFF" w:themeColor="background1"/>
            </w:tcBorders>
          </w:tcPr>
          <w:p w:rsidR="00274914" w:rsidRPr="002F17B5" w:rsidRDefault="00274914" w:rsidP="00274914">
            <w:pPr>
              <w:jc w:val="right"/>
              <w:rPr>
                <w:b/>
                <w:sz w:val="20"/>
              </w:rPr>
            </w:pPr>
          </w:p>
        </w:tc>
        <w:tc>
          <w:tcPr>
            <w:tcW w:w="937" w:type="dxa"/>
            <w:tcBorders>
              <w:left w:val="single" w:sz="18" w:space="0" w:color="FFFFFF" w:themeColor="background1"/>
            </w:tcBorders>
          </w:tcPr>
          <w:p w:rsidR="00274914" w:rsidRPr="002F17B5" w:rsidRDefault="00274914" w:rsidP="00274914">
            <w:pPr>
              <w:jc w:val="right"/>
              <w:rPr>
                <w:b/>
                <w:sz w:val="20"/>
              </w:rPr>
            </w:pPr>
            <w:r w:rsidRPr="002F17B5">
              <w:rPr>
                <w:b/>
                <w:sz w:val="20"/>
              </w:rPr>
              <w:t>£m</w:t>
            </w:r>
          </w:p>
        </w:tc>
        <w:tc>
          <w:tcPr>
            <w:tcW w:w="428" w:type="dxa"/>
            <w:gridSpan w:val="2"/>
            <w:tcBorders>
              <w:right w:val="single" w:sz="18" w:space="0" w:color="FFFFFF" w:themeColor="background1"/>
            </w:tcBorders>
          </w:tcPr>
          <w:p w:rsidR="00274914" w:rsidRPr="002F17B5" w:rsidRDefault="00274914" w:rsidP="00274914">
            <w:pPr>
              <w:jc w:val="right"/>
              <w:rPr>
                <w:b/>
                <w:sz w:val="20"/>
              </w:rPr>
            </w:pPr>
          </w:p>
        </w:tc>
        <w:tc>
          <w:tcPr>
            <w:tcW w:w="1423" w:type="dxa"/>
            <w:gridSpan w:val="3"/>
            <w:tcBorders>
              <w:left w:val="single" w:sz="18" w:space="0" w:color="FFFFFF" w:themeColor="background1"/>
            </w:tcBorders>
          </w:tcPr>
          <w:p w:rsidR="00274914" w:rsidRPr="002F17B5" w:rsidRDefault="00274914" w:rsidP="00274914">
            <w:pPr>
              <w:jc w:val="right"/>
              <w:rPr>
                <w:b/>
                <w:sz w:val="20"/>
              </w:rPr>
            </w:pPr>
            <w:r w:rsidRPr="002F17B5">
              <w:rPr>
                <w:b/>
                <w:sz w:val="20"/>
              </w:rPr>
              <w:t>£m</w:t>
            </w:r>
          </w:p>
        </w:tc>
        <w:tc>
          <w:tcPr>
            <w:tcW w:w="1675" w:type="dxa"/>
          </w:tcPr>
          <w:p w:rsidR="00274914" w:rsidRPr="002F17B5" w:rsidRDefault="00274914" w:rsidP="00274914">
            <w:pPr>
              <w:jc w:val="right"/>
              <w:rPr>
                <w:b/>
                <w:sz w:val="20"/>
              </w:rPr>
            </w:pPr>
            <w:r w:rsidRPr="002F17B5">
              <w:rPr>
                <w:b/>
                <w:sz w:val="20"/>
              </w:rPr>
              <w:t>£m</w:t>
            </w:r>
          </w:p>
        </w:tc>
        <w:tc>
          <w:tcPr>
            <w:tcW w:w="1742" w:type="dxa"/>
            <w:gridSpan w:val="3"/>
          </w:tcPr>
          <w:p w:rsidR="00274914" w:rsidRPr="002F17B5" w:rsidRDefault="00274914" w:rsidP="00274914">
            <w:pPr>
              <w:jc w:val="right"/>
              <w:rPr>
                <w:b/>
                <w:sz w:val="20"/>
              </w:rPr>
            </w:pPr>
            <w:r w:rsidRPr="002F17B5">
              <w:rPr>
                <w:b/>
                <w:sz w:val="20"/>
              </w:rPr>
              <w:t>£m</w:t>
            </w:r>
          </w:p>
        </w:tc>
        <w:tc>
          <w:tcPr>
            <w:tcW w:w="1703" w:type="dxa"/>
            <w:gridSpan w:val="4"/>
          </w:tcPr>
          <w:p w:rsidR="00274914" w:rsidRPr="002F17B5" w:rsidRDefault="00274914" w:rsidP="00274914">
            <w:pPr>
              <w:jc w:val="right"/>
              <w:rPr>
                <w:b/>
                <w:sz w:val="20"/>
              </w:rPr>
            </w:pPr>
            <w:r w:rsidRPr="002F17B5">
              <w:rPr>
                <w:b/>
                <w:sz w:val="20"/>
              </w:rPr>
              <w:t>£m</w:t>
            </w:r>
          </w:p>
        </w:tc>
      </w:tr>
      <w:tr w:rsidR="00274914" w:rsidRPr="002F17B5" w:rsidTr="00274914">
        <w:trPr>
          <w:trHeight w:val="234"/>
        </w:trPr>
        <w:tc>
          <w:tcPr>
            <w:tcW w:w="2383" w:type="dxa"/>
            <w:gridSpan w:val="2"/>
          </w:tcPr>
          <w:p w:rsidR="00274914" w:rsidRPr="002F17B5" w:rsidRDefault="00274914" w:rsidP="00274914">
            <w:pPr>
              <w:rPr>
                <w:sz w:val="20"/>
              </w:rPr>
            </w:pPr>
            <w:r w:rsidRPr="002F17B5">
              <w:rPr>
                <w:sz w:val="20"/>
              </w:rPr>
              <w:t>Fixed  interest securities</w:t>
            </w:r>
          </w:p>
        </w:tc>
        <w:tc>
          <w:tcPr>
            <w:tcW w:w="771" w:type="dxa"/>
            <w:tcBorders>
              <w:right w:val="single" w:sz="18" w:space="0" w:color="FFFFFF" w:themeColor="background1"/>
            </w:tcBorders>
          </w:tcPr>
          <w:p w:rsidR="00274914" w:rsidRPr="002F17B5" w:rsidRDefault="00274914" w:rsidP="00274914">
            <w:pPr>
              <w:jc w:val="right"/>
              <w:rPr>
                <w:sz w:val="20"/>
              </w:rPr>
            </w:pPr>
          </w:p>
        </w:tc>
        <w:tc>
          <w:tcPr>
            <w:tcW w:w="937" w:type="dxa"/>
            <w:tcBorders>
              <w:left w:val="single" w:sz="18" w:space="0" w:color="FFFFFF" w:themeColor="background1"/>
            </w:tcBorders>
          </w:tcPr>
          <w:p w:rsidR="00274914" w:rsidRPr="002F17B5" w:rsidRDefault="00274914" w:rsidP="00274914">
            <w:pPr>
              <w:jc w:val="right"/>
              <w:rPr>
                <w:sz w:val="20"/>
              </w:rPr>
            </w:pPr>
            <w:r w:rsidRPr="002F17B5">
              <w:rPr>
                <w:sz w:val="20"/>
              </w:rPr>
              <w:t>843.6</w:t>
            </w:r>
          </w:p>
        </w:tc>
        <w:tc>
          <w:tcPr>
            <w:tcW w:w="428" w:type="dxa"/>
            <w:gridSpan w:val="2"/>
            <w:tcBorders>
              <w:right w:val="single" w:sz="18" w:space="0" w:color="FFFFFF" w:themeColor="background1"/>
            </w:tcBorders>
          </w:tcPr>
          <w:p w:rsidR="00274914" w:rsidRPr="002F17B5" w:rsidRDefault="00274914" w:rsidP="00274914">
            <w:pPr>
              <w:jc w:val="right"/>
              <w:rPr>
                <w:sz w:val="20"/>
              </w:rPr>
            </w:pPr>
          </w:p>
        </w:tc>
        <w:tc>
          <w:tcPr>
            <w:tcW w:w="1249" w:type="dxa"/>
            <w:tcBorders>
              <w:left w:val="single" w:sz="18" w:space="0" w:color="FFFFFF" w:themeColor="background1"/>
            </w:tcBorders>
          </w:tcPr>
          <w:p w:rsidR="00274914" w:rsidRPr="002F17B5" w:rsidRDefault="00274914" w:rsidP="00274914">
            <w:pPr>
              <w:jc w:val="right"/>
              <w:rPr>
                <w:sz w:val="20"/>
              </w:rPr>
            </w:pPr>
            <w:r w:rsidRPr="002F17B5">
              <w:rPr>
                <w:sz w:val="20"/>
              </w:rPr>
              <w:t>190.2</w:t>
            </w:r>
          </w:p>
        </w:tc>
        <w:tc>
          <w:tcPr>
            <w:tcW w:w="1849" w:type="dxa"/>
            <w:gridSpan w:val="3"/>
          </w:tcPr>
          <w:p w:rsidR="00274914" w:rsidRPr="002F17B5" w:rsidRDefault="00274914" w:rsidP="00274914">
            <w:pPr>
              <w:jc w:val="right"/>
              <w:rPr>
                <w:sz w:val="20"/>
              </w:rPr>
            </w:pPr>
            <w:r w:rsidRPr="002F17B5">
              <w:rPr>
                <w:sz w:val="20"/>
              </w:rPr>
              <w:t>(765.9)</w:t>
            </w:r>
          </w:p>
        </w:tc>
        <w:tc>
          <w:tcPr>
            <w:tcW w:w="888" w:type="dxa"/>
            <w:gridSpan w:val="2"/>
            <w:tcBorders>
              <w:right w:val="single" w:sz="18" w:space="0" w:color="FFFFFF" w:themeColor="background1"/>
            </w:tcBorders>
          </w:tcPr>
          <w:p w:rsidR="00274914" w:rsidRPr="002F17B5" w:rsidRDefault="00274914" w:rsidP="00274914">
            <w:pPr>
              <w:jc w:val="center"/>
              <w:rPr>
                <w:sz w:val="20"/>
              </w:rPr>
            </w:pPr>
          </w:p>
        </w:tc>
        <w:tc>
          <w:tcPr>
            <w:tcW w:w="854" w:type="dxa"/>
            <w:tcBorders>
              <w:left w:val="single" w:sz="18" w:space="0" w:color="FFFFFF" w:themeColor="background1"/>
            </w:tcBorders>
          </w:tcPr>
          <w:p w:rsidR="00274914" w:rsidRPr="002F17B5" w:rsidRDefault="00274914" w:rsidP="00274914">
            <w:pPr>
              <w:jc w:val="right"/>
              <w:rPr>
                <w:sz w:val="20"/>
              </w:rPr>
            </w:pPr>
            <w:r w:rsidRPr="002F17B5">
              <w:rPr>
                <w:sz w:val="20"/>
              </w:rPr>
              <w:t>(34.9)</w:t>
            </w:r>
          </w:p>
        </w:tc>
        <w:tc>
          <w:tcPr>
            <w:tcW w:w="844" w:type="dxa"/>
            <w:gridSpan w:val="2"/>
            <w:tcBorders>
              <w:right w:val="single" w:sz="18" w:space="0" w:color="FFFFFF" w:themeColor="background1"/>
            </w:tcBorders>
          </w:tcPr>
          <w:p w:rsidR="00274914" w:rsidRPr="002F17B5" w:rsidRDefault="00274914" w:rsidP="00274914">
            <w:pPr>
              <w:jc w:val="right"/>
              <w:rPr>
                <w:sz w:val="20"/>
              </w:rPr>
            </w:pPr>
          </w:p>
        </w:tc>
        <w:tc>
          <w:tcPr>
            <w:tcW w:w="859"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233.0</w:t>
            </w:r>
          </w:p>
        </w:tc>
      </w:tr>
      <w:tr w:rsidR="00274914" w:rsidRPr="002F17B5" w:rsidTr="00274914">
        <w:trPr>
          <w:trHeight w:val="249"/>
        </w:trPr>
        <w:tc>
          <w:tcPr>
            <w:tcW w:w="2383" w:type="dxa"/>
            <w:gridSpan w:val="2"/>
          </w:tcPr>
          <w:p w:rsidR="00274914" w:rsidRPr="002F17B5" w:rsidRDefault="00274914" w:rsidP="00274914">
            <w:pPr>
              <w:rPr>
                <w:sz w:val="20"/>
              </w:rPr>
            </w:pPr>
            <w:r w:rsidRPr="002F17B5">
              <w:rPr>
                <w:sz w:val="20"/>
              </w:rPr>
              <w:t>Equities</w:t>
            </w:r>
          </w:p>
        </w:tc>
        <w:tc>
          <w:tcPr>
            <w:tcW w:w="771" w:type="dxa"/>
            <w:tcBorders>
              <w:right w:val="single" w:sz="18" w:space="0" w:color="FFFFFF" w:themeColor="background1"/>
            </w:tcBorders>
          </w:tcPr>
          <w:p w:rsidR="00274914" w:rsidRPr="002F17B5" w:rsidRDefault="00274914" w:rsidP="00274914">
            <w:pPr>
              <w:jc w:val="right"/>
              <w:rPr>
                <w:sz w:val="20"/>
              </w:rPr>
            </w:pPr>
          </w:p>
        </w:tc>
        <w:tc>
          <w:tcPr>
            <w:tcW w:w="937" w:type="dxa"/>
            <w:tcBorders>
              <w:left w:val="single" w:sz="18" w:space="0" w:color="FFFFFF" w:themeColor="background1"/>
            </w:tcBorders>
          </w:tcPr>
          <w:p w:rsidR="00274914" w:rsidRPr="002F17B5" w:rsidRDefault="00274914" w:rsidP="00274914">
            <w:pPr>
              <w:jc w:val="right"/>
              <w:rPr>
                <w:sz w:val="20"/>
              </w:rPr>
            </w:pPr>
            <w:r w:rsidRPr="002F17B5">
              <w:rPr>
                <w:sz w:val="20"/>
              </w:rPr>
              <w:t>1,749.3</w:t>
            </w:r>
          </w:p>
        </w:tc>
        <w:tc>
          <w:tcPr>
            <w:tcW w:w="428" w:type="dxa"/>
            <w:gridSpan w:val="2"/>
            <w:tcBorders>
              <w:right w:val="single" w:sz="18" w:space="0" w:color="FFFFFF" w:themeColor="background1"/>
            </w:tcBorders>
          </w:tcPr>
          <w:p w:rsidR="00274914" w:rsidRPr="002F17B5" w:rsidRDefault="00274914" w:rsidP="00274914">
            <w:pPr>
              <w:jc w:val="right"/>
              <w:rPr>
                <w:sz w:val="20"/>
              </w:rPr>
            </w:pPr>
          </w:p>
        </w:tc>
        <w:tc>
          <w:tcPr>
            <w:tcW w:w="1249" w:type="dxa"/>
            <w:tcBorders>
              <w:left w:val="single" w:sz="18" w:space="0" w:color="FFFFFF" w:themeColor="background1"/>
            </w:tcBorders>
          </w:tcPr>
          <w:p w:rsidR="00274914" w:rsidRPr="002F17B5" w:rsidRDefault="00274914" w:rsidP="00274914">
            <w:pPr>
              <w:jc w:val="right"/>
              <w:rPr>
                <w:sz w:val="20"/>
              </w:rPr>
            </w:pPr>
            <w:r w:rsidRPr="002F17B5">
              <w:rPr>
                <w:sz w:val="20"/>
              </w:rPr>
              <w:t>972.5</w:t>
            </w:r>
          </w:p>
        </w:tc>
        <w:tc>
          <w:tcPr>
            <w:tcW w:w="1849" w:type="dxa"/>
            <w:gridSpan w:val="3"/>
          </w:tcPr>
          <w:p w:rsidR="00274914" w:rsidRPr="002F17B5" w:rsidRDefault="00274914" w:rsidP="00274914">
            <w:pPr>
              <w:jc w:val="right"/>
              <w:rPr>
                <w:sz w:val="20"/>
              </w:rPr>
            </w:pPr>
            <w:r w:rsidRPr="002F17B5">
              <w:rPr>
                <w:sz w:val="20"/>
              </w:rPr>
              <w:t>(954.8)</w:t>
            </w:r>
          </w:p>
        </w:tc>
        <w:tc>
          <w:tcPr>
            <w:tcW w:w="888" w:type="dxa"/>
            <w:gridSpan w:val="2"/>
            <w:tcBorders>
              <w:right w:val="single" w:sz="18" w:space="0" w:color="FFFFFF" w:themeColor="background1"/>
            </w:tcBorders>
          </w:tcPr>
          <w:p w:rsidR="00274914" w:rsidRPr="002F17B5" w:rsidRDefault="00274914" w:rsidP="00274914">
            <w:pPr>
              <w:jc w:val="right"/>
              <w:rPr>
                <w:sz w:val="20"/>
              </w:rPr>
            </w:pPr>
          </w:p>
        </w:tc>
        <w:tc>
          <w:tcPr>
            <w:tcW w:w="854" w:type="dxa"/>
            <w:tcBorders>
              <w:left w:val="single" w:sz="18" w:space="0" w:color="FFFFFF" w:themeColor="background1"/>
            </w:tcBorders>
          </w:tcPr>
          <w:p w:rsidR="00274914" w:rsidRPr="002F17B5" w:rsidRDefault="00274914" w:rsidP="00274914">
            <w:pPr>
              <w:jc w:val="right"/>
              <w:rPr>
                <w:sz w:val="20"/>
              </w:rPr>
            </w:pPr>
            <w:r w:rsidRPr="002F17B5">
              <w:rPr>
                <w:sz w:val="20"/>
              </w:rPr>
              <w:t>154.1</w:t>
            </w:r>
          </w:p>
        </w:tc>
        <w:tc>
          <w:tcPr>
            <w:tcW w:w="1703" w:type="dxa"/>
            <w:gridSpan w:val="4"/>
          </w:tcPr>
          <w:p w:rsidR="00274914" w:rsidRPr="002F17B5" w:rsidRDefault="00274914" w:rsidP="00274914">
            <w:pPr>
              <w:jc w:val="right"/>
              <w:rPr>
                <w:sz w:val="20"/>
              </w:rPr>
            </w:pPr>
            <w:r w:rsidRPr="002F17B5">
              <w:rPr>
                <w:sz w:val="20"/>
              </w:rPr>
              <w:t>1,921.1</w:t>
            </w:r>
          </w:p>
        </w:tc>
      </w:tr>
      <w:tr w:rsidR="00274914" w:rsidRPr="002F17B5" w:rsidTr="00274914">
        <w:trPr>
          <w:trHeight w:val="234"/>
        </w:trPr>
        <w:tc>
          <w:tcPr>
            <w:tcW w:w="2383" w:type="dxa"/>
            <w:gridSpan w:val="2"/>
          </w:tcPr>
          <w:p w:rsidR="00274914" w:rsidRPr="002F17B5" w:rsidRDefault="00274914" w:rsidP="00274914">
            <w:pPr>
              <w:rPr>
                <w:sz w:val="20"/>
              </w:rPr>
            </w:pPr>
            <w:r w:rsidRPr="002F17B5">
              <w:rPr>
                <w:sz w:val="20"/>
              </w:rPr>
              <w:t>Index linked securities</w:t>
            </w:r>
          </w:p>
        </w:tc>
        <w:tc>
          <w:tcPr>
            <w:tcW w:w="771" w:type="dxa"/>
            <w:tcBorders>
              <w:right w:val="single" w:sz="18" w:space="0" w:color="FFFFFF" w:themeColor="background1"/>
            </w:tcBorders>
          </w:tcPr>
          <w:p w:rsidR="00274914" w:rsidRPr="002F17B5" w:rsidRDefault="00274914" w:rsidP="00274914">
            <w:pPr>
              <w:jc w:val="right"/>
              <w:rPr>
                <w:sz w:val="20"/>
              </w:rPr>
            </w:pPr>
          </w:p>
        </w:tc>
        <w:tc>
          <w:tcPr>
            <w:tcW w:w="937" w:type="dxa"/>
            <w:tcBorders>
              <w:left w:val="single" w:sz="18" w:space="0" w:color="FFFFFF" w:themeColor="background1"/>
            </w:tcBorders>
          </w:tcPr>
          <w:p w:rsidR="00274914" w:rsidRPr="002F17B5" w:rsidRDefault="00274914" w:rsidP="00274914">
            <w:pPr>
              <w:jc w:val="right"/>
              <w:rPr>
                <w:sz w:val="20"/>
              </w:rPr>
            </w:pPr>
            <w:r w:rsidRPr="002F17B5">
              <w:rPr>
                <w:sz w:val="20"/>
              </w:rPr>
              <w:t>164.9</w:t>
            </w:r>
          </w:p>
        </w:tc>
        <w:tc>
          <w:tcPr>
            <w:tcW w:w="428" w:type="dxa"/>
            <w:gridSpan w:val="2"/>
            <w:tcBorders>
              <w:right w:val="single" w:sz="18" w:space="0" w:color="FFFFFF" w:themeColor="background1"/>
            </w:tcBorders>
          </w:tcPr>
          <w:p w:rsidR="00274914" w:rsidRPr="002F17B5" w:rsidRDefault="00274914" w:rsidP="00274914">
            <w:pPr>
              <w:jc w:val="right"/>
              <w:rPr>
                <w:sz w:val="20"/>
              </w:rPr>
            </w:pPr>
          </w:p>
        </w:tc>
        <w:tc>
          <w:tcPr>
            <w:tcW w:w="1249" w:type="dxa"/>
            <w:tcBorders>
              <w:left w:val="single" w:sz="18" w:space="0" w:color="FFFFFF" w:themeColor="background1"/>
            </w:tcBorders>
          </w:tcPr>
          <w:p w:rsidR="00274914" w:rsidRPr="002F17B5" w:rsidRDefault="00274914" w:rsidP="00274914">
            <w:pPr>
              <w:jc w:val="right"/>
              <w:rPr>
                <w:sz w:val="20"/>
              </w:rPr>
            </w:pPr>
            <w:r w:rsidRPr="002F17B5">
              <w:rPr>
                <w:sz w:val="20"/>
              </w:rPr>
              <w:t>92.9</w:t>
            </w:r>
          </w:p>
        </w:tc>
        <w:tc>
          <w:tcPr>
            <w:tcW w:w="1849" w:type="dxa"/>
            <w:gridSpan w:val="3"/>
          </w:tcPr>
          <w:p w:rsidR="00274914" w:rsidRPr="002F17B5" w:rsidRDefault="00274914" w:rsidP="00274914">
            <w:pPr>
              <w:jc w:val="right"/>
              <w:rPr>
                <w:sz w:val="20"/>
              </w:rPr>
            </w:pPr>
            <w:r w:rsidRPr="002F17B5">
              <w:rPr>
                <w:sz w:val="20"/>
              </w:rPr>
              <w:t>(248.5)</w:t>
            </w:r>
          </w:p>
        </w:tc>
        <w:tc>
          <w:tcPr>
            <w:tcW w:w="888" w:type="dxa"/>
            <w:gridSpan w:val="2"/>
            <w:tcBorders>
              <w:right w:val="single" w:sz="18" w:space="0" w:color="FFFFFF" w:themeColor="background1"/>
            </w:tcBorders>
          </w:tcPr>
          <w:p w:rsidR="00274914" w:rsidRPr="002F17B5" w:rsidRDefault="00274914" w:rsidP="00274914">
            <w:pPr>
              <w:jc w:val="right"/>
              <w:rPr>
                <w:sz w:val="20"/>
              </w:rPr>
            </w:pPr>
          </w:p>
        </w:tc>
        <w:tc>
          <w:tcPr>
            <w:tcW w:w="854" w:type="dxa"/>
            <w:tcBorders>
              <w:left w:val="single" w:sz="18" w:space="0" w:color="FFFFFF" w:themeColor="background1"/>
            </w:tcBorders>
            <w:vAlign w:val="bottom"/>
          </w:tcPr>
          <w:p w:rsidR="00274914" w:rsidRPr="002F17B5" w:rsidRDefault="00274914" w:rsidP="00274914">
            <w:pPr>
              <w:jc w:val="right"/>
              <w:rPr>
                <w:sz w:val="20"/>
              </w:rPr>
            </w:pPr>
            <w:r w:rsidRPr="002F17B5">
              <w:rPr>
                <w:sz w:val="20"/>
              </w:rPr>
              <w:t>(9.3)</w:t>
            </w:r>
          </w:p>
        </w:tc>
        <w:tc>
          <w:tcPr>
            <w:tcW w:w="844" w:type="dxa"/>
            <w:gridSpan w:val="2"/>
            <w:tcBorders>
              <w:right w:val="single" w:sz="18" w:space="0" w:color="FFFFFF" w:themeColor="background1"/>
            </w:tcBorders>
            <w:vAlign w:val="bottom"/>
          </w:tcPr>
          <w:p w:rsidR="00274914" w:rsidRPr="002F17B5" w:rsidRDefault="00274914" w:rsidP="00274914">
            <w:pPr>
              <w:jc w:val="right"/>
              <w:rPr>
                <w:sz w:val="20"/>
              </w:rPr>
            </w:pPr>
          </w:p>
        </w:tc>
        <w:tc>
          <w:tcPr>
            <w:tcW w:w="859"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0.0</w:t>
            </w:r>
          </w:p>
        </w:tc>
      </w:tr>
      <w:tr w:rsidR="00274914" w:rsidRPr="002F17B5" w:rsidTr="00274914">
        <w:trPr>
          <w:trHeight w:val="234"/>
        </w:trPr>
        <w:tc>
          <w:tcPr>
            <w:tcW w:w="2383" w:type="dxa"/>
            <w:gridSpan w:val="2"/>
          </w:tcPr>
          <w:p w:rsidR="00274914" w:rsidRPr="002F17B5" w:rsidRDefault="00274914" w:rsidP="00274914">
            <w:pPr>
              <w:rPr>
                <w:sz w:val="20"/>
              </w:rPr>
            </w:pPr>
            <w:r w:rsidRPr="002F17B5">
              <w:rPr>
                <w:sz w:val="20"/>
              </w:rPr>
              <w:t>Pooled investments</w:t>
            </w:r>
          </w:p>
        </w:tc>
        <w:tc>
          <w:tcPr>
            <w:tcW w:w="771" w:type="dxa"/>
            <w:tcBorders>
              <w:right w:val="single" w:sz="18" w:space="0" w:color="FFFFFF" w:themeColor="background1"/>
            </w:tcBorders>
          </w:tcPr>
          <w:p w:rsidR="00274914" w:rsidRPr="002F17B5" w:rsidRDefault="00274914" w:rsidP="00274914">
            <w:pPr>
              <w:jc w:val="right"/>
              <w:rPr>
                <w:sz w:val="20"/>
              </w:rPr>
            </w:pPr>
          </w:p>
        </w:tc>
        <w:tc>
          <w:tcPr>
            <w:tcW w:w="937" w:type="dxa"/>
            <w:tcBorders>
              <w:left w:val="single" w:sz="18" w:space="0" w:color="FFFFFF" w:themeColor="background1"/>
            </w:tcBorders>
          </w:tcPr>
          <w:p w:rsidR="00274914" w:rsidRPr="002F17B5" w:rsidRDefault="00274914" w:rsidP="00274914">
            <w:pPr>
              <w:jc w:val="right"/>
              <w:rPr>
                <w:sz w:val="20"/>
              </w:rPr>
            </w:pPr>
            <w:r w:rsidRPr="002F17B5">
              <w:rPr>
                <w:sz w:val="20"/>
              </w:rPr>
              <w:t>1,601.2</w:t>
            </w:r>
          </w:p>
        </w:tc>
        <w:tc>
          <w:tcPr>
            <w:tcW w:w="428" w:type="dxa"/>
            <w:gridSpan w:val="2"/>
            <w:tcBorders>
              <w:right w:val="single" w:sz="18" w:space="0" w:color="FFFFFF" w:themeColor="background1"/>
            </w:tcBorders>
          </w:tcPr>
          <w:p w:rsidR="00274914" w:rsidRPr="002F17B5" w:rsidRDefault="00274914" w:rsidP="00274914">
            <w:pPr>
              <w:jc w:val="right"/>
              <w:rPr>
                <w:sz w:val="20"/>
              </w:rPr>
            </w:pPr>
          </w:p>
        </w:tc>
        <w:tc>
          <w:tcPr>
            <w:tcW w:w="1249" w:type="dxa"/>
            <w:tcBorders>
              <w:left w:val="single" w:sz="18" w:space="0" w:color="FFFFFF" w:themeColor="background1"/>
            </w:tcBorders>
          </w:tcPr>
          <w:p w:rsidR="00274914" w:rsidRPr="002F17B5" w:rsidRDefault="00274914" w:rsidP="00274914">
            <w:pPr>
              <w:jc w:val="right"/>
              <w:rPr>
                <w:sz w:val="20"/>
              </w:rPr>
            </w:pPr>
            <w:r w:rsidRPr="002F17B5">
              <w:rPr>
                <w:sz w:val="20"/>
              </w:rPr>
              <w:t>1,248.5</w:t>
            </w:r>
          </w:p>
        </w:tc>
        <w:tc>
          <w:tcPr>
            <w:tcW w:w="1849" w:type="dxa"/>
            <w:gridSpan w:val="3"/>
          </w:tcPr>
          <w:p w:rsidR="00274914" w:rsidRPr="002F17B5" w:rsidRDefault="00274914" w:rsidP="00274914">
            <w:pPr>
              <w:jc w:val="right"/>
              <w:rPr>
                <w:sz w:val="20"/>
              </w:rPr>
            </w:pPr>
            <w:r w:rsidRPr="002F17B5">
              <w:rPr>
                <w:sz w:val="20"/>
              </w:rPr>
              <w:t>(559.9)</w:t>
            </w:r>
          </w:p>
        </w:tc>
        <w:tc>
          <w:tcPr>
            <w:tcW w:w="888" w:type="dxa"/>
            <w:gridSpan w:val="2"/>
            <w:tcBorders>
              <w:right w:val="single" w:sz="18" w:space="0" w:color="FFFFFF" w:themeColor="background1"/>
            </w:tcBorders>
          </w:tcPr>
          <w:p w:rsidR="00274914" w:rsidRPr="002F17B5" w:rsidRDefault="00274914" w:rsidP="00274914">
            <w:pPr>
              <w:jc w:val="right"/>
              <w:rPr>
                <w:sz w:val="20"/>
              </w:rPr>
            </w:pPr>
          </w:p>
        </w:tc>
        <w:tc>
          <w:tcPr>
            <w:tcW w:w="854" w:type="dxa"/>
            <w:tcBorders>
              <w:left w:val="single" w:sz="18" w:space="0" w:color="FFFFFF" w:themeColor="background1"/>
            </w:tcBorders>
          </w:tcPr>
          <w:p w:rsidR="00274914" w:rsidRPr="002F17B5" w:rsidRDefault="00274914" w:rsidP="00274914">
            <w:pPr>
              <w:jc w:val="right"/>
              <w:rPr>
                <w:sz w:val="20"/>
              </w:rPr>
            </w:pPr>
            <w:r w:rsidRPr="002F17B5">
              <w:rPr>
                <w:sz w:val="20"/>
              </w:rPr>
              <w:t>(50.9)</w:t>
            </w:r>
          </w:p>
        </w:tc>
        <w:tc>
          <w:tcPr>
            <w:tcW w:w="1703" w:type="dxa"/>
            <w:gridSpan w:val="4"/>
          </w:tcPr>
          <w:p w:rsidR="00274914" w:rsidRPr="002F17B5" w:rsidRDefault="00274914" w:rsidP="00274914">
            <w:pPr>
              <w:jc w:val="right"/>
              <w:rPr>
                <w:sz w:val="20"/>
              </w:rPr>
            </w:pPr>
            <w:r w:rsidRPr="002F17B5">
              <w:rPr>
                <w:sz w:val="20"/>
              </w:rPr>
              <w:t>2,238.9</w:t>
            </w:r>
          </w:p>
        </w:tc>
      </w:tr>
      <w:tr w:rsidR="00274914" w:rsidRPr="002F17B5" w:rsidTr="00274914">
        <w:trPr>
          <w:trHeight w:val="249"/>
        </w:trPr>
        <w:tc>
          <w:tcPr>
            <w:tcW w:w="2383" w:type="dxa"/>
            <w:gridSpan w:val="2"/>
          </w:tcPr>
          <w:p w:rsidR="00274914" w:rsidRPr="002F17B5" w:rsidRDefault="00274914" w:rsidP="00274914">
            <w:pPr>
              <w:rPr>
                <w:sz w:val="20"/>
              </w:rPr>
            </w:pPr>
            <w:r w:rsidRPr="002F17B5">
              <w:rPr>
                <w:sz w:val="20"/>
              </w:rPr>
              <w:t>Property</w:t>
            </w:r>
          </w:p>
        </w:tc>
        <w:tc>
          <w:tcPr>
            <w:tcW w:w="771" w:type="dxa"/>
            <w:tcBorders>
              <w:bottom w:val="single" w:sz="18" w:space="0" w:color="auto"/>
              <w:right w:val="single" w:sz="18" w:space="0" w:color="FFFFFF" w:themeColor="background1"/>
            </w:tcBorders>
          </w:tcPr>
          <w:p w:rsidR="00274914" w:rsidRPr="002F17B5" w:rsidRDefault="00274914" w:rsidP="00274914">
            <w:pPr>
              <w:jc w:val="right"/>
              <w:rPr>
                <w:sz w:val="20"/>
              </w:rPr>
            </w:pPr>
          </w:p>
        </w:tc>
        <w:tc>
          <w:tcPr>
            <w:tcW w:w="937" w:type="dxa"/>
            <w:tcBorders>
              <w:left w:val="single" w:sz="18" w:space="0" w:color="FFFFFF" w:themeColor="background1"/>
              <w:bottom w:val="single" w:sz="18" w:space="0" w:color="auto"/>
            </w:tcBorders>
          </w:tcPr>
          <w:p w:rsidR="00274914" w:rsidRPr="002F17B5" w:rsidRDefault="00274914" w:rsidP="00274914">
            <w:pPr>
              <w:jc w:val="right"/>
              <w:rPr>
                <w:sz w:val="20"/>
              </w:rPr>
            </w:pPr>
            <w:r w:rsidRPr="002F17B5">
              <w:rPr>
                <w:sz w:val="20"/>
              </w:rPr>
              <w:t>434.9</w:t>
            </w:r>
          </w:p>
        </w:tc>
        <w:tc>
          <w:tcPr>
            <w:tcW w:w="428" w:type="dxa"/>
            <w:gridSpan w:val="2"/>
            <w:tcBorders>
              <w:bottom w:val="single" w:sz="18" w:space="0" w:color="auto"/>
              <w:right w:val="single" w:sz="18" w:space="0" w:color="FFFFFF" w:themeColor="background1"/>
            </w:tcBorders>
          </w:tcPr>
          <w:p w:rsidR="00274914" w:rsidRPr="002F17B5" w:rsidRDefault="00274914" w:rsidP="00274914">
            <w:pPr>
              <w:jc w:val="right"/>
              <w:rPr>
                <w:sz w:val="20"/>
              </w:rPr>
            </w:pPr>
          </w:p>
        </w:tc>
        <w:tc>
          <w:tcPr>
            <w:tcW w:w="1249" w:type="dxa"/>
            <w:tcBorders>
              <w:left w:val="single" w:sz="18" w:space="0" w:color="FFFFFF" w:themeColor="background1"/>
              <w:bottom w:val="single" w:sz="18" w:space="0" w:color="auto"/>
            </w:tcBorders>
          </w:tcPr>
          <w:p w:rsidR="00274914" w:rsidRPr="002F17B5" w:rsidRDefault="00274914" w:rsidP="00274914">
            <w:pPr>
              <w:jc w:val="right"/>
              <w:rPr>
                <w:sz w:val="20"/>
              </w:rPr>
            </w:pPr>
            <w:r w:rsidRPr="002F17B5">
              <w:rPr>
                <w:sz w:val="20"/>
              </w:rPr>
              <w:t>15.0</w:t>
            </w:r>
          </w:p>
        </w:tc>
        <w:tc>
          <w:tcPr>
            <w:tcW w:w="1849" w:type="dxa"/>
            <w:gridSpan w:val="3"/>
            <w:tcBorders>
              <w:bottom w:val="single" w:sz="18" w:space="0" w:color="auto"/>
            </w:tcBorders>
          </w:tcPr>
          <w:p w:rsidR="00274914" w:rsidRPr="002F17B5" w:rsidRDefault="00274914" w:rsidP="00274914">
            <w:pPr>
              <w:jc w:val="right"/>
              <w:rPr>
                <w:sz w:val="20"/>
              </w:rPr>
            </w:pPr>
            <w:r w:rsidRPr="002F17B5">
              <w:rPr>
                <w:sz w:val="20"/>
              </w:rPr>
              <w:t>(43.3)</w:t>
            </w:r>
          </w:p>
        </w:tc>
        <w:tc>
          <w:tcPr>
            <w:tcW w:w="888" w:type="dxa"/>
            <w:gridSpan w:val="2"/>
            <w:tcBorders>
              <w:bottom w:val="single" w:sz="18" w:space="0" w:color="auto"/>
              <w:right w:val="single" w:sz="18" w:space="0" w:color="FFFFFF" w:themeColor="background1"/>
            </w:tcBorders>
          </w:tcPr>
          <w:p w:rsidR="00274914" w:rsidRPr="002F17B5" w:rsidRDefault="00274914" w:rsidP="00274914">
            <w:pPr>
              <w:jc w:val="right"/>
              <w:rPr>
                <w:sz w:val="20"/>
              </w:rPr>
            </w:pPr>
          </w:p>
        </w:tc>
        <w:tc>
          <w:tcPr>
            <w:tcW w:w="854" w:type="dxa"/>
            <w:tcBorders>
              <w:left w:val="single" w:sz="18" w:space="0" w:color="FFFFFF" w:themeColor="background1"/>
              <w:bottom w:val="single" w:sz="18" w:space="0" w:color="auto"/>
            </w:tcBorders>
          </w:tcPr>
          <w:p w:rsidR="00274914" w:rsidRPr="002F17B5" w:rsidRDefault="00274914" w:rsidP="00274914">
            <w:pPr>
              <w:jc w:val="right"/>
              <w:rPr>
                <w:sz w:val="20"/>
              </w:rPr>
            </w:pPr>
            <w:r w:rsidRPr="002F17B5">
              <w:rPr>
                <w:sz w:val="20"/>
              </w:rPr>
              <w:t>43.9</w:t>
            </w:r>
          </w:p>
        </w:tc>
        <w:tc>
          <w:tcPr>
            <w:tcW w:w="844" w:type="dxa"/>
            <w:gridSpan w:val="2"/>
            <w:tcBorders>
              <w:bottom w:val="single" w:sz="18" w:space="0" w:color="auto"/>
              <w:right w:val="single" w:sz="18" w:space="0" w:color="FFFFFF" w:themeColor="background1"/>
            </w:tcBorders>
          </w:tcPr>
          <w:p w:rsidR="00274914" w:rsidRPr="002F17B5" w:rsidRDefault="00274914" w:rsidP="00274914">
            <w:pPr>
              <w:jc w:val="right"/>
              <w:rPr>
                <w:sz w:val="20"/>
              </w:rPr>
            </w:pPr>
          </w:p>
        </w:tc>
        <w:tc>
          <w:tcPr>
            <w:tcW w:w="859" w:type="dxa"/>
            <w:gridSpan w:val="2"/>
            <w:tcBorders>
              <w:left w:val="single" w:sz="18" w:space="0" w:color="FFFFFF" w:themeColor="background1"/>
              <w:bottom w:val="single" w:sz="18" w:space="0" w:color="auto"/>
            </w:tcBorders>
          </w:tcPr>
          <w:p w:rsidR="00274914" w:rsidRPr="002F17B5" w:rsidRDefault="00274914" w:rsidP="00274914">
            <w:pPr>
              <w:jc w:val="right"/>
              <w:rPr>
                <w:sz w:val="20"/>
              </w:rPr>
            </w:pPr>
            <w:r w:rsidRPr="002F17B5">
              <w:rPr>
                <w:sz w:val="20"/>
              </w:rPr>
              <w:t>450.5</w:t>
            </w:r>
          </w:p>
        </w:tc>
      </w:tr>
      <w:tr w:rsidR="00274914" w:rsidRPr="002F17B5" w:rsidTr="00274914">
        <w:trPr>
          <w:trHeight w:val="234"/>
        </w:trPr>
        <w:tc>
          <w:tcPr>
            <w:tcW w:w="2383" w:type="dxa"/>
            <w:gridSpan w:val="2"/>
          </w:tcPr>
          <w:p w:rsidR="00274914" w:rsidRPr="002F17B5" w:rsidRDefault="00274914" w:rsidP="00274914">
            <w:pPr>
              <w:rPr>
                <w:sz w:val="20"/>
              </w:rPr>
            </w:pPr>
          </w:p>
        </w:tc>
        <w:tc>
          <w:tcPr>
            <w:tcW w:w="771" w:type="dxa"/>
            <w:tcBorders>
              <w:top w:val="single" w:sz="18" w:space="0" w:color="auto"/>
              <w:right w:val="single" w:sz="18" w:space="0" w:color="FFFFFF" w:themeColor="background1"/>
            </w:tcBorders>
          </w:tcPr>
          <w:p w:rsidR="00274914" w:rsidRPr="002F17B5" w:rsidRDefault="00274914" w:rsidP="00274914">
            <w:pPr>
              <w:jc w:val="right"/>
              <w:rPr>
                <w:sz w:val="20"/>
              </w:rPr>
            </w:pPr>
          </w:p>
        </w:tc>
        <w:tc>
          <w:tcPr>
            <w:tcW w:w="937" w:type="dxa"/>
            <w:tcBorders>
              <w:top w:val="single" w:sz="18" w:space="0" w:color="auto"/>
              <w:left w:val="single" w:sz="18" w:space="0" w:color="FFFFFF" w:themeColor="background1"/>
            </w:tcBorders>
          </w:tcPr>
          <w:p w:rsidR="00274914" w:rsidRPr="002F17B5" w:rsidRDefault="00274914" w:rsidP="00274914">
            <w:pPr>
              <w:jc w:val="right"/>
              <w:rPr>
                <w:sz w:val="20"/>
              </w:rPr>
            </w:pPr>
            <w:r w:rsidRPr="002F17B5">
              <w:rPr>
                <w:sz w:val="20"/>
              </w:rPr>
              <w:t>4,793.9</w:t>
            </w:r>
          </w:p>
        </w:tc>
        <w:tc>
          <w:tcPr>
            <w:tcW w:w="428" w:type="dxa"/>
            <w:gridSpan w:val="2"/>
            <w:tcBorders>
              <w:top w:val="single" w:sz="18" w:space="0" w:color="auto"/>
              <w:right w:val="single" w:sz="18" w:space="0" w:color="FFFFFF" w:themeColor="background1"/>
            </w:tcBorders>
          </w:tcPr>
          <w:p w:rsidR="00274914" w:rsidRPr="002F17B5" w:rsidRDefault="00274914" w:rsidP="00274914">
            <w:pPr>
              <w:jc w:val="right"/>
              <w:rPr>
                <w:sz w:val="20"/>
              </w:rPr>
            </w:pPr>
          </w:p>
        </w:tc>
        <w:tc>
          <w:tcPr>
            <w:tcW w:w="1249" w:type="dxa"/>
            <w:tcBorders>
              <w:top w:val="single" w:sz="18" w:space="0" w:color="auto"/>
              <w:left w:val="single" w:sz="18" w:space="0" w:color="FFFFFF" w:themeColor="background1"/>
            </w:tcBorders>
          </w:tcPr>
          <w:p w:rsidR="00274914" w:rsidRPr="002F17B5" w:rsidRDefault="00274914" w:rsidP="00274914">
            <w:pPr>
              <w:jc w:val="right"/>
              <w:rPr>
                <w:sz w:val="20"/>
              </w:rPr>
            </w:pPr>
            <w:r w:rsidRPr="002F17B5">
              <w:rPr>
                <w:sz w:val="20"/>
              </w:rPr>
              <w:t>2,519.1</w:t>
            </w:r>
          </w:p>
        </w:tc>
        <w:tc>
          <w:tcPr>
            <w:tcW w:w="1849" w:type="dxa"/>
            <w:gridSpan w:val="3"/>
            <w:tcBorders>
              <w:top w:val="single" w:sz="18" w:space="0" w:color="auto"/>
            </w:tcBorders>
          </w:tcPr>
          <w:p w:rsidR="00274914" w:rsidRPr="002F17B5" w:rsidRDefault="00274914" w:rsidP="00274914">
            <w:pPr>
              <w:jc w:val="right"/>
              <w:rPr>
                <w:sz w:val="20"/>
              </w:rPr>
            </w:pPr>
            <w:r w:rsidRPr="002F17B5">
              <w:rPr>
                <w:sz w:val="20"/>
              </w:rPr>
              <w:t>(2,572.4)</w:t>
            </w:r>
          </w:p>
        </w:tc>
        <w:tc>
          <w:tcPr>
            <w:tcW w:w="888" w:type="dxa"/>
            <w:gridSpan w:val="2"/>
            <w:tcBorders>
              <w:top w:val="single" w:sz="18" w:space="0" w:color="auto"/>
              <w:right w:val="single" w:sz="18" w:space="0" w:color="FFFFFF" w:themeColor="background1"/>
            </w:tcBorders>
          </w:tcPr>
          <w:p w:rsidR="00274914" w:rsidRPr="002F17B5" w:rsidRDefault="00274914" w:rsidP="00274914">
            <w:pPr>
              <w:jc w:val="right"/>
              <w:rPr>
                <w:sz w:val="20"/>
              </w:rPr>
            </w:pPr>
          </w:p>
        </w:tc>
        <w:tc>
          <w:tcPr>
            <w:tcW w:w="854" w:type="dxa"/>
            <w:tcBorders>
              <w:top w:val="single" w:sz="18" w:space="0" w:color="auto"/>
              <w:left w:val="single" w:sz="18" w:space="0" w:color="FFFFFF" w:themeColor="background1"/>
            </w:tcBorders>
          </w:tcPr>
          <w:p w:rsidR="00274914" w:rsidRPr="002F17B5" w:rsidRDefault="00274914" w:rsidP="00274914">
            <w:pPr>
              <w:jc w:val="right"/>
              <w:rPr>
                <w:sz w:val="20"/>
              </w:rPr>
            </w:pPr>
            <w:r w:rsidRPr="002F17B5">
              <w:rPr>
                <w:sz w:val="20"/>
              </w:rPr>
              <w:t>102.9</w:t>
            </w:r>
          </w:p>
        </w:tc>
        <w:tc>
          <w:tcPr>
            <w:tcW w:w="1703" w:type="dxa"/>
            <w:gridSpan w:val="4"/>
            <w:tcBorders>
              <w:top w:val="single" w:sz="18" w:space="0" w:color="auto"/>
            </w:tcBorders>
          </w:tcPr>
          <w:p w:rsidR="00274914" w:rsidRPr="002F17B5" w:rsidRDefault="00274914" w:rsidP="00274914">
            <w:pPr>
              <w:jc w:val="right"/>
              <w:rPr>
                <w:sz w:val="20"/>
              </w:rPr>
            </w:pPr>
            <w:r w:rsidRPr="002F17B5">
              <w:rPr>
                <w:sz w:val="20"/>
              </w:rPr>
              <w:t>4,843.5</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65"/>
        </w:trPr>
        <w:tc>
          <w:tcPr>
            <w:tcW w:w="2376" w:type="dxa"/>
            <w:tcBorders>
              <w:top w:val="nil"/>
              <w:left w:val="nil"/>
              <w:bottom w:val="nil"/>
              <w:right w:val="nil"/>
            </w:tcBorders>
          </w:tcPr>
          <w:p w:rsidR="00274914" w:rsidRPr="002F17B5" w:rsidRDefault="00274914" w:rsidP="00274914">
            <w:pPr>
              <w:rPr>
                <w:sz w:val="20"/>
              </w:rPr>
            </w:pPr>
            <w:r w:rsidRPr="002F17B5">
              <w:rPr>
                <w:sz w:val="20"/>
              </w:rPr>
              <w:lastRenderedPageBreak/>
              <w:t>Derivative contracts:</w:t>
            </w:r>
          </w:p>
          <w:p w:rsidR="00274914" w:rsidRPr="002F17B5" w:rsidRDefault="00274914" w:rsidP="00274914">
            <w:pPr>
              <w:rPr>
                <w:sz w:val="20"/>
              </w:rPr>
            </w:pPr>
          </w:p>
        </w:tc>
        <w:tc>
          <w:tcPr>
            <w:tcW w:w="1780" w:type="dxa"/>
            <w:gridSpan w:val="4"/>
            <w:tcBorders>
              <w:top w:val="nil"/>
              <w:left w:val="nil"/>
              <w:bottom w:val="nil"/>
              <w:right w:val="nil"/>
            </w:tcBorders>
          </w:tcPr>
          <w:p w:rsidR="00274914" w:rsidRPr="002F17B5" w:rsidRDefault="00274914" w:rsidP="00274914">
            <w:pPr>
              <w:ind w:right="112"/>
              <w:rPr>
                <w:sz w:val="20"/>
              </w:rPr>
            </w:pPr>
          </w:p>
        </w:tc>
        <w:tc>
          <w:tcPr>
            <w:tcW w:w="1780" w:type="dxa"/>
            <w:gridSpan w:val="3"/>
            <w:tcBorders>
              <w:top w:val="nil"/>
              <w:left w:val="nil"/>
              <w:bottom w:val="nil"/>
              <w:right w:val="nil"/>
            </w:tcBorders>
          </w:tcPr>
          <w:p w:rsidR="00274914" w:rsidRPr="002F17B5" w:rsidRDefault="00274914" w:rsidP="00274914">
            <w:pPr>
              <w:rPr>
                <w:sz w:val="20"/>
              </w:rPr>
            </w:pPr>
          </w:p>
        </w:tc>
        <w:tc>
          <w:tcPr>
            <w:tcW w:w="1780" w:type="dxa"/>
            <w:gridSpan w:val="3"/>
            <w:tcBorders>
              <w:top w:val="nil"/>
              <w:left w:val="nil"/>
              <w:bottom w:val="nil"/>
              <w:right w:val="nil"/>
            </w:tcBorders>
          </w:tcPr>
          <w:p w:rsidR="00274914" w:rsidRPr="002F17B5" w:rsidRDefault="00274914" w:rsidP="00274914">
            <w:pPr>
              <w:rPr>
                <w:sz w:val="20"/>
              </w:rPr>
            </w:pPr>
          </w:p>
        </w:tc>
        <w:tc>
          <w:tcPr>
            <w:tcW w:w="1781" w:type="dxa"/>
            <w:gridSpan w:val="3"/>
            <w:tcBorders>
              <w:top w:val="nil"/>
              <w:left w:val="nil"/>
              <w:bottom w:val="nil"/>
              <w:right w:val="nil"/>
            </w:tcBorders>
          </w:tcPr>
          <w:p w:rsidR="00274914" w:rsidRPr="002F17B5" w:rsidRDefault="00274914" w:rsidP="00274914">
            <w:pPr>
              <w:rPr>
                <w:sz w:val="20"/>
              </w:rPr>
            </w:pPr>
          </w:p>
        </w:tc>
        <w:tc>
          <w:tcPr>
            <w:tcW w:w="1526" w:type="dxa"/>
            <w:gridSpan w:val="2"/>
            <w:tcBorders>
              <w:top w:val="nil"/>
              <w:left w:val="nil"/>
              <w:bottom w:val="nil"/>
              <w:right w:val="nil"/>
            </w:tcBorders>
          </w:tcPr>
          <w:p w:rsidR="00274914" w:rsidRPr="002F17B5" w:rsidRDefault="00274914" w:rsidP="00274914">
            <w:pPr>
              <w:rPr>
                <w:sz w:val="20"/>
              </w:rPr>
            </w:pP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588"/>
        </w:trPr>
        <w:tc>
          <w:tcPr>
            <w:tcW w:w="2376" w:type="dxa"/>
            <w:tcBorders>
              <w:top w:val="nil"/>
              <w:left w:val="nil"/>
              <w:bottom w:val="nil"/>
              <w:right w:val="nil"/>
            </w:tcBorders>
          </w:tcPr>
          <w:p w:rsidR="00274914" w:rsidRPr="002F17B5" w:rsidRDefault="00274914" w:rsidP="00274914">
            <w:pPr>
              <w:rPr>
                <w:sz w:val="20"/>
              </w:rPr>
            </w:pPr>
            <w:r w:rsidRPr="002F17B5">
              <w:rPr>
                <w:sz w:val="20"/>
              </w:rPr>
              <w:t>Forward currency contracts asset value</w:t>
            </w:r>
          </w:p>
        </w:tc>
        <w:tc>
          <w:tcPr>
            <w:tcW w:w="1780" w:type="dxa"/>
            <w:gridSpan w:val="4"/>
            <w:tcBorders>
              <w:top w:val="nil"/>
              <w:left w:val="nil"/>
              <w:bottom w:val="nil"/>
              <w:right w:val="nil"/>
            </w:tcBorders>
          </w:tcPr>
          <w:p w:rsidR="00274914" w:rsidRPr="002F17B5" w:rsidRDefault="00274914" w:rsidP="00274914">
            <w:pPr>
              <w:ind w:right="112"/>
              <w:jc w:val="right"/>
              <w:rPr>
                <w:sz w:val="20"/>
              </w:rPr>
            </w:pPr>
            <w:r w:rsidRPr="002F17B5">
              <w:rPr>
                <w:sz w:val="20"/>
              </w:rPr>
              <w:t>121.4</w:t>
            </w: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1" w:type="dxa"/>
            <w:gridSpan w:val="3"/>
            <w:tcBorders>
              <w:top w:val="nil"/>
              <w:left w:val="nil"/>
              <w:bottom w:val="nil"/>
              <w:right w:val="nil"/>
            </w:tcBorders>
          </w:tcPr>
          <w:p w:rsidR="00274914" w:rsidRPr="002F17B5" w:rsidRDefault="00274914" w:rsidP="00274914">
            <w:pPr>
              <w:ind w:right="112"/>
              <w:jc w:val="right"/>
              <w:rPr>
                <w:sz w:val="20"/>
              </w:rPr>
            </w:pPr>
          </w:p>
        </w:tc>
        <w:tc>
          <w:tcPr>
            <w:tcW w:w="1526" w:type="dxa"/>
            <w:gridSpan w:val="2"/>
            <w:tcBorders>
              <w:top w:val="nil"/>
              <w:left w:val="nil"/>
              <w:bottom w:val="nil"/>
              <w:right w:val="nil"/>
            </w:tcBorders>
          </w:tcPr>
          <w:p w:rsidR="00274914" w:rsidRPr="002F17B5" w:rsidRDefault="00274914" w:rsidP="00274914">
            <w:pPr>
              <w:tabs>
                <w:tab w:val="left" w:pos="1276"/>
              </w:tabs>
              <w:jc w:val="right"/>
              <w:rPr>
                <w:sz w:val="20"/>
              </w:rPr>
            </w:pPr>
            <w:r w:rsidRPr="002F17B5">
              <w:rPr>
                <w:sz w:val="20"/>
              </w:rPr>
              <w:t>21.4</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376" w:type="dxa"/>
            <w:tcBorders>
              <w:top w:val="nil"/>
              <w:left w:val="nil"/>
              <w:bottom w:val="nil"/>
              <w:right w:val="nil"/>
            </w:tcBorders>
          </w:tcPr>
          <w:p w:rsidR="00274914" w:rsidRPr="002F17B5" w:rsidRDefault="00274914" w:rsidP="00274914">
            <w:pPr>
              <w:rPr>
                <w:sz w:val="20"/>
              </w:rPr>
            </w:pPr>
            <w:r w:rsidRPr="002F17B5">
              <w:rPr>
                <w:sz w:val="20"/>
              </w:rPr>
              <w:t>Cash deposits</w:t>
            </w:r>
          </w:p>
        </w:tc>
        <w:tc>
          <w:tcPr>
            <w:tcW w:w="1780" w:type="dxa"/>
            <w:gridSpan w:val="4"/>
            <w:tcBorders>
              <w:top w:val="nil"/>
              <w:left w:val="nil"/>
              <w:bottom w:val="nil"/>
              <w:right w:val="nil"/>
            </w:tcBorders>
          </w:tcPr>
          <w:p w:rsidR="00274914" w:rsidRPr="002F17B5" w:rsidRDefault="00274914" w:rsidP="00274914">
            <w:pPr>
              <w:ind w:right="112"/>
              <w:jc w:val="right"/>
              <w:rPr>
                <w:sz w:val="20"/>
              </w:rPr>
            </w:pPr>
            <w:r w:rsidRPr="002F17B5">
              <w:rPr>
                <w:sz w:val="20"/>
              </w:rPr>
              <w:t>170.5</w:t>
            </w: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1" w:type="dxa"/>
            <w:gridSpan w:val="3"/>
            <w:tcBorders>
              <w:top w:val="nil"/>
              <w:left w:val="nil"/>
              <w:bottom w:val="nil"/>
              <w:right w:val="nil"/>
            </w:tcBorders>
          </w:tcPr>
          <w:p w:rsidR="00274914" w:rsidRPr="002F17B5" w:rsidRDefault="00274914" w:rsidP="00274914">
            <w:pPr>
              <w:ind w:right="112"/>
              <w:jc w:val="right"/>
              <w:rPr>
                <w:sz w:val="20"/>
              </w:rPr>
            </w:pPr>
          </w:p>
        </w:tc>
        <w:tc>
          <w:tcPr>
            <w:tcW w:w="1526" w:type="dxa"/>
            <w:gridSpan w:val="2"/>
            <w:tcBorders>
              <w:top w:val="nil"/>
              <w:left w:val="nil"/>
              <w:bottom w:val="nil"/>
              <w:right w:val="nil"/>
            </w:tcBorders>
          </w:tcPr>
          <w:p w:rsidR="00274914" w:rsidRPr="002F17B5" w:rsidRDefault="00274914" w:rsidP="00274914">
            <w:pPr>
              <w:jc w:val="right"/>
              <w:rPr>
                <w:sz w:val="20"/>
              </w:rPr>
            </w:pPr>
            <w:r w:rsidRPr="002F17B5">
              <w:rPr>
                <w:sz w:val="20"/>
              </w:rPr>
              <w:t>315.5</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376" w:type="dxa"/>
            <w:tcBorders>
              <w:top w:val="nil"/>
              <w:left w:val="nil"/>
              <w:bottom w:val="nil"/>
              <w:right w:val="nil"/>
            </w:tcBorders>
          </w:tcPr>
          <w:p w:rsidR="00274914" w:rsidRPr="002F17B5" w:rsidRDefault="00274914" w:rsidP="00274914">
            <w:pPr>
              <w:rPr>
                <w:sz w:val="20"/>
              </w:rPr>
            </w:pPr>
            <w:r w:rsidRPr="002F17B5">
              <w:rPr>
                <w:sz w:val="20"/>
              </w:rPr>
              <w:t>Investment accruals</w:t>
            </w:r>
          </w:p>
        </w:tc>
        <w:tc>
          <w:tcPr>
            <w:tcW w:w="1780" w:type="dxa"/>
            <w:gridSpan w:val="4"/>
            <w:tcBorders>
              <w:top w:val="nil"/>
              <w:left w:val="nil"/>
              <w:bottom w:val="single" w:sz="4" w:space="0" w:color="auto"/>
              <w:right w:val="nil"/>
            </w:tcBorders>
          </w:tcPr>
          <w:p w:rsidR="00274914" w:rsidRPr="002F17B5" w:rsidRDefault="00274914" w:rsidP="00274914">
            <w:pPr>
              <w:ind w:right="112"/>
              <w:jc w:val="right"/>
              <w:rPr>
                <w:sz w:val="20"/>
              </w:rPr>
            </w:pPr>
            <w:r w:rsidRPr="002F17B5">
              <w:rPr>
                <w:sz w:val="20"/>
              </w:rPr>
              <w:t>21.6</w:t>
            </w: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1" w:type="dxa"/>
            <w:gridSpan w:val="3"/>
            <w:tcBorders>
              <w:top w:val="nil"/>
              <w:left w:val="nil"/>
              <w:bottom w:val="nil"/>
              <w:right w:val="nil"/>
            </w:tcBorders>
          </w:tcPr>
          <w:p w:rsidR="00274914" w:rsidRPr="002F17B5" w:rsidRDefault="00274914" w:rsidP="00274914">
            <w:pPr>
              <w:ind w:right="112"/>
              <w:jc w:val="right"/>
              <w:rPr>
                <w:sz w:val="20"/>
              </w:rPr>
            </w:pPr>
          </w:p>
        </w:tc>
        <w:tc>
          <w:tcPr>
            <w:tcW w:w="1526" w:type="dxa"/>
            <w:gridSpan w:val="2"/>
            <w:tcBorders>
              <w:top w:val="nil"/>
              <w:left w:val="nil"/>
              <w:bottom w:val="single" w:sz="4" w:space="0" w:color="auto"/>
              <w:right w:val="nil"/>
            </w:tcBorders>
          </w:tcPr>
          <w:p w:rsidR="00274914" w:rsidRPr="002F17B5" w:rsidRDefault="00274914" w:rsidP="00274914">
            <w:pPr>
              <w:jc w:val="right"/>
              <w:rPr>
                <w:sz w:val="20"/>
              </w:rPr>
            </w:pPr>
            <w:r w:rsidRPr="002F17B5">
              <w:rPr>
                <w:sz w:val="20"/>
              </w:rPr>
              <w:t>12.4</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71"/>
        </w:trPr>
        <w:tc>
          <w:tcPr>
            <w:tcW w:w="2376" w:type="dxa"/>
            <w:tcBorders>
              <w:top w:val="nil"/>
              <w:left w:val="nil"/>
              <w:bottom w:val="nil"/>
              <w:right w:val="nil"/>
            </w:tcBorders>
          </w:tcPr>
          <w:p w:rsidR="00274914" w:rsidRPr="002F17B5" w:rsidRDefault="00274914" w:rsidP="00274914">
            <w:pPr>
              <w:rPr>
                <w:sz w:val="20"/>
              </w:rPr>
            </w:pPr>
            <w:r w:rsidRPr="002F17B5">
              <w:rPr>
                <w:sz w:val="20"/>
              </w:rPr>
              <w:t>Investment assets</w:t>
            </w:r>
          </w:p>
        </w:tc>
        <w:tc>
          <w:tcPr>
            <w:tcW w:w="1780" w:type="dxa"/>
            <w:gridSpan w:val="4"/>
            <w:tcBorders>
              <w:top w:val="single" w:sz="4" w:space="0" w:color="auto"/>
              <w:left w:val="nil"/>
              <w:bottom w:val="single" w:sz="4" w:space="0" w:color="auto"/>
              <w:right w:val="nil"/>
            </w:tcBorders>
          </w:tcPr>
          <w:p w:rsidR="00274914" w:rsidRPr="002F17B5" w:rsidRDefault="00274914" w:rsidP="00274914">
            <w:pPr>
              <w:ind w:right="112"/>
              <w:jc w:val="right"/>
              <w:rPr>
                <w:sz w:val="20"/>
              </w:rPr>
            </w:pPr>
            <w:r w:rsidRPr="002F17B5">
              <w:rPr>
                <w:sz w:val="20"/>
              </w:rPr>
              <w:t>5,107.4</w:t>
            </w: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1" w:type="dxa"/>
            <w:gridSpan w:val="3"/>
            <w:tcBorders>
              <w:top w:val="nil"/>
              <w:left w:val="nil"/>
              <w:bottom w:val="nil"/>
              <w:right w:val="nil"/>
            </w:tcBorders>
          </w:tcPr>
          <w:p w:rsidR="00274914" w:rsidRPr="002F17B5" w:rsidRDefault="00274914" w:rsidP="00274914">
            <w:pPr>
              <w:ind w:right="112"/>
              <w:jc w:val="right"/>
              <w:rPr>
                <w:sz w:val="20"/>
              </w:rPr>
            </w:pPr>
          </w:p>
        </w:tc>
        <w:tc>
          <w:tcPr>
            <w:tcW w:w="1526" w:type="dxa"/>
            <w:gridSpan w:val="2"/>
            <w:tcBorders>
              <w:top w:val="single" w:sz="4" w:space="0" w:color="auto"/>
              <w:left w:val="nil"/>
              <w:bottom w:val="single" w:sz="4" w:space="0" w:color="auto"/>
              <w:right w:val="nil"/>
            </w:tcBorders>
          </w:tcPr>
          <w:p w:rsidR="00274914" w:rsidRPr="002F17B5" w:rsidRDefault="00274914" w:rsidP="00274914">
            <w:pPr>
              <w:jc w:val="right"/>
              <w:rPr>
                <w:sz w:val="20"/>
              </w:rPr>
            </w:pPr>
            <w:r w:rsidRPr="002F17B5">
              <w:rPr>
                <w:sz w:val="20"/>
              </w:rPr>
              <w:t>5,192.8</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05"/>
        </w:trPr>
        <w:tc>
          <w:tcPr>
            <w:tcW w:w="2376" w:type="dxa"/>
            <w:tcBorders>
              <w:top w:val="nil"/>
              <w:left w:val="nil"/>
              <w:bottom w:val="nil"/>
              <w:right w:val="nil"/>
            </w:tcBorders>
          </w:tcPr>
          <w:p w:rsidR="00274914" w:rsidRPr="002F17B5" w:rsidRDefault="00274914" w:rsidP="00274914">
            <w:pPr>
              <w:rPr>
                <w:sz w:val="20"/>
              </w:rPr>
            </w:pPr>
          </w:p>
        </w:tc>
        <w:tc>
          <w:tcPr>
            <w:tcW w:w="1780" w:type="dxa"/>
            <w:gridSpan w:val="4"/>
            <w:tcBorders>
              <w:top w:val="single" w:sz="4" w:space="0" w:color="auto"/>
              <w:left w:val="nil"/>
              <w:bottom w:val="nil"/>
              <w:right w:val="nil"/>
            </w:tcBorders>
          </w:tcPr>
          <w:p w:rsidR="00274914" w:rsidRPr="002F17B5" w:rsidRDefault="00274914" w:rsidP="00274914">
            <w:pPr>
              <w:ind w:right="112"/>
              <w:jc w:val="right"/>
              <w:rPr>
                <w:sz w:val="20"/>
              </w:rPr>
            </w:pP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1" w:type="dxa"/>
            <w:gridSpan w:val="3"/>
            <w:tcBorders>
              <w:top w:val="nil"/>
              <w:left w:val="nil"/>
              <w:bottom w:val="nil"/>
              <w:right w:val="nil"/>
            </w:tcBorders>
          </w:tcPr>
          <w:p w:rsidR="00274914" w:rsidRPr="002F17B5" w:rsidRDefault="00274914" w:rsidP="00274914">
            <w:pPr>
              <w:ind w:right="112"/>
              <w:jc w:val="right"/>
              <w:rPr>
                <w:sz w:val="20"/>
              </w:rPr>
            </w:pPr>
          </w:p>
        </w:tc>
        <w:tc>
          <w:tcPr>
            <w:tcW w:w="1526" w:type="dxa"/>
            <w:gridSpan w:val="2"/>
            <w:tcBorders>
              <w:top w:val="single" w:sz="4" w:space="0" w:color="auto"/>
              <w:left w:val="nil"/>
              <w:bottom w:val="nil"/>
              <w:right w:val="nil"/>
            </w:tcBorders>
          </w:tcPr>
          <w:p w:rsidR="00274914" w:rsidRPr="002F17B5" w:rsidRDefault="00274914" w:rsidP="00274914">
            <w:pPr>
              <w:jc w:val="right"/>
              <w:rPr>
                <w:sz w:val="20"/>
              </w:rPr>
            </w:pP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376" w:type="dxa"/>
            <w:tcBorders>
              <w:top w:val="nil"/>
              <w:left w:val="nil"/>
              <w:bottom w:val="nil"/>
              <w:right w:val="nil"/>
            </w:tcBorders>
          </w:tcPr>
          <w:p w:rsidR="00274914" w:rsidRPr="002F17B5" w:rsidRDefault="00274914" w:rsidP="00274914">
            <w:pPr>
              <w:rPr>
                <w:sz w:val="20"/>
              </w:rPr>
            </w:pPr>
            <w:r w:rsidRPr="002F17B5">
              <w:rPr>
                <w:sz w:val="20"/>
              </w:rPr>
              <w:t>Forward currency contracts liability value</w:t>
            </w:r>
          </w:p>
        </w:tc>
        <w:tc>
          <w:tcPr>
            <w:tcW w:w="1780" w:type="dxa"/>
            <w:gridSpan w:val="4"/>
            <w:tcBorders>
              <w:top w:val="nil"/>
              <w:left w:val="nil"/>
              <w:bottom w:val="single" w:sz="18" w:space="0" w:color="auto"/>
              <w:right w:val="nil"/>
            </w:tcBorders>
          </w:tcPr>
          <w:p w:rsidR="00274914" w:rsidRPr="002F17B5" w:rsidRDefault="00274914" w:rsidP="00274914">
            <w:pPr>
              <w:ind w:right="112"/>
              <w:jc w:val="right"/>
              <w:rPr>
                <w:sz w:val="20"/>
              </w:rPr>
            </w:pPr>
            <w:r w:rsidRPr="002F17B5">
              <w:rPr>
                <w:sz w:val="20"/>
              </w:rPr>
              <w:t>(118.4)</w:t>
            </w: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1" w:type="dxa"/>
            <w:gridSpan w:val="3"/>
            <w:tcBorders>
              <w:top w:val="nil"/>
              <w:left w:val="nil"/>
              <w:bottom w:val="nil"/>
              <w:right w:val="nil"/>
            </w:tcBorders>
          </w:tcPr>
          <w:p w:rsidR="00274914" w:rsidRPr="002F17B5" w:rsidRDefault="00274914" w:rsidP="00274914">
            <w:pPr>
              <w:ind w:right="112"/>
              <w:jc w:val="right"/>
              <w:rPr>
                <w:sz w:val="20"/>
              </w:rPr>
            </w:pPr>
          </w:p>
        </w:tc>
        <w:tc>
          <w:tcPr>
            <w:tcW w:w="1526" w:type="dxa"/>
            <w:gridSpan w:val="2"/>
            <w:tcBorders>
              <w:top w:val="nil"/>
              <w:left w:val="nil"/>
              <w:bottom w:val="single" w:sz="18" w:space="0" w:color="auto"/>
              <w:right w:val="nil"/>
            </w:tcBorders>
          </w:tcPr>
          <w:p w:rsidR="00274914" w:rsidRPr="002F17B5" w:rsidRDefault="00274914" w:rsidP="00274914">
            <w:pPr>
              <w:jc w:val="right"/>
              <w:rPr>
                <w:sz w:val="20"/>
              </w:rPr>
            </w:pPr>
            <w:r w:rsidRPr="002F17B5">
              <w:rPr>
                <w:sz w:val="20"/>
              </w:rPr>
              <w:t>(21.3)</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376" w:type="dxa"/>
            <w:tcBorders>
              <w:top w:val="nil"/>
              <w:left w:val="nil"/>
              <w:bottom w:val="nil"/>
              <w:right w:val="nil"/>
            </w:tcBorders>
          </w:tcPr>
          <w:p w:rsidR="00274914" w:rsidRPr="002F17B5" w:rsidRDefault="00274914" w:rsidP="00274914">
            <w:pPr>
              <w:rPr>
                <w:sz w:val="20"/>
              </w:rPr>
            </w:pPr>
            <w:r w:rsidRPr="002F17B5">
              <w:rPr>
                <w:sz w:val="20"/>
              </w:rPr>
              <w:t>Portfolio value</w:t>
            </w:r>
          </w:p>
        </w:tc>
        <w:tc>
          <w:tcPr>
            <w:tcW w:w="1780" w:type="dxa"/>
            <w:gridSpan w:val="4"/>
            <w:tcBorders>
              <w:top w:val="single" w:sz="18" w:space="0" w:color="auto"/>
              <w:left w:val="nil"/>
              <w:bottom w:val="single" w:sz="18" w:space="0" w:color="auto"/>
              <w:right w:val="nil"/>
            </w:tcBorders>
          </w:tcPr>
          <w:p w:rsidR="00274914" w:rsidRPr="002F17B5" w:rsidRDefault="00274914" w:rsidP="00274914">
            <w:pPr>
              <w:ind w:left="318" w:right="112"/>
              <w:jc w:val="right"/>
              <w:rPr>
                <w:sz w:val="20"/>
              </w:rPr>
            </w:pPr>
            <w:r w:rsidRPr="002F17B5">
              <w:rPr>
                <w:sz w:val="20"/>
              </w:rPr>
              <w:t>4,989.0</w:t>
            </w: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0" w:type="dxa"/>
            <w:gridSpan w:val="3"/>
            <w:tcBorders>
              <w:top w:val="nil"/>
              <w:left w:val="nil"/>
              <w:bottom w:val="nil"/>
              <w:right w:val="nil"/>
            </w:tcBorders>
          </w:tcPr>
          <w:p w:rsidR="00274914" w:rsidRPr="002F17B5" w:rsidRDefault="00274914" w:rsidP="00274914">
            <w:pPr>
              <w:ind w:right="112"/>
              <w:jc w:val="right"/>
              <w:rPr>
                <w:sz w:val="20"/>
              </w:rPr>
            </w:pPr>
          </w:p>
        </w:tc>
        <w:tc>
          <w:tcPr>
            <w:tcW w:w="1781" w:type="dxa"/>
            <w:gridSpan w:val="3"/>
            <w:tcBorders>
              <w:top w:val="nil"/>
              <w:left w:val="nil"/>
              <w:bottom w:val="nil"/>
              <w:right w:val="nil"/>
            </w:tcBorders>
          </w:tcPr>
          <w:p w:rsidR="00274914" w:rsidRPr="002F17B5" w:rsidRDefault="00274914" w:rsidP="00274914">
            <w:pPr>
              <w:ind w:right="112"/>
              <w:jc w:val="right"/>
              <w:rPr>
                <w:sz w:val="20"/>
              </w:rPr>
            </w:pPr>
          </w:p>
        </w:tc>
        <w:tc>
          <w:tcPr>
            <w:tcW w:w="1526" w:type="dxa"/>
            <w:gridSpan w:val="2"/>
            <w:tcBorders>
              <w:top w:val="single" w:sz="18" w:space="0" w:color="auto"/>
              <w:left w:val="nil"/>
              <w:bottom w:val="single" w:sz="18" w:space="0" w:color="auto"/>
              <w:right w:val="nil"/>
            </w:tcBorders>
          </w:tcPr>
          <w:p w:rsidR="00274914" w:rsidRPr="002F17B5" w:rsidRDefault="00274914" w:rsidP="00274914">
            <w:pPr>
              <w:jc w:val="right"/>
              <w:rPr>
                <w:sz w:val="20"/>
              </w:rPr>
            </w:pPr>
            <w:r w:rsidRPr="002F17B5">
              <w:rPr>
                <w:sz w:val="20"/>
              </w:rPr>
              <w:t>5,171.5</w:t>
            </w:r>
          </w:p>
        </w:tc>
      </w:tr>
    </w:tbl>
    <w:p w:rsidR="00274914" w:rsidRPr="002F17B5" w:rsidRDefault="00274914" w:rsidP="00274914">
      <w:pPr>
        <w:rPr>
          <w:sz w:val="20"/>
        </w:rPr>
      </w:pPr>
    </w:p>
    <w:p w:rsidR="00D55D63" w:rsidRPr="002F17B5" w:rsidRDefault="00D55D63">
      <w:pPr>
        <w:autoSpaceDE/>
        <w:autoSpaceDN/>
        <w:adjustRightInd/>
        <w:spacing w:after="20"/>
        <w:jc w:val="right"/>
      </w:pPr>
    </w:p>
    <w:p w:rsidR="00274914" w:rsidRPr="002F17B5" w:rsidRDefault="00274914" w:rsidP="00274914"/>
    <w:tbl>
      <w:tblPr>
        <w:tblStyle w:val="TableGrid"/>
        <w:tblW w:w="1084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3"/>
        <w:gridCol w:w="144"/>
        <w:gridCol w:w="465"/>
        <w:gridCol w:w="284"/>
        <w:gridCol w:w="141"/>
        <w:gridCol w:w="745"/>
        <w:gridCol w:w="106"/>
        <w:gridCol w:w="142"/>
        <w:gridCol w:w="249"/>
        <w:gridCol w:w="1205"/>
        <w:gridCol w:w="39"/>
        <w:gridCol w:w="39"/>
        <w:gridCol w:w="71"/>
        <w:gridCol w:w="63"/>
        <w:gridCol w:w="1568"/>
        <w:gridCol w:w="78"/>
        <w:gridCol w:w="21"/>
        <w:gridCol w:w="50"/>
        <w:gridCol w:w="835"/>
        <w:gridCol w:w="797"/>
        <w:gridCol w:w="53"/>
        <w:gridCol w:w="25"/>
        <w:gridCol w:w="71"/>
        <w:gridCol w:w="612"/>
        <w:gridCol w:w="133"/>
        <w:gridCol w:w="753"/>
        <w:gridCol w:w="100"/>
        <w:gridCol w:w="112"/>
      </w:tblGrid>
      <w:tr w:rsidR="00274914" w:rsidRPr="002F17B5" w:rsidTr="00274914">
        <w:trPr>
          <w:gridAfter w:val="1"/>
          <w:wAfter w:w="112" w:type="dxa"/>
        </w:trPr>
        <w:tc>
          <w:tcPr>
            <w:tcW w:w="2087" w:type="dxa"/>
            <w:gridSpan w:val="2"/>
          </w:tcPr>
          <w:p w:rsidR="00274914" w:rsidRPr="002F17B5" w:rsidRDefault="00274914" w:rsidP="00274914">
            <w:pPr>
              <w:rPr>
                <w:b/>
                <w:sz w:val="20"/>
              </w:rPr>
            </w:pPr>
          </w:p>
          <w:p w:rsidR="00274914" w:rsidRPr="002F17B5" w:rsidRDefault="00274914" w:rsidP="00274914">
            <w:pPr>
              <w:rPr>
                <w:b/>
                <w:sz w:val="20"/>
              </w:rPr>
            </w:pPr>
          </w:p>
          <w:p w:rsidR="00274914" w:rsidRPr="002F17B5" w:rsidRDefault="00274914" w:rsidP="00274914">
            <w:pPr>
              <w:rPr>
                <w:b/>
                <w:sz w:val="20"/>
              </w:rPr>
            </w:pPr>
          </w:p>
        </w:tc>
        <w:tc>
          <w:tcPr>
            <w:tcW w:w="1883" w:type="dxa"/>
            <w:gridSpan w:val="6"/>
          </w:tcPr>
          <w:p w:rsidR="00274914" w:rsidRPr="002F17B5" w:rsidRDefault="00274914" w:rsidP="00274914">
            <w:pPr>
              <w:jc w:val="right"/>
              <w:rPr>
                <w:b/>
                <w:sz w:val="20"/>
              </w:rPr>
            </w:pPr>
            <w:r w:rsidRPr="002F17B5">
              <w:rPr>
                <w:b/>
                <w:sz w:val="20"/>
              </w:rPr>
              <w:t>Market Value at 1 April 2012</w:t>
            </w:r>
          </w:p>
        </w:tc>
        <w:tc>
          <w:tcPr>
            <w:tcW w:w="1666" w:type="dxa"/>
            <w:gridSpan w:val="6"/>
          </w:tcPr>
          <w:p w:rsidR="00274914" w:rsidRPr="002F17B5" w:rsidRDefault="00274914" w:rsidP="00274914">
            <w:pPr>
              <w:jc w:val="right"/>
              <w:rPr>
                <w:b/>
                <w:sz w:val="20"/>
              </w:rPr>
            </w:pPr>
            <w:r w:rsidRPr="002F17B5">
              <w:rPr>
                <w:b/>
                <w:sz w:val="20"/>
              </w:rPr>
              <w:t>Purchases at cost and derivative payments</w:t>
            </w:r>
          </w:p>
        </w:tc>
        <w:tc>
          <w:tcPr>
            <w:tcW w:w="1667" w:type="dxa"/>
            <w:gridSpan w:val="3"/>
          </w:tcPr>
          <w:p w:rsidR="00274914" w:rsidRPr="002F17B5" w:rsidRDefault="00274914" w:rsidP="00274914">
            <w:pPr>
              <w:jc w:val="right"/>
              <w:rPr>
                <w:b/>
                <w:sz w:val="20"/>
              </w:rPr>
            </w:pPr>
            <w:r w:rsidRPr="002F17B5">
              <w:rPr>
                <w:b/>
                <w:sz w:val="20"/>
              </w:rPr>
              <w:t>Sales proceeds and derivative receipts</w:t>
            </w:r>
          </w:p>
        </w:tc>
        <w:tc>
          <w:tcPr>
            <w:tcW w:w="1735" w:type="dxa"/>
            <w:gridSpan w:val="4"/>
          </w:tcPr>
          <w:p w:rsidR="00274914" w:rsidRPr="002F17B5" w:rsidRDefault="00274914" w:rsidP="00274914">
            <w:pPr>
              <w:jc w:val="right"/>
              <w:rPr>
                <w:b/>
                <w:sz w:val="20"/>
              </w:rPr>
            </w:pPr>
            <w:r w:rsidRPr="002F17B5">
              <w:rPr>
                <w:b/>
                <w:sz w:val="20"/>
              </w:rPr>
              <w:t>Change in market</w:t>
            </w:r>
          </w:p>
          <w:p w:rsidR="00274914" w:rsidRPr="002F17B5" w:rsidRDefault="00274914" w:rsidP="00274914">
            <w:pPr>
              <w:jc w:val="right"/>
              <w:rPr>
                <w:b/>
                <w:sz w:val="20"/>
              </w:rPr>
            </w:pPr>
            <w:r w:rsidRPr="002F17B5">
              <w:rPr>
                <w:b/>
                <w:sz w:val="20"/>
              </w:rPr>
              <w:t xml:space="preserve"> value</w:t>
            </w:r>
          </w:p>
        </w:tc>
        <w:tc>
          <w:tcPr>
            <w:tcW w:w="1694" w:type="dxa"/>
            <w:gridSpan w:val="6"/>
          </w:tcPr>
          <w:p w:rsidR="00274914" w:rsidRPr="002F17B5" w:rsidRDefault="00274914" w:rsidP="00274914">
            <w:pPr>
              <w:jc w:val="right"/>
              <w:rPr>
                <w:b/>
                <w:sz w:val="20"/>
              </w:rPr>
            </w:pPr>
            <w:r w:rsidRPr="002F17B5">
              <w:rPr>
                <w:b/>
                <w:sz w:val="20"/>
              </w:rPr>
              <w:t xml:space="preserve">Market value at 31 March </w:t>
            </w:r>
          </w:p>
          <w:p w:rsidR="00274914" w:rsidRPr="002F17B5" w:rsidRDefault="00274914" w:rsidP="00274914">
            <w:pPr>
              <w:jc w:val="right"/>
              <w:rPr>
                <w:b/>
                <w:sz w:val="20"/>
              </w:rPr>
            </w:pPr>
            <w:r w:rsidRPr="002F17B5">
              <w:rPr>
                <w:b/>
                <w:sz w:val="20"/>
              </w:rPr>
              <w:t>2013</w:t>
            </w:r>
          </w:p>
        </w:tc>
      </w:tr>
      <w:tr w:rsidR="00274914" w:rsidRPr="002F17B5" w:rsidTr="00274914">
        <w:trPr>
          <w:gridAfter w:val="1"/>
          <w:wAfter w:w="112" w:type="dxa"/>
        </w:trPr>
        <w:tc>
          <w:tcPr>
            <w:tcW w:w="2087" w:type="dxa"/>
            <w:gridSpan w:val="2"/>
          </w:tcPr>
          <w:p w:rsidR="00274914" w:rsidRPr="002F17B5" w:rsidRDefault="00274914" w:rsidP="00274914">
            <w:pPr>
              <w:rPr>
                <w:b/>
                <w:sz w:val="20"/>
              </w:rPr>
            </w:pPr>
          </w:p>
        </w:tc>
        <w:tc>
          <w:tcPr>
            <w:tcW w:w="890" w:type="dxa"/>
            <w:gridSpan w:val="3"/>
            <w:tcBorders>
              <w:right w:val="single" w:sz="18" w:space="0" w:color="FFFFFF" w:themeColor="background1"/>
            </w:tcBorders>
          </w:tcPr>
          <w:p w:rsidR="00274914" w:rsidRPr="002F17B5" w:rsidRDefault="00274914" w:rsidP="00274914">
            <w:pPr>
              <w:jc w:val="right"/>
              <w:rPr>
                <w:b/>
                <w:sz w:val="20"/>
              </w:rPr>
            </w:pPr>
          </w:p>
        </w:tc>
        <w:tc>
          <w:tcPr>
            <w:tcW w:w="993" w:type="dxa"/>
            <w:gridSpan w:val="3"/>
            <w:tcBorders>
              <w:left w:val="single" w:sz="18" w:space="0" w:color="FFFFFF" w:themeColor="background1"/>
            </w:tcBorders>
          </w:tcPr>
          <w:p w:rsidR="00274914" w:rsidRPr="002F17B5" w:rsidRDefault="00274914" w:rsidP="00274914">
            <w:pPr>
              <w:jc w:val="right"/>
              <w:rPr>
                <w:b/>
                <w:sz w:val="20"/>
              </w:rPr>
            </w:pPr>
            <w:r w:rsidRPr="002F17B5">
              <w:rPr>
                <w:b/>
                <w:sz w:val="20"/>
              </w:rPr>
              <w:t>£m</w:t>
            </w:r>
          </w:p>
        </w:tc>
        <w:tc>
          <w:tcPr>
            <w:tcW w:w="249" w:type="dxa"/>
            <w:tcBorders>
              <w:right w:val="single" w:sz="18" w:space="0" w:color="FFFFFF" w:themeColor="background1"/>
            </w:tcBorders>
          </w:tcPr>
          <w:p w:rsidR="00274914" w:rsidRPr="002F17B5" w:rsidRDefault="00274914" w:rsidP="00274914">
            <w:pPr>
              <w:jc w:val="right"/>
              <w:rPr>
                <w:b/>
                <w:sz w:val="20"/>
              </w:rPr>
            </w:pPr>
          </w:p>
        </w:tc>
        <w:tc>
          <w:tcPr>
            <w:tcW w:w="1417" w:type="dxa"/>
            <w:gridSpan w:val="5"/>
            <w:tcBorders>
              <w:left w:val="single" w:sz="18" w:space="0" w:color="FFFFFF" w:themeColor="background1"/>
            </w:tcBorders>
          </w:tcPr>
          <w:p w:rsidR="00274914" w:rsidRPr="002F17B5" w:rsidRDefault="00274914" w:rsidP="00274914">
            <w:pPr>
              <w:jc w:val="right"/>
              <w:rPr>
                <w:b/>
                <w:sz w:val="20"/>
              </w:rPr>
            </w:pPr>
            <w:r w:rsidRPr="002F17B5">
              <w:rPr>
                <w:b/>
                <w:sz w:val="20"/>
              </w:rPr>
              <w:t>£m</w:t>
            </w:r>
          </w:p>
        </w:tc>
        <w:tc>
          <w:tcPr>
            <w:tcW w:w="1667" w:type="dxa"/>
            <w:gridSpan w:val="3"/>
          </w:tcPr>
          <w:p w:rsidR="00274914" w:rsidRPr="002F17B5" w:rsidRDefault="00274914" w:rsidP="00274914">
            <w:pPr>
              <w:jc w:val="right"/>
              <w:rPr>
                <w:b/>
                <w:sz w:val="20"/>
              </w:rPr>
            </w:pPr>
            <w:r w:rsidRPr="002F17B5">
              <w:rPr>
                <w:b/>
                <w:sz w:val="20"/>
              </w:rPr>
              <w:t>£m</w:t>
            </w:r>
          </w:p>
        </w:tc>
        <w:tc>
          <w:tcPr>
            <w:tcW w:w="1735" w:type="dxa"/>
            <w:gridSpan w:val="4"/>
          </w:tcPr>
          <w:p w:rsidR="00274914" w:rsidRPr="002F17B5" w:rsidRDefault="00274914" w:rsidP="00274914">
            <w:pPr>
              <w:jc w:val="right"/>
              <w:rPr>
                <w:b/>
                <w:sz w:val="20"/>
              </w:rPr>
            </w:pPr>
            <w:r w:rsidRPr="002F17B5">
              <w:rPr>
                <w:b/>
                <w:sz w:val="20"/>
              </w:rPr>
              <w:t>£m</w:t>
            </w:r>
          </w:p>
        </w:tc>
        <w:tc>
          <w:tcPr>
            <w:tcW w:w="1694" w:type="dxa"/>
            <w:gridSpan w:val="6"/>
          </w:tcPr>
          <w:p w:rsidR="00274914" w:rsidRPr="002F17B5" w:rsidRDefault="00274914" w:rsidP="00274914">
            <w:pPr>
              <w:jc w:val="right"/>
              <w:rPr>
                <w:b/>
                <w:sz w:val="20"/>
              </w:rPr>
            </w:pPr>
            <w:r w:rsidRPr="002F17B5">
              <w:rPr>
                <w:b/>
                <w:sz w:val="20"/>
              </w:rPr>
              <w:t>£m</w:t>
            </w:r>
          </w:p>
          <w:p w:rsidR="00274914" w:rsidRPr="002F17B5" w:rsidRDefault="00274914" w:rsidP="00274914">
            <w:pPr>
              <w:jc w:val="right"/>
              <w:rPr>
                <w:b/>
                <w:sz w:val="20"/>
              </w:rPr>
            </w:pPr>
          </w:p>
        </w:tc>
      </w:tr>
      <w:tr w:rsidR="00274914" w:rsidRPr="002F17B5" w:rsidTr="00274914">
        <w:trPr>
          <w:gridAfter w:val="1"/>
          <w:wAfter w:w="112" w:type="dxa"/>
        </w:trPr>
        <w:tc>
          <w:tcPr>
            <w:tcW w:w="2087" w:type="dxa"/>
            <w:gridSpan w:val="2"/>
          </w:tcPr>
          <w:p w:rsidR="00274914" w:rsidRPr="002F17B5" w:rsidRDefault="00274914" w:rsidP="006977BB">
            <w:pPr>
              <w:ind w:left="113"/>
              <w:jc w:val="left"/>
              <w:rPr>
                <w:sz w:val="20"/>
              </w:rPr>
            </w:pPr>
            <w:r w:rsidRPr="002F17B5">
              <w:rPr>
                <w:sz w:val="20"/>
              </w:rPr>
              <w:t>Fixed  interest securities</w:t>
            </w:r>
          </w:p>
        </w:tc>
        <w:tc>
          <w:tcPr>
            <w:tcW w:w="749" w:type="dxa"/>
            <w:gridSpan w:val="2"/>
            <w:tcBorders>
              <w:right w:val="single" w:sz="18" w:space="0" w:color="FFFFFF" w:themeColor="background1"/>
            </w:tcBorders>
          </w:tcPr>
          <w:p w:rsidR="00274914" w:rsidRPr="002F17B5" w:rsidRDefault="00274914" w:rsidP="006977BB">
            <w:pPr>
              <w:ind w:left="113"/>
              <w:jc w:val="left"/>
              <w:rPr>
                <w:sz w:val="20"/>
              </w:rPr>
            </w:pPr>
          </w:p>
        </w:tc>
        <w:tc>
          <w:tcPr>
            <w:tcW w:w="1134" w:type="dxa"/>
            <w:gridSpan w:val="4"/>
            <w:tcBorders>
              <w:left w:val="single" w:sz="18" w:space="0" w:color="FFFFFF" w:themeColor="background1"/>
            </w:tcBorders>
          </w:tcPr>
          <w:p w:rsidR="00274914" w:rsidRPr="002F17B5" w:rsidRDefault="00274914" w:rsidP="00274914">
            <w:pPr>
              <w:jc w:val="right"/>
              <w:rPr>
                <w:sz w:val="20"/>
              </w:rPr>
            </w:pPr>
            <w:r w:rsidRPr="002F17B5">
              <w:rPr>
                <w:sz w:val="20"/>
              </w:rPr>
              <w:t>623.4</w:t>
            </w:r>
          </w:p>
        </w:tc>
        <w:tc>
          <w:tcPr>
            <w:tcW w:w="249" w:type="dxa"/>
            <w:tcBorders>
              <w:right w:val="single" w:sz="18" w:space="0" w:color="FFFFFF" w:themeColor="background1"/>
            </w:tcBorders>
          </w:tcPr>
          <w:p w:rsidR="00274914" w:rsidRPr="002F17B5" w:rsidRDefault="00274914" w:rsidP="00274914">
            <w:pPr>
              <w:jc w:val="right"/>
              <w:rPr>
                <w:sz w:val="20"/>
              </w:rPr>
            </w:pPr>
          </w:p>
        </w:tc>
        <w:tc>
          <w:tcPr>
            <w:tcW w:w="1244"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501.1</w:t>
            </w:r>
          </w:p>
        </w:tc>
        <w:tc>
          <w:tcPr>
            <w:tcW w:w="1840" w:type="dxa"/>
            <w:gridSpan w:val="6"/>
          </w:tcPr>
          <w:p w:rsidR="00274914" w:rsidRPr="002F17B5" w:rsidRDefault="00274914" w:rsidP="00274914">
            <w:pPr>
              <w:jc w:val="right"/>
              <w:rPr>
                <w:sz w:val="20"/>
              </w:rPr>
            </w:pPr>
            <w:r w:rsidRPr="002F17B5">
              <w:rPr>
                <w:sz w:val="20"/>
              </w:rPr>
              <w:t>(471.9)</w:t>
            </w:r>
          </w:p>
        </w:tc>
        <w:tc>
          <w:tcPr>
            <w:tcW w:w="885" w:type="dxa"/>
            <w:gridSpan w:val="2"/>
            <w:tcBorders>
              <w:right w:val="single" w:sz="18" w:space="0" w:color="FFFFFF" w:themeColor="background1"/>
            </w:tcBorders>
          </w:tcPr>
          <w:p w:rsidR="00274914" w:rsidRPr="002F17B5" w:rsidRDefault="00274914" w:rsidP="00274914">
            <w:pPr>
              <w:jc w:val="center"/>
              <w:rPr>
                <w:sz w:val="20"/>
              </w:rPr>
            </w:pPr>
          </w:p>
        </w:tc>
        <w:tc>
          <w:tcPr>
            <w:tcW w:w="850"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191.0</w:t>
            </w:r>
          </w:p>
        </w:tc>
        <w:tc>
          <w:tcPr>
            <w:tcW w:w="841" w:type="dxa"/>
            <w:gridSpan w:val="4"/>
            <w:tcBorders>
              <w:right w:val="single" w:sz="18" w:space="0" w:color="FFFFFF" w:themeColor="background1"/>
            </w:tcBorders>
          </w:tcPr>
          <w:p w:rsidR="00274914" w:rsidRPr="002F17B5" w:rsidRDefault="00274914" w:rsidP="00274914">
            <w:pPr>
              <w:jc w:val="right"/>
              <w:rPr>
                <w:sz w:val="20"/>
              </w:rPr>
            </w:pPr>
          </w:p>
        </w:tc>
        <w:tc>
          <w:tcPr>
            <w:tcW w:w="853"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843.6</w:t>
            </w:r>
          </w:p>
        </w:tc>
      </w:tr>
      <w:tr w:rsidR="00274914" w:rsidRPr="002F17B5" w:rsidTr="00274914">
        <w:trPr>
          <w:gridAfter w:val="1"/>
          <w:wAfter w:w="112" w:type="dxa"/>
        </w:trPr>
        <w:tc>
          <w:tcPr>
            <w:tcW w:w="2087" w:type="dxa"/>
            <w:gridSpan w:val="2"/>
          </w:tcPr>
          <w:p w:rsidR="00274914" w:rsidRPr="002F17B5" w:rsidRDefault="00274914" w:rsidP="006977BB">
            <w:pPr>
              <w:ind w:left="113"/>
              <w:jc w:val="left"/>
              <w:rPr>
                <w:sz w:val="20"/>
              </w:rPr>
            </w:pPr>
            <w:r w:rsidRPr="002F17B5">
              <w:rPr>
                <w:sz w:val="20"/>
              </w:rPr>
              <w:t>Equities</w:t>
            </w:r>
          </w:p>
        </w:tc>
        <w:tc>
          <w:tcPr>
            <w:tcW w:w="749" w:type="dxa"/>
            <w:gridSpan w:val="2"/>
            <w:tcBorders>
              <w:right w:val="single" w:sz="18" w:space="0" w:color="FFFFFF" w:themeColor="background1"/>
            </w:tcBorders>
          </w:tcPr>
          <w:p w:rsidR="00274914" w:rsidRPr="002F17B5" w:rsidRDefault="00274914" w:rsidP="006977BB">
            <w:pPr>
              <w:ind w:left="113"/>
              <w:jc w:val="left"/>
              <w:rPr>
                <w:sz w:val="20"/>
              </w:rPr>
            </w:pPr>
          </w:p>
        </w:tc>
        <w:tc>
          <w:tcPr>
            <w:tcW w:w="1134" w:type="dxa"/>
            <w:gridSpan w:val="4"/>
            <w:tcBorders>
              <w:left w:val="single" w:sz="18" w:space="0" w:color="FFFFFF" w:themeColor="background1"/>
            </w:tcBorders>
          </w:tcPr>
          <w:p w:rsidR="00274914" w:rsidRPr="002F17B5" w:rsidRDefault="00274914" w:rsidP="00274914">
            <w:pPr>
              <w:jc w:val="right"/>
              <w:rPr>
                <w:sz w:val="20"/>
              </w:rPr>
            </w:pPr>
            <w:r w:rsidRPr="002F17B5">
              <w:rPr>
                <w:sz w:val="20"/>
              </w:rPr>
              <w:t>1,613.7</w:t>
            </w:r>
          </w:p>
        </w:tc>
        <w:tc>
          <w:tcPr>
            <w:tcW w:w="249" w:type="dxa"/>
            <w:tcBorders>
              <w:right w:val="single" w:sz="18" w:space="0" w:color="FFFFFF" w:themeColor="background1"/>
            </w:tcBorders>
          </w:tcPr>
          <w:p w:rsidR="00274914" w:rsidRPr="002F17B5" w:rsidRDefault="00274914" w:rsidP="00274914">
            <w:pPr>
              <w:jc w:val="right"/>
              <w:rPr>
                <w:sz w:val="20"/>
              </w:rPr>
            </w:pPr>
          </w:p>
        </w:tc>
        <w:tc>
          <w:tcPr>
            <w:tcW w:w="1244"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1,409.8</w:t>
            </w:r>
          </w:p>
        </w:tc>
        <w:tc>
          <w:tcPr>
            <w:tcW w:w="1840" w:type="dxa"/>
            <w:gridSpan w:val="6"/>
          </w:tcPr>
          <w:p w:rsidR="00274914" w:rsidRPr="002F17B5" w:rsidRDefault="00274914" w:rsidP="00274914">
            <w:pPr>
              <w:jc w:val="right"/>
              <w:rPr>
                <w:sz w:val="20"/>
              </w:rPr>
            </w:pPr>
            <w:r w:rsidRPr="002F17B5">
              <w:rPr>
                <w:sz w:val="20"/>
              </w:rPr>
              <w:t>(1,581.2)</w:t>
            </w:r>
          </w:p>
        </w:tc>
        <w:tc>
          <w:tcPr>
            <w:tcW w:w="885" w:type="dxa"/>
            <w:gridSpan w:val="2"/>
            <w:tcBorders>
              <w:right w:val="single" w:sz="18" w:space="0" w:color="FFFFFF" w:themeColor="background1"/>
            </w:tcBorders>
          </w:tcPr>
          <w:p w:rsidR="00274914" w:rsidRPr="002F17B5" w:rsidRDefault="00274914" w:rsidP="00274914">
            <w:pPr>
              <w:jc w:val="right"/>
              <w:rPr>
                <w:sz w:val="20"/>
              </w:rPr>
            </w:pPr>
          </w:p>
        </w:tc>
        <w:tc>
          <w:tcPr>
            <w:tcW w:w="850"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307.0</w:t>
            </w:r>
          </w:p>
        </w:tc>
        <w:tc>
          <w:tcPr>
            <w:tcW w:w="1694" w:type="dxa"/>
            <w:gridSpan w:val="6"/>
          </w:tcPr>
          <w:p w:rsidR="00274914" w:rsidRPr="002F17B5" w:rsidRDefault="00274914" w:rsidP="00274914">
            <w:pPr>
              <w:jc w:val="right"/>
              <w:rPr>
                <w:sz w:val="20"/>
              </w:rPr>
            </w:pPr>
            <w:r w:rsidRPr="002F17B5">
              <w:rPr>
                <w:sz w:val="20"/>
              </w:rPr>
              <w:t>1,749.3</w:t>
            </w:r>
          </w:p>
        </w:tc>
      </w:tr>
      <w:tr w:rsidR="00274914" w:rsidRPr="002F17B5" w:rsidTr="00274914">
        <w:trPr>
          <w:gridAfter w:val="1"/>
          <w:wAfter w:w="112" w:type="dxa"/>
        </w:trPr>
        <w:tc>
          <w:tcPr>
            <w:tcW w:w="2087" w:type="dxa"/>
            <w:gridSpan w:val="2"/>
          </w:tcPr>
          <w:p w:rsidR="00274914" w:rsidRPr="002F17B5" w:rsidRDefault="00274914" w:rsidP="006977BB">
            <w:pPr>
              <w:ind w:left="113"/>
              <w:jc w:val="left"/>
              <w:rPr>
                <w:sz w:val="20"/>
              </w:rPr>
            </w:pPr>
            <w:r w:rsidRPr="002F17B5">
              <w:rPr>
                <w:sz w:val="20"/>
              </w:rPr>
              <w:t>Index linked securities</w:t>
            </w:r>
          </w:p>
        </w:tc>
        <w:tc>
          <w:tcPr>
            <w:tcW w:w="749" w:type="dxa"/>
            <w:gridSpan w:val="2"/>
            <w:tcBorders>
              <w:right w:val="single" w:sz="18" w:space="0" w:color="FFFFFF" w:themeColor="background1"/>
            </w:tcBorders>
          </w:tcPr>
          <w:p w:rsidR="00274914" w:rsidRPr="002F17B5" w:rsidRDefault="00274914" w:rsidP="006977BB">
            <w:pPr>
              <w:ind w:left="113"/>
              <w:jc w:val="left"/>
              <w:rPr>
                <w:sz w:val="20"/>
              </w:rPr>
            </w:pPr>
          </w:p>
        </w:tc>
        <w:tc>
          <w:tcPr>
            <w:tcW w:w="1134" w:type="dxa"/>
            <w:gridSpan w:val="4"/>
            <w:tcBorders>
              <w:left w:val="single" w:sz="18" w:space="0" w:color="FFFFFF" w:themeColor="background1"/>
            </w:tcBorders>
          </w:tcPr>
          <w:p w:rsidR="00274914" w:rsidRPr="002F17B5" w:rsidRDefault="00274914" w:rsidP="00274914">
            <w:pPr>
              <w:jc w:val="right"/>
              <w:rPr>
                <w:sz w:val="20"/>
              </w:rPr>
            </w:pPr>
            <w:r w:rsidRPr="002F17B5">
              <w:rPr>
                <w:sz w:val="20"/>
              </w:rPr>
              <w:t>124.6</w:t>
            </w:r>
          </w:p>
        </w:tc>
        <w:tc>
          <w:tcPr>
            <w:tcW w:w="249" w:type="dxa"/>
            <w:tcBorders>
              <w:right w:val="single" w:sz="18" w:space="0" w:color="FFFFFF" w:themeColor="background1"/>
            </w:tcBorders>
          </w:tcPr>
          <w:p w:rsidR="00274914" w:rsidRPr="002F17B5" w:rsidRDefault="00274914" w:rsidP="00274914">
            <w:pPr>
              <w:jc w:val="right"/>
              <w:rPr>
                <w:sz w:val="20"/>
              </w:rPr>
            </w:pPr>
          </w:p>
        </w:tc>
        <w:tc>
          <w:tcPr>
            <w:tcW w:w="1244"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16.1</w:t>
            </w:r>
          </w:p>
        </w:tc>
        <w:tc>
          <w:tcPr>
            <w:tcW w:w="1840" w:type="dxa"/>
            <w:gridSpan w:val="6"/>
          </w:tcPr>
          <w:p w:rsidR="00274914" w:rsidRPr="002F17B5" w:rsidRDefault="00274914" w:rsidP="00274914">
            <w:pPr>
              <w:jc w:val="right"/>
              <w:rPr>
                <w:sz w:val="20"/>
              </w:rPr>
            </w:pPr>
            <w:r w:rsidRPr="002F17B5">
              <w:rPr>
                <w:sz w:val="20"/>
              </w:rPr>
              <w:t>(29.1)</w:t>
            </w:r>
          </w:p>
        </w:tc>
        <w:tc>
          <w:tcPr>
            <w:tcW w:w="885" w:type="dxa"/>
            <w:gridSpan w:val="2"/>
            <w:tcBorders>
              <w:right w:val="single" w:sz="18" w:space="0" w:color="FFFFFF" w:themeColor="background1"/>
            </w:tcBorders>
          </w:tcPr>
          <w:p w:rsidR="00274914" w:rsidRPr="002F17B5" w:rsidRDefault="00274914" w:rsidP="00274914">
            <w:pPr>
              <w:jc w:val="right"/>
              <w:rPr>
                <w:sz w:val="20"/>
              </w:rPr>
            </w:pPr>
          </w:p>
        </w:tc>
        <w:tc>
          <w:tcPr>
            <w:tcW w:w="850" w:type="dxa"/>
            <w:gridSpan w:val="2"/>
            <w:tcBorders>
              <w:left w:val="single" w:sz="18" w:space="0" w:color="FFFFFF" w:themeColor="background1"/>
            </w:tcBorders>
            <w:vAlign w:val="bottom"/>
          </w:tcPr>
          <w:p w:rsidR="00274914" w:rsidRPr="002F17B5" w:rsidRDefault="00274914" w:rsidP="00274914">
            <w:pPr>
              <w:jc w:val="right"/>
              <w:rPr>
                <w:sz w:val="20"/>
              </w:rPr>
            </w:pPr>
            <w:r w:rsidRPr="002F17B5">
              <w:rPr>
                <w:sz w:val="20"/>
              </w:rPr>
              <w:t xml:space="preserve"> 53.3</w:t>
            </w:r>
          </w:p>
        </w:tc>
        <w:tc>
          <w:tcPr>
            <w:tcW w:w="841" w:type="dxa"/>
            <w:gridSpan w:val="4"/>
            <w:tcBorders>
              <w:right w:val="single" w:sz="18" w:space="0" w:color="FFFFFF" w:themeColor="background1"/>
            </w:tcBorders>
            <w:vAlign w:val="bottom"/>
          </w:tcPr>
          <w:p w:rsidR="00274914" w:rsidRPr="002F17B5" w:rsidRDefault="00274914" w:rsidP="00274914">
            <w:pPr>
              <w:jc w:val="right"/>
              <w:rPr>
                <w:sz w:val="20"/>
              </w:rPr>
            </w:pPr>
          </w:p>
        </w:tc>
        <w:tc>
          <w:tcPr>
            <w:tcW w:w="853"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164.9</w:t>
            </w:r>
          </w:p>
        </w:tc>
      </w:tr>
      <w:tr w:rsidR="00274914" w:rsidRPr="002F17B5" w:rsidTr="00274914">
        <w:trPr>
          <w:gridAfter w:val="1"/>
          <w:wAfter w:w="112" w:type="dxa"/>
        </w:trPr>
        <w:tc>
          <w:tcPr>
            <w:tcW w:w="2087" w:type="dxa"/>
            <w:gridSpan w:val="2"/>
          </w:tcPr>
          <w:p w:rsidR="00274914" w:rsidRPr="002F17B5" w:rsidRDefault="00274914" w:rsidP="006977BB">
            <w:pPr>
              <w:ind w:left="113"/>
              <w:jc w:val="left"/>
              <w:rPr>
                <w:sz w:val="20"/>
              </w:rPr>
            </w:pPr>
            <w:r w:rsidRPr="002F17B5">
              <w:rPr>
                <w:sz w:val="20"/>
              </w:rPr>
              <w:t>Pooled investments</w:t>
            </w:r>
          </w:p>
        </w:tc>
        <w:tc>
          <w:tcPr>
            <w:tcW w:w="749" w:type="dxa"/>
            <w:gridSpan w:val="2"/>
            <w:tcBorders>
              <w:right w:val="single" w:sz="18" w:space="0" w:color="FFFFFF" w:themeColor="background1"/>
            </w:tcBorders>
          </w:tcPr>
          <w:p w:rsidR="00274914" w:rsidRPr="002F17B5" w:rsidRDefault="00274914" w:rsidP="006977BB">
            <w:pPr>
              <w:ind w:left="113"/>
              <w:jc w:val="left"/>
              <w:rPr>
                <w:sz w:val="20"/>
              </w:rPr>
            </w:pPr>
          </w:p>
        </w:tc>
        <w:tc>
          <w:tcPr>
            <w:tcW w:w="1134" w:type="dxa"/>
            <w:gridSpan w:val="4"/>
            <w:tcBorders>
              <w:left w:val="single" w:sz="18" w:space="0" w:color="FFFFFF" w:themeColor="background1"/>
            </w:tcBorders>
          </w:tcPr>
          <w:p w:rsidR="00274914" w:rsidRPr="002F17B5" w:rsidRDefault="00274914" w:rsidP="00274914">
            <w:pPr>
              <w:jc w:val="right"/>
              <w:rPr>
                <w:sz w:val="20"/>
              </w:rPr>
            </w:pPr>
            <w:r w:rsidRPr="002F17B5">
              <w:rPr>
                <w:sz w:val="20"/>
              </w:rPr>
              <w:t>1,466.3</w:t>
            </w:r>
          </w:p>
        </w:tc>
        <w:tc>
          <w:tcPr>
            <w:tcW w:w="249" w:type="dxa"/>
            <w:tcBorders>
              <w:right w:val="single" w:sz="18" w:space="0" w:color="FFFFFF" w:themeColor="background1"/>
            </w:tcBorders>
          </w:tcPr>
          <w:p w:rsidR="00274914" w:rsidRPr="002F17B5" w:rsidRDefault="00274914" w:rsidP="00274914">
            <w:pPr>
              <w:jc w:val="right"/>
              <w:rPr>
                <w:sz w:val="20"/>
              </w:rPr>
            </w:pPr>
          </w:p>
        </w:tc>
        <w:tc>
          <w:tcPr>
            <w:tcW w:w="1244"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696.6</w:t>
            </w:r>
          </w:p>
        </w:tc>
        <w:tc>
          <w:tcPr>
            <w:tcW w:w="1840" w:type="dxa"/>
            <w:gridSpan w:val="6"/>
          </w:tcPr>
          <w:p w:rsidR="00274914" w:rsidRPr="002F17B5" w:rsidRDefault="00274914" w:rsidP="00274914">
            <w:pPr>
              <w:jc w:val="right"/>
              <w:rPr>
                <w:sz w:val="20"/>
              </w:rPr>
            </w:pPr>
            <w:r w:rsidRPr="002F17B5">
              <w:rPr>
                <w:sz w:val="20"/>
              </w:rPr>
              <w:t>(558.9)</w:t>
            </w:r>
          </w:p>
        </w:tc>
        <w:tc>
          <w:tcPr>
            <w:tcW w:w="885" w:type="dxa"/>
            <w:gridSpan w:val="2"/>
            <w:tcBorders>
              <w:right w:val="single" w:sz="18" w:space="0" w:color="FFFFFF" w:themeColor="background1"/>
            </w:tcBorders>
          </w:tcPr>
          <w:p w:rsidR="00274914" w:rsidRPr="002F17B5" w:rsidRDefault="00274914" w:rsidP="00274914">
            <w:pPr>
              <w:jc w:val="right"/>
              <w:rPr>
                <w:sz w:val="20"/>
              </w:rPr>
            </w:pPr>
          </w:p>
        </w:tc>
        <w:tc>
          <w:tcPr>
            <w:tcW w:w="850" w:type="dxa"/>
            <w:gridSpan w:val="2"/>
            <w:tcBorders>
              <w:left w:val="single" w:sz="18" w:space="0" w:color="FFFFFF" w:themeColor="background1"/>
            </w:tcBorders>
          </w:tcPr>
          <w:p w:rsidR="00274914" w:rsidRPr="002F17B5" w:rsidRDefault="00274914" w:rsidP="00274914">
            <w:pPr>
              <w:jc w:val="right"/>
              <w:rPr>
                <w:sz w:val="20"/>
              </w:rPr>
            </w:pPr>
            <w:r w:rsidRPr="002F17B5">
              <w:rPr>
                <w:sz w:val="20"/>
              </w:rPr>
              <w:t>(2.8)</w:t>
            </w:r>
          </w:p>
        </w:tc>
        <w:tc>
          <w:tcPr>
            <w:tcW w:w="1694" w:type="dxa"/>
            <w:gridSpan w:val="6"/>
          </w:tcPr>
          <w:p w:rsidR="00274914" w:rsidRPr="002F17B5" w:rsidRDefault="00274914" w:rsidP="00274914">
            <w:pPr>
              <w:jc w:val="right"/>
              <w:rPr>
                <w:sz w:val="20"/>
              </w:rPr>
            </w:pPr>
            <w:r w:rsidRPr="002F17B5">
              <w:rPr>
                <w:sz w:val="20"/>
              </w:rPr>
              <w:t>1,601.2</w:t>
            </w:r>
          </w:p>
        </w:tc>
      </w:tr>
      <w:tr w:rsidR="00274914" w:rsidRPr="002F17B5" w:rsidTr="00274914">
        <w:trPr>
          <w:gridAfter w:val="1"/>
          <w:wAfter w:w="112" w:type="dxa"/>
        </w:trPr>
        <w:tc>
          <w:tcPr>
            <w:tcW w:w="2087" w:type="dxa"/>
            <w:gridSpan w:val="2"/>
          </w:tcPr>
          <w:p w:rsidR="00274914" w:rsidRPr="002F17B5" w:rsidRDefault="00274914" w:rsidP="006977BB">
            <w:pPr>
              <w:ind w:left="113"/>
              <w:jc w:val="left"/>
              <w:rPr>
                <w:sz w:val="20"/>
              </w:rPr>
            </w:pPr>
            <w:r w:rsidRPr="002F17B5">
              <w:rPr>
                <w:sz w:val="20"/>
              </w:rPr>
              <w:t>Property</w:t>
            </w:r>
          </w:p>
        </w:tc>
        <w:tc>
          <w:tcPr>
            <w:tcW w:w="749" w:type="dxa"/>
            <w:gridSpan w:val="2"/>
            <w:vMerge w:val="restart"/>
            <w:tcBorders>
              <w:right w:val="single" w:sz="18" w:space="0" w:color="FFFFFF" w:themeColor="background1"/>
            </w:tcBorders>
          </w:tcPr>
          <w:p w:rsidR="00274914" w:rsidRPr="002F17B5" w:rsidRDefault="00274914" w:rsidP="006977BB">
            <w:pPr>
              <w:ind w:left="113"/>
              <w:jc w:val="left"/>
              <w:rPr>
                <w:sz w:val="20"/>
              </w:rPr>
            </w:pPr>
          </w:p>
        </w:tc>
        <w:tc>
          <w:tcPr>
            <w:tcW w:w="1134" w:type="dxa"/>
            <w:gridSpan w:val="4"/>
            <w:tcBorders>
              <w:left w:val="single" w:sz="18" w:space="0" w:color="FFFFFF" w:themeColor="background1"/>
              <w:bottom w:val="single" w:sz="18" w:space="0" w:color="auto"/>
            </w:tcBorders>
          </w:tcPr>
          <w:p w:rsidR="00274914" w:rsidRPr="002F17B5" w:rsidRDefault="00274914" w:rsidP="00274914">
            <w:pPr>
              <w:jc w:val="right"/>
              <w:rPr>
                <w:sz w:val="20"/>
              </w:rPr>
            </w:pPr>
            <w:r w:rsidRPr="002F17B5">
              <w:rPr>
                <w:sz w:val="20"/>
              </w:rPr>
              <w:t>383.9</w:t>
            </w:r>
          </w:p>
        </w:tc>
        <w:tc>
          <w:tcPr>
            <w:tcW w:w="249" w:type="dxa"/>
            <w:tcBorders>
              <w:bottom w:val="single" w:sz="18" w:space="0" w:color="auto"/>
              <w:right w:val="single" w:sz="18" w:space="0" w:color="FFFFFF" w:themeColor="background1"/>
            </w:tcBorders>
          </w:tcPr>
          <w:p w:rsidR="00274914" w:rsidRPr="002F17B5" w:rsidRDefault="00274914" w:rsidP="00274914">
            <w:pPr>
              <w:jc w:val="right"/>
              <w:rPr>
                <w:sz w:val="20"/>
              </w:rPr>
            </w:pPr>
          </w:p>
        </w:tc>
        <w:tc>
          <w:tcPr>
            <w:tcW w:w="1244" w:type="dxa"/>
            <w:gridSpan w:val="2"/>
            <w:tcBorders>
              <w:left w:val="single" w:sz="18" w:space="0" w:color="FFFFFF" w:themeColor="background1"/>
              <w:bottom w:val="single" w:sz="18" w:space="0" w:color="auto"/>
            </w:tcBorders>
          </w:tcPr>
          <w:p w:rsidR="00274914" w:rsidRPr="002F17B5" w:rsidRDefault="00274914" w:rsidP="00274914">
            <w:pPr>
              <w:jc w:val="right"/>
              <w:rPr>
                <w:sz w:val="20"/>
              </w:rPr>
            </w:pPr>
            <w:r w:rsidRPr="002F17B5">
              <w:rPr>
                <w:sz w:val="20"/>
              </w:rPr>
              <w:t>72.1</w:t>
            </w:r>
          </w:p>
        </w:tc>
        <w:tc>
          <w:tcPr>
            <w:tcW w:w="1840" w:type="dxa"/>
            <w:gridSpan w:val="6"/>
            <w:tcBorders>
              <w:bottom w:val="single" w:sz="18" w:space="0" w:color="auto"/>
            </w:tcBorders>
          </w:tcPr>
          <w:p w:rsidR="00274914" w:rsidRPr="002F17B5" w:rsidRDefault="00274914" w:rsidP="00274914">
            <w:pPr>
              <w:jc w:val="right"/>
              <w:rPr>
                <w:sz w:val="20"/>
              </w:rPr>
            </w:pPr>
            <w:r w:rsidRPr="002F17B5">
              <w:rPr>
                <w:sz w:val="20"/>
              </w:rPr>
              <w:t>(5.3)</w:t>
            </w:r>
          </w:p>
        </w:tc>
        <w:tc>
          <w:tcPr>
            <w:tcW w:w="885" w:type="dxa"/>
            <w:gridSpan w:val="2"/>
            <w:tcBorders>
              <w:bottom w:val="single" w:sz="18" w:space="0" w:color="auto"/>
              <w:right w:val="single" w:sz="18" w:space="0" w:color="FFFFFF" w:themeColor="background1"/>
            </w:tcBorders>
          </w:tcPr>
          <w:p w:rsidR="00274914" w:rsidRPr="002F17B5" w:rsidRDefault="00274914" w:rsidP="00274914">
            <w:pPr>
              <w:jc w:val="right"/>
              <w:rPr>
                <w:sz w:val="20"/>
              </w:rPr>
            </w:pPr>
          </w:p>
        </w:tc>
        <w:tc>
          <w:tcPr>
            <w:tcW w:w="850" w:type="dxa"/>
            <w:gridSpan w:val="2"/>
            <w:tcBorders>
              <w:left w:val="single" w:sz="18" w:space="0" w:color="FFFFFF" w:themeColor="background1"/>
              <w:bottom w:val="single" w:sz="18" w:space="0" w:color="auto"/>
            </w:tcBorders>
          </w:tcPr>
          <w:p w:rsidR="00274914" w:rsidRPr="002F17B5" w:rsidRDefault="00274914" w:rsidP="00274914">
            <w:pPr>
              <w:jc w:val="right"/>
              <w:rPr>
                <w:sz w:val="20"/>
              </w:rPr>
            </w:pPr>
            <w:r w:rsidRPr="002F17B5">
              <w:rPr>
                <w:sz w:val="20"/>
              </w:rPr>
              <w:t>(15.8)</w:t>
            </w:r>
          </w:p>
        </w:tc>
        <w:tc>
          <w:tcPr>
            <w:tcW w:w="841" w:type="dxa"/>
            <w:gridSpan w:val="4"/>
            <w:tcBorders>
              <w:bottom w:val="single" w:sz="18" w:space="0" w:color="auto"/>
              <w:right w:val="single" w:sz="18" w:space="0" w:color="FFFFFF" w:themeColor="background1"/>
            </w:tcBorders>
          </w:tcPr>
          <w:p w:rsidR="00274914" w:rsidRPr="002F17B5" w:rsidRDefault="00274914" w:rsidP="00274914">
            <w:pPr>
              <w:jc w:val="right"/>
              <w:rPr>
                <w:sz w:val="20"/>
              </w:rPr>
            </w:pPr>
          </w:p>
        </w:tc>
        <w:tc>
          <w:tcPr>
            <w:tcW w:w="853" w:type="dxa"/>
            <w:gridSpan w:val="2"/>
            <w:tcBorders>
              <w:left w:val="single" w:sz="18" w:space="0" w:color="FFFFFF" w:themeColor="background1"/>
              <w:bottom w:val="single" w:sz="18" w:space="0" w:color="auto"/>
            </w:tcBorders>
          </w:tcPr>
          <w:p w:rsidR="00274914" w:rsidRPr="002F17B5" w:rsidRDefault="00274914" w:rsidP="00274914">
            <w:pPr>
              <w:jc w:val="right"/>
              <w:rPr>
                <w:sz w:val="20"/>
              </w:rPr>
            </w:pPr>
            <w:r w:rsidRPr="002F17B5">
              <w:rPr>
                <w:sz w:val="20"/>
              </w:rPr>
              <w:t>434.9</w:t>
            </w:r>
          </w:p>
        </w:tc>
      </w:tr>
      <w:tr w:rsidR="00274914" w:rsidRPr="002F17B5" w:rsidTr="00274914">
        <w:trPr>
          <w:gridAfter w:val="1"/>
          <w:wAfter w:w="112" w:type="dxa"/>
          <w:trHeight w:val="210"/>
        </w:trPr>
        <w:tc>
          <w:tcPr>
            <w:tcW w:w="2087" w:type="dxa"/>
            <w:gridSpan w:val="2"/>
          </w:tcPr>
          <w:p w:rsidR="00274914" w:rsidRPr="002F17B5" w:rsidRDefault="00274914" w:rsidP="006977BB">
            <w:pPr>
              <w:ind w:left="113"/>
              <w:jc w:val="left"/>
              <w:rPr>
                <w:sz w:val="20"/>
              </w:rPr>
            </w:pPr>
          </w:p>
        </w:tc>
        <w:tc>
          <w:tcPr>
            <w:tcW w:w="749" w:type="dxa"/>
            <w:gridSpan w:val="2"/>
            <w:vMerge/>
            <w:tcBorders>
              <w:right w:val="single" w:sz="18" w:space="0" w:color="FFFFFF" w:themeColor="background1"/>
            </w:tcBorders>
          </w:tcPr>
          <w:p w:rsidR="00274914" w:rsidRPr="002F17B5" w:rsidRDefault="00274914" w:rsidP="006977BB">
            <w:pPr>
              <w:ind w:left="113"/>
              <w:jc w:val="left"/>
              <w:rPr>
                <w:sz w:val="20"/>
              </w:rPr>
            </w:pPr>
          </w:p>
        </w:tc>
        <w:tc>
          <w:tcPr>
            <w:tcW w:w="1134" w:type="dxa"/>
            <w:gridSpan w:val="4"/>
            <w:tcBorders>
              <w:top w:val="single" w:sz="18" w:space="0" w:color="auto"/>
              <w:left w:val="single" w:sz="18" w:space="0" w:color="FFFFFF" w:themeColor="background1"/>
            </w:tcBorders>
          </w:tcPr>
          <w:p w:rsidR="00274914" w:rsidRPr="002F17B5" w:rsidRDefault="00274914" w:rsidP="00274914">
            <w:pPr>
              <w:jc w:val="right"/>
              <w:rPr>
                <w:sz w:val="20"/>
              </w:rPr>
            </w:pPr>
            <w:r w:rsidRPr="002F17B5">
              <w:rPr>
                <w:sz w:val="20"/>
              </w:rPr>
              <w:t>4,211.9</w:t>
            </w:r>
          </w:p>
          <w:p w:rsidR="00274914" w:rsidRPr="002F17B5" w:rsidRDefault="00274914" w:rsidP="00274914">
            <w:pPr>
              <w:jc w:val="right"/>
              <w:rPr>
                <w:sz w:val="20"/>
              </w:rPr>
            </w:pPr>
          </w:p>
        </w:tc>
        <w:tc>
          <w:tcPr>
            <w:tcW w:w="249" w:type="dxa"/>
            <w:tcBorders>
              <w:top w:val="single" w:sz="18" w:space="0" w:color="auto"/>
              <w:right w:val="single" w:sz="18" w:space="0" w:color="FFFFFF" w:themeColor="background1"/>
            </w:tcBorders>
          </w:tcPr>
          <w:p w:rsidR="00274914" w:rsidRPr="002F17B5" w:rsidRDefault="00274914" w:rsidP="00274914">
            <w:pPr>
              <w:jc w:val="right"/>
              <w:rPr>
                <w:sz w:val="20"/>
              </w:rPr>
            </w:pPr>
          </w:p>
        </w:tc>
        <w:tc>
          <w:tcPr>
            <w:tcW w:w="1244" w:type="dxa"/>
            <w:gridSpan w:val="2"/>
            <w:tcBorders>
              <w:top w:val="single" w:sz="18" w:space="0" w:color="auto"/>
              <w:left w:val="single" w:sz="18" w:space="0" w:color="FFFFFF" w:themeColor="background1"/>
            </w:tcBorders>
          </w:tcPr>
          <w:p w:rsidR="00274914" w:rsidRPr="002F17B5" w:rsidRDefault="00274914" w:rsidP="00274914">
            <w:pPr>
              <w:jc w:val="right"/>
              <w:rPr>
                <w:sz w:val="20"/>
              </w:rPr>
            </w:pPr>
            <w:r w:rsidRPr="002F17B5">
              <w:rPr>
                <w:sz w:val="20"/>
              </w:rPr>
              <w:t>2,695.7</w:t>
            </w:r>
          </w:p>
        </w:tc>
        <w:tc>
          <w:tcPr>
            <w:tcW w:w="1840" w:type="dxa"/>
            <w:gridSpan w:val="6"/>
            <w:tcBorders>
              <w:top w:val="single" w:sz="18" w:space="0" w:color="auto"/>
            </w:tcBorders>
          </w:tcPr>
          <w:p w:rsidR="00274914" w:rsidRPr="002F17B5" w:rsidRDefault="00274914" w:rsidP="00274914">
            <w:pPr>
              <w:jc w:val="right"/>
              <w:rPr>
                <w:sz w:val="20"/>
              </w:rPr>
            </w:pPr>
            <w:r w:rsidRPr="002F17B5">
              <w:rPr>
                <w:sz w:val="20"/>
              </w:rPr>
              <w:t>(2,646.4)</w:t>
            </w:r>
          </w:p>
        </w:tc>
        <w:tc>
          <w:tcPr>
            <w:tcW w:w="885" w:type="dxa"/>
            <w:gridSpan w:val="2"/>
            <w:tcBorders>
              <w:top w:val="single" w:sz="18" w:space="0" w:color="auto"/>
              <w:right w:val="single" w:sz="18" w:space="0" w:color="FFFFFF" w:themeColor="background1"/>
            </w:tcBorders>
          </w:tcPr>
          <w:p w:rsidR="00274914" w:rsidRPr="002F17B5" w:rsidRDefault="00274914" w:rsidP="00274914">
            <w:pPr>
              <w:jc w:val="right"/>
              <w:rPr>
                <w:sz w:val="20"/>
              </w:rPr>
            </w:pPr>
          </w:p>
        </w:tc>
        <w:tc>
          <w:tcPr>
            <w:tcW w:w="850" w:type="dxa"/>
            <w:gridSpan w:val="2"/>
            <w:tcBorders>
              <w:top w:val="single" w:sz="18" w:space="0" w:color="auto"/>
              <w:left w:val="single" w:sz="18" w:space="0" w:color="FFFFFF" w:themeColor="background1"/>
            </w:tcBorders>
          </w:tcPr>
          <w:p w:rsidR="00274914" w:rsidRPr="002F17B5" w:rsidRDefault="00274914" w:rsidP="00274914">
            <w:pPr>
              <w:jc w:val="right"/>
              <w:rPr>
                <w:sz w:val="20"/>
              </w:rPr>
            </w:pPr>
            <w:r w:rsidRPr="002F17B5">
              <w:rPr>
                <w:sz w:val="20"/>
              </w:rPr>
              <w:t>532.7</w:t>
            </w:r>
          </w:p>
        </w:tc>
        <w:tc>
          <w:tcPr>
            <w:tcW w:w="1694" w:type="dxa"/>
            <w:gridSpan w:val="6"/>
            <w:tcBorders>
              <w:top w:val="single" w:sz="18" w:space="0" w:color="auto"/>
            </w:tcBorders>
          </w:tcPr>
          <w:p w:rsidR="00274914" w:rsidRPr="002F17B5" w:rsidRDefault="00274914" w:rsidP="00274914">
            <w:pPr>
              <w:jc w:val="right"/>
              <w:rPr>
                <w:sz w:val="20"/>
              </w:rPr>
            </w:pPr>
            <w:r w:rsidRPr="002F17B5">
              <w:rPr>
                <w:sz w:val="20"/>
              </w:rPr>
              <w:t>4,793.9</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1943" w:type="dxa"/>
            <w:tcBorders>
              <w:top w:val="nil"/>
              <w:left w:val="nil"/>
              <w:bottom w:val="nil"/>
              <w:right w:val="nil"/>
            </w:tcBorders>
          </w:tcPr>
          <w:p w:rsidR="00274914" w:rsidRPr="002F17B5" w:rsidRDefault="00274914" w:rsidP="006977BB">
            <w:pPr>
              <w:ind w:left="113" w:right="-845"/>
              <w:jc w:val="left"/>
              <w:rPr>
                <w:sz w:val="20"/>
              </w:rPr>
            </w:pPr>
            <w:r w:rsidRPr="002F17B5">
              <w:rPr>
                <w:sz w:val="20"/>
              </w:rPr>
              <w:t>Derivative contracts:</w:t>
            </w:r>
          </w:p>
        </w:tc>
        <w:tc>
          <w:tcPr>
            <w:tcW w:w="1779" w:type="dxa"/>
            <w:gridSpan w:val="5"/>
            <w:tcBorders>
              <w:top w:val="nil"/>
              <w:left w:val="nil"/>
              <w:bottom w:val="nil"/>
              <w:right w:val="nil"/>
            </w:tcBorders>
          </w:tcPr>
          <w:p w:rsidR="00274914" w:rsidRPr="002F17B5" w:rsidRDefault="00274914" w:rsidP="006977BB">
            <w:pPr>
              <w:ind w:left="113"/>
              <w:jc w:val="left"/>
            </w:pPr>
          </w:p>
        </w:tc>
        <w:tc>
          <w:tcPr>
            <w:tcW w:w="1780" w:type="dxa"/>
            <w:gridSpan w:val="6"/>
            <w:tcBorders>
              <w:top w:val="nil"/>
              <w:left w:val="nil"/>
              <w:bottom w:val="nil"/>
              <w:right w:val="nil"/>
            </w:tcBorders>
          </w:tcPr>
          <w:p w:rsidR="00274914" w:rsidRPr="002F17B5" w:rsidRDefault="00274914" w:rsidP="00274914"/>
        </w:tc>
        <w:tc>
          <w:tcPr>
            <w:tcW w:w="1780" w:type="dxa"/>
            <w:gridSpan w:val="4"/>
            <w:tcBorders>
              <w:top w:val="nil"/>
              <w:left w:val="nil"/>
              <w:bottom w:val="nil"/>
              <w:right w:val="nil"/>
            </w:tcBorders>
          </w:tcPr>
          <w:p w:rsidR="00274914" w:rsidRPr="002F17B5" w:rsidRDefault="00274914" w:rsidP="00274914"/>
        </w:tc>
        <w:tc>
          <w:tcPr>
            <w:tcW w:w="1781" w:type="dxa"/>
            <w:gridSpan w:val="6"/>
            <w:tcBorders>
              <w:top w:val="nil"/>
              <w:left w:val="nil"/>
              <w:bottom w:val="nil"/>
              <w:right w:val="nil"/>
            </w:tcBorders>
          </w:tcPr>
          <w:p w:rsidR="00274914" w:rsidRPr="002F17B5" w:rsidRDefault="00274914" w:rsidP="00274914"/>
        </w:tc>
        <w:tc>
          <w:tcPr>
            <w:tcW w:w="1781" w:type="dxa"/>
            <w:gridSpan w:val="6"/>
            <w:tcBorders>
              <w:top w:val="nil"/>
              <w:left w:val="nil"/>
              <w:bottom w:val="nil"/>
              <w:right w:val="nil"/>
            </w:tcBorders>
          </w:tcPr>
          <w:p w:rsidR="00274914" w:rsidRPr="002F17B5" w:rsidRDefault="00274914" w:rsidP="00274914"/>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296"/>
        </w:trPr>
        <w:tc>
          <w:tcPr>
            <w:tcW w:w="2836" w:type="dxa"/>
            <w:gridSpan w:val="4"/>
            <w:tcBorders>
              <w:top w:val="nil"/>
              <w:left w:val="nil"/>
              <w:bottom w:val="nil"/>
              <w:right w:val="nil"/>
            </w:tcBorders>
          </w:tcPr>
          <w:p w:rsidR="00274914" w:rsidRPr="002F17B5" w:rsidRDefault="00274914" w:rsidP="006977BB">
            <w:pPr>
              <w:ind w:left="113" w:right="-704"/>
              <w:jc w:val="left"/>
              <w:rPr>
                <w:sz w:val="20"/>
              </w:rPr>
            </w:pPr>
            <w:r w:rsidRPr="002F17B5">
              <w:rPr>
                <w:sz w:val="20"/>
              </w:rPr>
              <w:t>Futures</w:t>
            </w:r>
          </w:p>
        </w:tc>
        <w:tc>
          <w:tcPr>
            <w:tcW w:w="992" w:type="dxa"/>
            <w:gridSpan w:val="3"/>
            <w:tcBorders>
              <w:top w:val="nil"/>
              <w:left w:val="nil"/>
              <w:bottom w:val="nil"/>
              <w:right w:val="nil"/>
            </w:tcBorders>
          </w:tcPr>
          <w:p w:rsidR="00274914" w:rsidRPr="002F17B5" w:rsidRDefault="00274914" w:rsidP="00274914">
            <w:pPr>
              <w:tabs>
                <w:tab w:val="left" w:pos="1276"/>
              </w:tabs>
              <w:ind w:right="-108"/>
              <w:jc w:val="right"/>
              <w:rPr>
                <w:sz w:val="20"/>
              </w:rPr>
            </w:pPr>
            <w:r w:rsidRPr="002F17B5">
              <w:rPr>
                <w:sz w:val="20"/>
              </w:rPr>
              <w:t>0.2</w:t>
            </w:r>
          </w:p>
        </w:tc>
        <w:tc>
          <w:tcPr>
            <w:tcW w:w="1745" w:type="dxa"/>
            <w:gridSpan w:val="6"/>
            <w:tcBorders>
              <w:top w:val="nil"/>
              <w:left w:val="nil"/>
              <w:bottom w:val="nil"/>
              <w:right w:val="nil"/>
            </w:tcBorders>
          </w:tcPr>
          <w:p w:rsidR="00274914" w:rsidRPr="002F17B5" w:rsidRDefault="00274914" w:rsidP="00274914">
            <w:pPr>
              <w:tabs>
                <w:tab w:val="left" w:pos="1396"/>
              </w:tabs>
              <w:ind w:left="601" w:right="112"/>
              <w:jc w:val="right"/>
              <w:rPr>
                <w:sz w:val="20"/>
              </w:rPr>
            </w:pPr>
            <w:r w:rsidRPr="002F17B5">
              <w:rPr>
                <w:sz w:val="20"/>
              </w:rPr>
              <w:t>0.4</w:t>
            </w:r>
          </w:p>
        </w:tc>
        <w:tc>
          <w:tcPr>
            <w:tcW w:w="1780" w:type="dxa"/>
            <w:gridSpan w:val="5"/>
            <w:tcBorders>
              <w:top w:val="nil"/>
              <w:left w:val="nil"/>
              <w:bottom w:val="nil"/>
              <w:right w:val="nil"/>
            </w:tcBorders>
          </w:tcPr>
          <w:p w:rsidR="00274914" w:rsidRPr="002F17B5" w:rsidRDefault="00274914" w:rsidP="00274914">
            <w:pPr>
              <w:tabs>
                <w:tab w:val="left" w:pos="1549"/>
              </w:tabs>
              <w:ind w:left="239" w:right="157"/>
              <w:jc w:val="right"/>
              <w:rPr>
                <w:sz w:val="20"/>
              </w:rPr>
            </w:pPr>
            <w:r w:rsidRPr="002F17B5">
              <w:rPr>
                <w:sz w:val="20"/>
              </w:rPr>
              <w:t>(0.5)</w:t>
            </w:r>
          </w:p>
        </w:tc>
        <w:tc>
          <w:tcPr>
            <w:tcW w:w="2393" w:type="dxa"/>
            <w:gridSpan w:val="6"/>
            <w:tcBorders>
              <w:top w:val="nil"/>
              <w:left w:val="nil"/>
              <w:bottom w:val="nil"/>
              <w:right w:val="nil"/>
            </w:tcBorders>
          </w:tcPr>
          <w:p w:rsidR="00274914" w:rsidRPr="002F17B5" w:rsidRDefault="00274914" w:rsidP="00274914">
            <w:pPr>
              <w:ind w:right="741"/>
              <w:jc w:val="right"/>
              <w:rPr>
                <w:sz w:val="20"/>
              </w:rPr>
            </w:pPr>
            <w:r w:rsidRPr="002F17B5">
              <w:rPr>
                <w:sz w:val="20"/>
              </w:rPr>
              <w:t>(0.1)</w:t>
            </w:r>
          </w:p>
        </w:tc>
        <w:tc>
          <w:tcPr>
            <w:tcW w:w="886" w:type="dxa"/>
            <w:gridSpan w:val="2"/>
            <w:tcBorders>
              <w:top w:val="nil"/>
              <w:left w:val="nil"/>
              <w:bottom w:val="nil"/>
              <w:right w:val="nil"/>
            </w:tcBorders>
          </w:tcPr>
          <w:p w:rsidR="00274914" w:rsidRPr="002F17B5" w:rsidRDefault="00274914" w:rsidP="00274914">
            <w:pPr>
              <w:ind w:right="-108"/>
              <w:jc w:val="right"/>
              <w:rPr>
                <w:sz w:val="20"/>
              </w:rPr>
            </w:pPr>
            <w:r w:rsidRPr="002F17B5">
              <w:rPr>
                <w:sz w:val="20"/>
              </w:rPr>
              <w:t>0.0</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500"/>
        </w:trPr>
        <w:tc>
          <w:tcPr>
            <w:tcW w:w="2836" w:type="dxa"/>
            <w:gridSpan w:val="4"/>
            <w:tcBorders>
              <w:top w:val="nil"/>
              <w:left w:val="nil"/>
              <w:bottom w:val="nil"/>
              <w:right w:val="nil"/>
            </w:tcBorders>
          </w:tcPr>
          <w:p w:rsidR="00274914" w:rsidRPr="002F17B5" w:rsidRDefault="00274914" w:rsidP="006977BB">
            <w:pPr>
              <w:ind w:left="113" w:right="-704"/>
              <w:jc w:val="left"/>
              <w:rPr>
                <w:sz w:val="20"/>
              </w:rPr>
            </w:pPr>
            <w:r w:rsidRPr="002F17B5">
              <w:rPr>
                <w:sz w:val="20"/>
              </w:rPr>
              <w:t xml:space="preserve">Forward currency </w:t>
            </w:r>
          </w:p>
          <w:p w:rsidR="00274914" w:rsidRPr="002F17B5" w:rsidRDefault="006F0CB5" w:rsidP="006977BB">
            <w:pPr>
              <w:ind w:left="113" w:right="-704"/>
              <w:jc w:val="left"/>
              <w:rPr>
                <w:sz w:val="20"/>
              </w:rPr>
            </w:pPr>
            <w:r w:rsidRPr="002F17B5">
              <w:rPr>
                <w:sz w:val="20"/>
              </w:rPr>
              <w:t>C</w:t>
            </w:r>
            <w:r w:rsidR="00274914" w:rsidRPr="002F17B5">
              <w:rPr>
                <w:sz w:val="20"/>
              </w:rPr>
              <w:t>ontracts</w:t>
            </w:r>
            <w:r>
              <w:rPr>
                <w:sz w:val="20"/>
              </w:rPr>
              <w:t>*</w:t>
            </w:r>
            <w:r w:rsidR="00274914" w:rsidRPr="002F17B5">
              <w:rPr>
                <w:sz w:val="20"/>
              </w:rPr>
              <w:t xml:space="preserve"> </w:t>
            </w:r>
          </w:p>
        </w:tc>
        <w:tc>
          <w:tcPr>
            <w:tcW w:w="992" w:type="dxa"/>
            <w:gridSpan w:val="3"/>
            <w:tcBorders>
              <w:top w:val="nil"/>
              <w:left w:val="nil"/>
              <w:bottom w:val="nil"/>
              <w:right w:val="nil"/>
            </w:tcBorders>
          </w:tcPr>
          <w:p w:rsidR="00274914" w:rsidRPr="002F17B5" w:rsidRDefault="006F0CB5" w:rsidP="00274914">
            <w:pPr>
              <w:tabs>
                <w:tab w:val="left" w:pos="1276"/>
              </w:tabs>
              <w:ind w:right="-108"/>
              <w:jc w:val="right"/>
              <w:rPr>
                <w:sz w:val="20"/>
              </w:rPr>
            </w:pPr>
            <w:r>
              <w:rPr>
                <w:sz w:val="20"/>
              </w:rPr>
              <w:t>1.6</w:t>
            </w:r>
          </w:p>
        </w:tc>
        <w:tc>
          <w:tcPr>
            <w:tcW w:w="1745" w:type="dxa"/>
            <w:gridSpan w:val="6"/>
            <w:tcBorders>
              <w:top w:val="nil"/>
              <w:left w:val="nil"/>
              <w:bottom w:val="nil"/>
              <w:right w:val="nil"/>
            </w:tcBorders>
          </w:tcPr>
          <w:p w:rsidR="00274914" w:rsidRPr="002F17B5" w:rsidRDefault="00274914" w:rsidP="00274914">
            <w:pPr>
              <w:ind w:left="601" w:right="112"/>
              <w:jc w:val="right"/>
              <w:rPr>
                <w:sz w:val="20"/>
              </w:rPr>
            </w:pPr>
          </w:p>
        </w:tc>
        <w:tc>
          <w:tcPr>
            <w:tcW w:w="1780" w:type="dxa"/>
            <w:gridSpan w:val="5"/>
            <w:tcBorders>
              <w:top w:val="nil"/>
              <w:left w:val="nil"/>
              <w:bottom w:val="nil"/>
              <w:right w:val="nil"/>
            </w:tcBorders>
          </w:tcPr>
          <w:p w:rsidR="00274914" w:rsidRPr="002F17B5" w:rsidRDefault="00274914" w:rsidP="00274914">
            <w:pPr>
              <w:ind w:left="239" w:right="112"/>
              <w:jc w:val="right"/>
              <w:rPr>
                <w:sz w:val="20"/>
              </w:rPr>
            </w:pPr>
          </w:p>
        </w:tc>
        <w:tc>
          <w:tcPr>
            <w:tcW w:w="1781" w:type="dxa"/>
            <w:gridSpan w:val="5"/>
            <w:tcBorders>
              <w:top w:val="nil"/>
              <w:left w:val="nil"/>
              <w:bottom w:val="nil"/>
              <w:right w:val="nil"/>
            </w:tcBorders>
          </w:tcPr>
          <w:p w:rsidR="00274914" w:rsidRPr="002F17B5" w:rsidRDefault="00274914" w:rsidP="00274914">
            <w:pPr>
              <w:ind w:right="112"/>
              <w:jc w:val="right"/>
              <w:rPr>
                <w:sz w:val="20"/>
              </w:rPr>
            </w:pPr>
          </w:p>
        </w:tc>
        <w:tc>
          <w:tcPr>
            <w:tcW w:w="1498" w:type="dxa"/>
            <w:gridSpan w:val="3"/>
            <w:tcBorders>
              <w:top w:val="nil"/>
              <w:left w:val="nil"/>
              <w:bottom w:val="nil"/>
              <w:right w:val="nil"/>
            </w:tcBorders>
          </w:tcPr>
          <w:p w:rsidR="00274914" w:rsidRPr="002F17B5" w:rsidRDefault="006F0CB5" w:rsidP="00274914">
            <w:pPr>
              <w:ind w:right="-108"/>
              <w:jc w:val="right"/>
              <w:rPr>
                <w:sz w:val="20"/>
              </w:rPr>
            </w:pPr>
            <w:r>
              <w:rPr>
                <w:sz w:val="20"/>
              </w:rPr>
              <w:t>3.0</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Pr>
        <w:tc>
          <w:tcPr>
            <w:tcW w:w="2836" w:type="dxa"/>
            <w:gridSpan w:val="4"/>
            <w:tcBorders>
              <w:top w:val="nil"/>
              <w:left w:val="nil"/>
              <w:bottom w:val="nil"/>
              <w:right w:val="nil"/>
            </w:tcBorders>
          </w:tcPr>
          <w:p w:rsidR="00274914" w:rsidRPr="002F17B5" w:rsidRDefault="00274914" w:rsidP="006977BB">
            <w:pPr>
              <w:ind w:left="113" w:right="-704"/>
              <w:jc w:val="left"/>
              <w:rPr>
                <w:sz w:val="20"/>
              </w:rPr>
            </w:pPr>
            <w:r w:rsidRPr="002F17B5">
              <w:rPr>
                <w:sz w:val="20"/>
              </w:rPr>
              <w:t>Cash deposits</w:t>
            </w:r>
          </w:p>
        </w:tc>
        <w:tc>
          <w:tcPr>
            <w:tcW w:w="992" w:type="dxa"/>
            <w:gridSpan w:val="3"/>
            <w:tcBorders>
              <w:top w:val="nil"/>
              <w:left w:val="nil"/>
              <w:bottom w:val="nil"/>
              <w:right w:val="nil"/>
            </w:tcBorders>
          </w:tcPr>
          <w:p w:rsidR="00274914" w:rsidRPr="002F17B5" w:rsidRDefault="00274914" w:rsidP="00274914">
            <w:pPr>
              <w:ind w:right="-108"/>
              <w:jc w:val="right"/>
              <w:rPr>
                <w:sz w:val="20"/>
              </w:rPr>
            </w:pPr>
            <w:r w:rsidRPr="002F17B5">
              <w:rPr>
                <w:sz w:val="20"/>
              </w:rPr>
              <w:t>126.8</w:t>
            </w:r>
          </w:p>
        </w:tc>
        <w:tc>
          <w:tcPr>
            <w:tcW w:w="1745" w:type="dxa"/>
            <w:gridSpan w:val="6"/>
            <w:tcBorders>
              <w:top w:val="nil"/>
              <w:left w:val="nil"/>
              <w:bottom w:val="nil"/>
              <w:right w:val="nil"/>
            </w:tcBorders>
          </w:tcPr>
          <w:p w:rsidR="00274914" w:rsidRPr="002F17B5" w:rsidRDefault="00274914" w:rsidP="00274914">
            <w:pPr>
              <w:ind w:left="601" w:right="112"/>
              <w:jc w:val="right"/>
              <w:rPr>
                <w:sz w:val="20"/>
              </w:rPr>
            </w:pPr>
          </w:p>
        </w:tc>
        <w:tc>
          <w:tcPr>
            <w:tcW w:w="1780" w:type="dxa"/>
            <w:gridSpan w:val="5"/>
            <w:tcBorders>
              <w:top w:val="nil"/>
              <w:left w:val="nil"/>
              <w:bottom w:val="nil"/>
              <w:right w:val="nil"/>
            </w:tcBorders>
          </w:tcPr>
          <w:p w:rsidR="00274914" w:rsidRPr="002F17B5" w:rsidRDefault="00274914" w:rsidP="00274914">
            <w:pPr>
              <w:ind w:left="239" w:right="112"/>
              <w:jc w:val="right"/>
              <w:rPr>
                <w:sz w:val="20"/>
              </w:rPr>
            </w:pPr>
          </w:p>
        </w:tc>
        <w:tc>
          <w:tcPr>
            <w:tcW w:w="1781" w:type="dxa"/>
            <w:gridSpan w:val="5"/>
            <w:tcBorders>
              <w:top w:val="nil"/>
              <w:left w:val="nil"/>
              <w:bottom w:val="nil"/>
              <w:right w:val="nil"/>
            </w:tcBorders>
          </w:tcPr>
          <w:p w:rsidR="00274914" w:rsidRPr="002F17B5" w:rsidRDefault="00274914" w:rsidP="00274914">
            <w:pPr>
              <w:ind w:right="112"/>
              <w:jc w:val="right"/>
              <w:rPr>
                <w:sz w:val="20"/>
              </w:rPr>
            </w:pPr>
          </w:p>
        </w:tc>
        <w:tc>
          <w:tcPr>
            <w:tcW w:w="1498" w:type="dxa"/>
            <w:gridSpan w:val="3"/>
            <w:tcBorders>
              <w:top w:val="nil"/>
              <w:left w:val="nil"/>
              <w:bottom w:val="nil"/>
              <w:right w:val="nil"/>
            </w:tcBorders>
          </w:tcPr>
          <w:p w:rsidR="00274914" w:rsidRPr="002F17B5" w:rsidRDefault="00274914" w:rsidP="00274914">
            <w:pPr>
              <w:ind w:right="-108"/>
              <w:jc w:val="right"/>
              <w:rPr>
                <w:sz w:val="20"/>
              </w:rPr>
            </w:pPr>
            <w:r w:rsidRPr="002F17B5">
              <w:rPr>
                <w:sz w:val="20"/>
              </w:rPr>
              <w:t>170.5</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354"/>
        </w:trPr>
        <w:tc>
          <w:tcPr>
            <w:tcW w:w="2836" w:type="dxa"/>
            <w:gridSpan w:val="4"/>
            <w:tcBorders>
              <w:top w:val="nil"/>
              <w:left w:val="nil"/>
              <w:bottom w:val="nil"/>
              <w:right w:val="nil"/>
            </w:tcBorders>
          </w:tcPr>
          <w:p w:rsidR="00274914" w:rsidRPr="002F17B5" w:rsidRDefault="00274914" w:rsidP="006977BB">
            <w:pPr>
              <w:ind w:left="113" w:right="-704"/>
              <w:jc w:val="left"/>
              <w:rPr>
                <w:sz w:val="20"/>
              </w:rPr>
            </w:pPr>
            <w:r w:rsidRPr="002F17B5">
              <w:rPr>
                <w:sz w:val="20"/>
              </w:rPr>
              <w:t>Investment accruals</w:t>
            </w:r>
          </w:p>
        </w:tc>
        <w:tc>
          <w:tcPr>
            <w:tcW w:w="992" w:type="dxa"/>
            <w:gridSpan w:val="3"/>
            <w:tcBorders>
              <w:top w:val="nil"/>
              <w:left w:val="nil"/>
              <w:bottom w:val="single" w:sz="8" w:space="0" w:color="auto"/>
              <w:right w:val="nil"/>
            </w:tcBorders>
          </w:tcPr>
          <w:p w:rsidR="00274914" w:rsidRPr="002F17B5" w:rsidRDefault="00274914" w:rsidP="00274914">
            <w:pPr>
              <w:ind w:right="-108"/>
              <w:jc w:val="right"/>
              <w:rPr>
                <w:sz w:val="20"/>
              </w:rPr>
            </w:pPr>
            <w:r w:rsidRPr="002F17B5">
              <w:rPr>
                <w:sz w:val="20"/>
              </w:rPr>
              <w:t>19.4</w:t>
            </w:r>
          </w:p>
        </w:tc>
        <w:tc>
          <w:tcPr>
            <w:tcW w:w="1745" w:type="dxa"/>
            <w:gridSpan w:val="6"/>
            <w:tcBorders>
              <w:top w:val="nil"/>
              <w:left w:val="nil"/>
              <w:bottom w:val="nil"/>
              <w:right w:val="nil"/>
            </w:tcBorders>
          </w:tcPr>
          <w:p w:rsidR="00274914" w:rsidRPr="002F17B5" w:rsidRDefault="00274914" w:rsidP="00274914">
            <w:pPr>
              <w:ind w:left="601" w:right="112"/>
              <w:jc w:val="right"/>
              <w:rPr>
                <w:sz w:val="20"/>
              </w:rPr>
            </w:pPr>
          </w:p>
        </w:tc>
        <w:tc>
          <w:tcPr>
            <w:tcW w:w="1780" w:type="dxa"/>
            <w:gridSpan w:val="5"/>
            <w:tcBorders>
              <w:top w:val="nil"/>
              <w:left w:val="nil"/>
              <w:bottom w:val="nil"/>
              <w:right w:val="nil"/>
            </w:tcBorders>
          </w:tcPr>
          <w:p w:rsidR="00274914" w:rsidRPr="002F17B5" w:rsidRDefault="00274914" w:rsidP="00274914">
            <w:pPr>
              <w:ind w:left="239" w:right="112"/>
              <w:jc w:val="right"/>
              <w:rPr>
                <w:sz w:val="20"/>
              </w:rPr>
            </w:pPr>
          </w:p>
        </w:tc>
        <w:tc>
          <w:tcPr>
            <w:tcW w:w="1781" w:type="dxa"/>
            <w:gridSpan w:val="5"/>
            <w:tcBorders>
              <w:top w:val="nil"/>
              <w:left w:val="nil"/>
              <w:bottom w:val="nil"/>
              <w:right w:val="nil"/>
            </w:tcBorders>
          </w:tcPr>
          <w:p w:rsidR="00274914" w:rsidRPr="002F17B5" w:rsidRDefault="00274914" w:rsidP="00274914">
            <w:pPr>
              <w:ind w:right="112"/>
              <w:jc w:val="right"/>
              <w:rPr>
                <w:sz w:val="20"/>
              </w:rPr>
            </w:pPr>
          </w:p>
        </w:tc>
        <w:tc>
          <w:tcPr>
            <w:tcW w:w="1498" w:type="dxa"/>
            <w:gridSpan w:val="3"/>
            <w:tcBorders>
              <w:top w:val="nil"/>
              <w:left w:val="nil"/>
              <w:bottom w:val="single" w:sz="8" w:space="0" w:color="auto"/>
              <w:right w:val="nil"/>
            </w:tcBorders>
          </w:tcPr>
          <w:p w:rsidR="00274914" w:rsidRPr="002F17B5" w:rsidRDefault="00274914" w:rsidP="00274914">
            <w:pPr>
              <w:ind w:right="-108"/>
              <w:jc w:val="right"/>
              <w:rPr>
                <w:sz w:val="20"/>
              </w:rPr>
            </w:pPr>
            <w:r w:rsidRPr="002F17B5">
              <w:rPr>
                <w:sz w:val="20"/>
              </w:rPr>
              <w:t>21.6</w:t>
            </w:r>
          </w:p>
        </w:tc>
      </w:tr>
      <w:tr w:rsidR="00274914" w:rsidRPr="002F17B5" w:rsidTr="0027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Pr>
        <w:tc>
          <w:tcPr>
            <w:tcW w:w="2552" w:type="dxa"/>
            <w:gridSpan w:val="3"/>
            <w:tcBorders>
              <w:top w:val="nil"/>
              <w:left w:val="nil"/>
              <w:bottom w:val="nil"/>
              <w:right w:val="nil"/>
            </w:tcBorders>
          </w:tcPr>
          <w:p w:rsidR="00274914" w:rsidRPr="002F17B5" w:rsidRDefault="00274914" w:rsidP="006977BB">
            <w:pPr>
              <w:ind w:left="113"/>
              <w:jc w:val="left"/>
              <w:rPr>
                <w:sz w:val="20"/>
              </w:rPr>
            </w:pPr>
            <w:r w:rsidRPr="002F17B5">
              <w:rPr>
                <w:sz w:val="20"/>
              </w:rPr>
              <w:t>Portfolio value</w:t>
            </w:r>
          </w:p>
        </w:tc>
        <w:tc>
          <w:tcPr>
            <w:tcW w:w="1276" w:type="dxa"/>
            <w:gridSpan w:val="4"/>
            <w:tcBorders>
              <w:top w:val="single" w:sz="18" w:space="0" w:color="auto"/>
              <w:left w:val="nil"/>
              <w:bottom w:val="single" w:sz="18" w:space="0" w:color="auto"/>
              <w:right w:val="nil"/>
            </w:tcBorders>
          </w:tcPr>
          <w:p w:rsidR="00274914" w:rsidRPr="002F17B5" w:rsidRDefault="00274914" w:rsidP="00274914">
            <w:pPr>
              <w:tabs>
                <w:tab w:val="left" w:pos="1907"/>
              </w:tabs>
              <w:ind w:left="488" w:right="-108"/>
              <w:jc w:val="right"/>
              <w:rPr>
                <w:sz w:val="20"/>
              </w:rPr>
            </w:pPr>
            <w:r w:rsidRPr="002F17B5">
              <w:rPr>
                <w:sz w:val="20"/>
              </w:rPr>
              <w:t>4,359.9</w:t>
            </w:r>
          </w:p>
        </w:tc>
        <w:tc>
          <w:tcPr>
            <w:tcW w:w="1596" w:type="dxa"/>
            <w:gridSpan w:val="3"/>
            <w:tcBorders>
              <w:top w:val="nil"/>
              <w:left w:val="nil"/>
              <w:bottom w:val="nil"/>
              <w:right w:val="nil"/>
            </w:tcBorders>
          </w:tcPr>
          <w:p w:rsidR="00274914" w:rsidRPr="002F17B5" w:rsidRDefault="00274914" w:rsidP="00274914">
            <w:pPr>
              <w:ind w:left="601" w:right="112"/>
              <w:jc w:val="right"/>
              <w:rPr>
                <w:sz w:val="20"/>
              </w:rPr>
            </w:pPr>
          </w:p>
        </w:tc>
        <w:tc>
          <w:tcPr>
            <w:tcW w:w="1780" w:type="dxa"/>
            <w:gridSpan w:val="5"/>
            <w:tcBorders>
              <w:top w:val="nil"/>
              <w:left w:val="nil"/>
              <w:bottom w:val="nil"/>
              <w:right w:val="nil"/>
            </w:tcBorders>
          </w:tcPr>
          <w:p w:rsidR="00274914" w:rsidRPr="002F17B5" w:rsidRDefault="00274914" w:rsidP="00274914">
            <w:pPr>
              <w:ind w:left="239" w:right="112"/>
              <w:jc w:val="right"/>
              <w:rPr>
                <w:sz w:val="20"/>
              </w:rPr>
            </w:pPr>
          </w:p>
        </w:tc>
        <w:tc>
          <w:tcPr>
            <w:tcW w:w="1781" w:type="dxa"/>
            <w:gridSpan w:val="5"/>
            <w:tcBorders>
              <w:top w:val="nil"/>
              <w:left w:val="nil"/>
              <w:bottom w:val="nil"/>
              <w:right w:val="nil"/>
            </w:tcBorders>
          </w:tcPr>
          <w:p w:rsidR="00274914" w:rsidRPr="002F17B5" w:rsidRDefault="00274914" w:rsidP="00274914">
            <w:pPr>
              <w:ind w:right="112"/>
              <w:jc w:val="right"/>
              <w:rPr>
                <w:sz w:val="20"/>
              </w:rPr>
            </w:pPr>
          </w:p>
        </w:tc>
        <w:tc>
          <w:tcPr>
            <w:tcW w:w="1647" w:type="dxa"/>
            <w:gridSpan w:val="6"/>
            <w:tcBorders>
              <w:top w:val="single" w:sz="18" w:space="0" w:color="auto"/>
              <w:left w:val="nil"/>
              <w:bottom w:val="single" w:sz="18" w:space="0" w:color="auto"/>
              <w:right w:val="nil"/>
            </w:tcBorders>
          </w:tcPr>
          <w:p w:rsidR="00274914" w:rsidRPr="002F17B5" w:rsidRDefault="00274914" w:rsidP="00274914">
            <w:pPr>
              <w:ind w:right="-108"/>
              <w:jc w:val="right"/>
              <w:rPr>
                <w:sz w:val="20"/>
              </w:rPr>
            </w:pPr>
            <w:r w:rsidRPr="002F17B5">
              <w:rPr>
                <w:sz w:val="20"/>
              </w:rPr>
              <w:t>4,989.0</w:t>
            </w:r>
          </w:p>
        </w:tc>
      </w:tr>
    </w:tbl>
    <w:p w:rsidR="00AC0229" w:rsidRDefault="00AC0229" w:rsidP="00D55D63">
      <w:pPr>
        <w:spacing w:after="240"/>
        <w:ind w:left="283"/>
      </w:pPr>
    </w:p>
    <w:p w:rsidR="006977BB" w:rsidRPr="002F17B5" w:rsidRDefault="00274914" w:rsidP="00D55D63">
      <w:pPr>
        <w:spacing w:after="240"/>
        <w:ind w:left="283"/>
      </w:pPr>
      <w:r w:rsidRPr="002F17B5">
        <w:lastRenderedPageBreak/>
        <w:t>Within the £102.9m increase in market value of investments during the 2013/14 financial year, a reduction in market value of £33.9m relates to assets for which fair value is not based on observable market data.  The valuation policy for these assets is outlined in note 1</w:t>
      </w:r>
      <w:r w:rsidR="00AC0229">
        <w:t>8</w:t>
      </w:r>
      <w:r w:rsidRPr="002F17B5">
        <w:t>.</w:t>
      </w:r>
      <w:r w:rsidR="00AC0229">
        <w:t>j</w:t>
      </w:r>
    </w:p>
    <w:p w:rsidR="00274914" w:rsidRDefault="00274914" w:rsidP="00D55D63">
      <w:pPr>
        <w:spacing w:after="240"/>
        <w:ind w:left="283"/>
      </w:pPr>
      <w:r w:rsidRPr="002F17B5">
        <w:t>Transaction costs are included in the cost of purchases and in sale proceeds.  Transaction costs include costs charged directly to the Pension Fund, such as fees, commissions paid to agents, brokers and dealers, levies by regulatory agencies and securities exchanges and transfer taxes and duties.  Transaction costs incurred during the year 2013/14 amounted to £1.4m (2012/13: £2.2m).</w:t>
      </w:r>
    </w:p>
    <w:p w:rsidR="006977BB" w:rsidRPr="002F17B5" w:rsidRDefault="006977BB" w:rsidP="00D55D63">
      <w:pPr>
        <w:spacing w:after="240"/>
        <w:ind w:left="283"/>
      </w:pPr>
      <w:r w:rsidRPr="002F17B5">
        <w:t>The investment assets at 31 March 2014 were managed by eleven external investment managers, with the remaining managed in-house.  The following table shows the split of the investment assets by investment manager</w:t>
      </w:r>
    </w:p>
    <w:tbl>
      <w:tblPr>
        <w:tblW w:w="10891" w:type="dxa"/>
        <w:tblInd w:w="103" w:type="dxa"/>
        <w:tblLook w:val="04A0" w:firstRow="1" w:lastRow="0" w:firstColumn="1" w:lastColumn="0" w:noHBand="0" w:noVBand="1"/>
      </w:tblPr>
      <w:tblGrid>
        <w:gridCol w:w="4967"/>
        <w:gridCol w:w="992"/>
        <w:gridCol w:w="1418"/>
        <w:gridCol w:w="830"/>
        <w:gridCol w:w="283"/>
        <w:gridCol w:w="1299"/>
        <w:gridCol w:w="272"/>
        <w:gridCol w:w="830"/>
      </w:tblGrid>
      <w:tr w:rsidR="00274914" w:rsidRPr="002F17B5" w:rsidTr="00630928">
        <w:trPr>
          <w:trHeight w:val="315"/>
        </w:trPr>
        <w:tc>
          <w:tcPr>
            <w:tcW w:w="8207" w:type="dxa"/>
            <w:gridSpan w:val="4"/>
            <w:shd w:val="clear" w:color="000000" w:fill="FFFFFF"/>
            <w:noWrap/>
            <w:vAlign w:val="bottom"/>
            <w:hideMark/>
          </w:tcPr>
          <w:p w:rsidR="00274914" w:rsidRPr="002F17B5" w:rsidRDefault="00437D90" w:rsidP="004A4CFF">
            <w:pPr>
              <w:spacing w:after="0"/>
              <w:rPr>
                <w:rFonts w:cs="Arial"/>
                <w:b/>
                <w:bCs/>
              </w:rPr>
            </w:pPr>
            <w:r>
              <w:rPr>
                <w:rFonts w:cs="Arial"/>
                <w:b/>
                <w:bCs/>
              </w:rPr>
              <w:t>S</w:t>
            </w:r>
            <w:r w:rsidR="00274914" w:rsidRPr="002F17B5">
              <w:rPr>
                <w:rFonts w:cs="Arial"/>
                <w:b/>
                <w:bCs/>
              </w:rPr>
              <w:t xml:space="preserve">ummary of Manager's Portfolio </w:t>
            </w:r>
            <w:r w:rsidR="00A13302" w:rsidRPr="002F17B5">
              <w:rPr>
                <w:rFonts w:cs="Arial"/>
                <w:b/>
                <w:bCs/>
              </w:rPr>
              <w:t>Values</w:t>
            </w:r>
          </w:p>
        </w:tc>
        <w:tc>
          <w:tcPr>
            <w:tcW w:w="283"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299"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102" w:type="dxa"/>
            <w:gridSpan w:val="2"/>
            <w:shd w:val="clear" w:color="000000" w:fill="FFFFFF"/>
            <w:noWrap/>
            <w:vAlign w:val="bottom"/>
            <w:hideMark/>
          </w:tcPr>
          <w:p w:rsidR="00274914" w:rsidRPr="002F17B5" w:rsidRDefault="00274914" w:rsidP="004A4CFF">
            <w:pPr>
              <w:spacing w:after="0"/>
              <w:rPr>
                <w:rFonts w:cs="Arial"/>
              </w:rPr>
            </w:pPr>
            <w:r w:rsidRPr="002F17B5">
              <w:rPr>
                <w:rFonts w:cs="Arial"/>
              </w:rPr>
              <w:t> </w:t>
            </w: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2248" w:type="dxa"/>
            <w:gridSpan w:val="2"/>
            <w:shd w:val="clear" w:color="000000" w:fill="FFFFFF"/>
            <w:noWrap/>
            <w:vAlign w:val="bottom"/>
            <w:hideMark/>
          </w:tcPr>
          <w:p w:rsidR="00274914" w:rsidRPr="006977BB" w:rsidRDefault="00A13302" w:rsidP="004A4CFF">
            <w:pPr>
              <w:spacing w:after="0"/>
              <w:jc w:val="center"/>
              <w:rPr>
                <w:rFonts w:cs="Arial"/>
                <w:b/>
                <w:bCs/>
              </w:rPr>
            </w:pPr>
            <w:r w:rsidRPr="006977BB">
              <w:rPr>
                <w:rFonts w:cs="Arial"/>
                <w:b/>
                <w:bCs/>
              </w:rPr>
              <w:t>31/03/14</w:t>
            </w:r>
          </w:p>
        </w:tc>
        <w:tc>
          <w:tcPr>
            <w:tcW w:w="283" w:type="dxa"/>
            <w:shd w:val="clear" w:color="000000" w:fill="FFFFFF"/>
            <w:noWrap/>
            <w:vAlign w:val="bottom"/>
            <w:hideMark/>
          </w:tcPr>
          <w:p w:rsidR="00274914" w:rsidRPr="006977BB" w:rsidRDefault="00274914" w:rsidP="004A4CFF">
            <w:pPr>
              <w:spacing w:after="0"/>
              <w:jc w:val="center"/>
              <w:rPr>
                <w:rFonts w:cs="Arial"/>
                <w:b/>
                <w:bCs/>
              </w:rPr>
            </w:pPr>
          </w:p>
        </w:tc>
        <w:tc>
          <w:tcPr>
            <w:tcW w:w="2401" w:type="dxa"/>
            <w:gridSpan w:val="3"/>
            <w:shd w:val="clear" w:color="000000" w:fill="FFFFFF"/>
            <w:noWrap/>
            <w:vAlign w:val="bottom"/>
            <w:hideMark/>
          </w:tcPr>
          <w:p w:rsidR="00274914" w:rsidRPr="006977BB" w:rsidRDefault="00A13302" w:rsidP="004A4CFF">
            <w:pPr>
              <w:spacing w:after="0"/>
              <w:jc w:val="center"/>
              <w:rPr>
                <w:rFonts w:cs="Arial"/>
                <w:b/>
                <w:bCs/>
              </w:rPr>
            </w:pPr>
            <w:r w:rsidRPr="006977BB">
              <w:rPr>
                <w:rFonts w:cs="Arial"/>
                <w:b/>
                <w:bCs/>
              </w:rPr>
              <w:t>31/03/13</w:t>
            </w: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418"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£m</w:t>
            </w:r>
          </w:p>
        </w:tc>
        <w:tc>
          <w:tcPr>
            <w:tcW w:w="830"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w:t>
            </w:r>
          </w:p>
        </w:tc>
        <w:tc>
          <w:tcPr>
            <w:tcW w:w="283"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 </w:t>
            </w:r>
          </w:p>
        </w:tc>
        <w:tc>
          <w:tcPr>
            <w:tcW w:w="1571" w:type="dxa"/>
            <w:gridSpan w:val="2"/>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£m</w:t>
            </w:r>
          </w:p>
        </w:tc>
        <w:tc>
          <w:tcPr>
            <w:tcW w:w="830"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w:t>
            </w: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bCs/>
                <w:u w:val="single"/>
              </w:rPr>
            </w:pPr>
            <w:r w:rsidRPr="002F17B5">
              <w:rPr>
                <w:rFonts w:cs="Arial"/>
                <w:bCs/>
                <w:u w:val="single"/>
              </w:rPr>
              <w:t>Externally Managed</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418"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830"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283"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571" w:type="dxa"/>
            <w:gridSpan w:val="2"/>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830"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r>
      <w:tr w:rsidR="00274914" w:rsidRPr="002F17B5" w:rsidTr="00630928">
        <w:trPr>
          <w:trHeight w:val="600"/>
        </w:trPr>
        <w:tc>
          <w:tcPr>
            <w:tcW w:w="4967" w:type="dxa"/>
            <w:shd w:val="clear" w:color="000000" w:fill="FFFFFF"/>
            <w:vAlign w:val="bottom"/>
            <w:hideMark/>
          </w:tcPr>
          <w:p w:rsidR="00274914" w:rsidRPr="002F17B5" w:rsidRDefault="00274914" w:rsidP="004A4CFF">
            <w:pPr>
              <w:spacing w:after="0"/>
              <w:rPr>
                <w:rFonts w:cs="Arial"/>
                <w:u w:val="single"/>
              </w:rPr>
            </w:pPr>
            <w:r w:rsidRPr="002F17B5">
              <w:rPr>
                <w:rFonts w:cs="Arial"/>
                <w:u w:val="single"/>
              </w:rPr>
              <w:t>Equities</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sz w:val="14"/>
                <w:szCs w:val="16"/>
              </w:rPr>
            </w:pPr>
          </w:p>
        </w:tc>
        <w:tc>
          <w:tcPr>
            <w:tcW w:w="830" w:type="dxa"/>
            <w:shd w:val="clear" w:color="000000" w:fill="FFFFFF"/>
            <w:noWrap/>
            <w:vAlign w:val="bottom"/>
            <w:hideMark/>
          </w:tcPr>
          <w:p w:rsidR="00274914" w:rsidRPr="002F17B5" w:rsidRDefault="00274914" w:rsidP="004A4CFF">
            <w:pPr>
              <w:spacing w:after="0"/>
              <w:jc w:val="right"/>
              <w:rPr>
                <w:rFonts w:cs="Arial"/>
                <w:sz w:val="14"/>
                <w:szCs w:val="16"/>
              </w:rPr>
            </w:pPr>
          </w:p>
        </w:tc>
        <w:tc>
          <w:tcPr>
            <w:tcW w:w="283" w:type="dxa"/>
            <w:shd w:val="clear" w:color="000000" w:fill="FFFFFF"/>
            <w:noWrap/>
            <w:vAlign w:val="bottom"/>
            <w:hideMark/>
          </w:tcPr>
          <w:p w:rsidR="00274914" w:rsidRPr="002F17B5" w:rsidRDefault="00274914" w:rsidP="004A4CFF">
            <w:pPr>
              <w:spacing w:after="0"/>
              <w:rPr>
                <w:rFonts w:cs="Arial"/>
                <w:sz w:val="14"/>
                <w:szCs w:val="16"/>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sz w:val="14"/>
                <w:szCs w:val="16"/>
              </w:rPr>
            </w:pPr>
          </w:p>
        </w:tc>
        <w:tc>
          <w:tcPr>
            <w:tcW w:w="830" w:type="dxa"/>
            <w:shd w:val="clear" w:color="000000" w:fill="FFFFFF"/>
            <w:noWrap/>
            <w:vAlign w:val="bottom"/>
            <w:hideMark/>
          </w:tcPr>
          <w:p w:rsidR="00274914" w:rsidRPr="002F17B5" w:rsidRDefault="00274914" w:rsidP="004A4CFF">
            <w:pPr>
              <w:spacing w:after="0"/>
              <w:jc w:val="right"/>
              <w:rPr>
                <w:rFonts w:cs="Arial"/>
                <w:sz w:val="14"/>
                <w:szCs w:val="16"/>
              </w:rPr>
            </w:pPr>
          </w:p>
        </w:tc>
      </w:tr>
      <w:tr w:rsidR="00274914" w:rsidRPr="002F17B5" w:rsidTr="00630928">
        <w:trPr>
          <w:trHeight w:val="352"/>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 xml:space="preserve">Baillie Gifford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793.0</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15%</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703.1</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14%</w:t>
            </w:r>
          </w:p>
        </w:tc>
      </w:tr>
      <w:tr w:rsidR="00274914" w:rsidRPr="002F17B5" w:rsidTr="00630928">
        <w:trPr>
          <w:trHeight w:val="270"/>
        </w:trPr>
        <w:tc>
          <w:tcPr>
            <w:tcW w:w="4967" w:type="dxa"/>
            <w:shd w:val="clear" w:color="000000" w:fill="FFFFFF"/>
            <w:vAlign w:val="bottom"/>
            <w:hideMark/>
          </w:tcPr>
          <w:p w:rsidR="00274914" w:rsidRPr="002F17B5" w:rsidRDefault="00274914" w:rsidP="004A4CFF">
            <w:pPr>
              <w:spacing w:after="0"/>
              <w:rPr>
                <w:rFonts w:cs="Arial"/>
              </w:rPr>
            </w:pPr>
            <w:proofErr w:type="spellStart"/>
            <w:r w:rsidRPr="002F17B5">
              <w:rPr>
                <w:rFonts w:cs="Arial"/>
              </w:rPr>
              <w:t>Robeco</w:t>
            </w:r>
            <w:proofErr w:type="spellEnd"/>
            <w:r w:rsidRPr="002F17B5">
              <w:rPr>
                <w:rFonts w:cs="Arial"/>
              </w:rPr>
              <w:t xml:space="preserve">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366.7</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7%</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354.5</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7%</w:t>
            </w: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 xml:space="preserve">NGAM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285.8</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6%</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245.7</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5%</w:t>
            </w: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 xml:space="preserve">MFS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269.6</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5%</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245.0</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5%</w:t>
            </w: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AGF</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239.9</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5%</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0.0</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0%</w:t>
            </w: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 xml:space="preserve">Morgan Stanley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239.4</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5%</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234.1</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5%</w:t>
            </w: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 xml:space="preserve">Magellan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197.5</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4%</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0.0</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0%</w:t>
            </w: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bCs/>
              </w:rPr>
            </w:pPr>
            <w:r w:rsidRPr="002F17B5">
              <w:rPr>
                <w:rFonts w:cs="Arial"/>
                <w:bCs/>
              </w:rPr>
              <w:t xml:space="preserve">Nomura Transition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1.9</w:t>
            </w:r>
          </w:p>
        </w:tc>
        <w:tc>
          <w:tcPr>
            <w:tcW w:w="830"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0%</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437D90" w:rsidP="004A4CFF">
            <w:pPr>
              <w:spacing w:after="0"/>
              <w:ind w:right="34"/>
              <w:jc w:val="right"/>
              <w:rPr>
                <w:rFonts w:cs="Arial"/>
                <w:bCs/>
              </w:rPr>
            </w:pPr>
            <w:r>
              <w:rPr>
                <w:rFonts w:cs="Arial"/>
                <w:bCs/>
              </w:rPr>
              <w:t>1.7</w:t>
            </w:r>
          </w:p>
        </w:tc>
        <w:tc>
          <w:tcPr>
            <w:tcW w:w="830"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0%</w:t>
            </w: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u w:val="single"/>
              </w:rPr>
            </w:pPr>
            <w:r w:rsidRPr="002F17B5">
              <w:rPr>
                <w:rFonts w:cs="Arial"/>
                <w:u w:val="single"/>
              </w:rPr>
              <w:t>Private equity</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 xml:space="preserve">Capital Dynamics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221.5</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4%</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229.1</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4%</w:t>
            </w: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u w:val="single"/>
              </w:rPr>
            </w:pPr>
            <w:r w:rsidRPr="002F17B5">
              <w:rPr>
                <w:rFonts w:cs="Arial"/>
                <w:u w:val="single"/>
              </w:rPr>
              <w:t>Infrastructure</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Capital Dynamics</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118.6</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2%</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77.5</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w:t>
            </w: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u w:val="single"/>
              </w:rPr>
            </w:pPr>
            <w:r w:rsidRPr="002F17B5">
              <w:rPr>
                <w:rFonts w:cs="Arial"/>
                <w:u w:val="single"/>
              </w:rPr>
              <w:t>Credit and fixed income transition</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r>
      <w:tr w:rsidR="00274914" w:rsidRPr="002F17B5" w:rsidTr="00630928">
        <w:trPr>
          <w:trHeight w:val="30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 xml:space="preserve">BNYM Transition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82.5</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2%</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929.4</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19%</w:t>
            </w:r>
          </w:p>
        </w:tc>
      </w:tr>
      <w:tr w:rsidR="00274914" w:rsidRPr="002F17B5" w:rsidTr="00630928">
        <w:trPr>
          <w:trHeight w:val="270"/>
        </w:trPr>
        <w:tc>
          <w:tcPr>
            <w:tcW w:w="4967" w:type="dxa"/>
            <w:shd w:val="clear" w:color="000000" w:fill="FFFFFF"/>
            <w:vAlign w:val="bottom"/>
            <w:hideMark/>
          </w:tcPr>
          <w:p w:rsidR="00274914" w:rsidRPr="002F17B5" w:rsidRDefault="00274914" w:rsidP="004A4CFF">
            <w:pPr>
              <w:spacing w:after="0"/>
              <w:rPr>
                <w:rFonts w:cs="Arial"/>
              </w:rPr>
            </w:pP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r>
      <w:tr w:rsidR="00274914" w:rsidRPr="002F17B5" w:rsidTr="00630928">
        <w:trPr>
          <w:trHeight w:val="270"/>
        </w:trPr>
        <w:tc>
          <w:tcPr>
            <w:tcW w:w="4967" w:type="dxa"/>
            <w:shd w:val="clear" w:color="000000" w:fill="FFFFFF"/>
            <w:vAlign w:val="bottom"/>
            <w:hideMark/>
          </w:tcPr>
          <w:p w:rsidR="00274914" w:rsidRPr="002F17B5" w:rsidRDefault="00274914" w:rsidP="004A4CFF">
            <w:pPr>
              <w:spacing w:after="0"/>
              <w:rPr>
                <w:rFonts w:cs="Arial"/>
                <w:u w:val="single"/>
              </w:rPr>
            </w:pPr>
            <w:r w:rsidRPr="002F17B5">
              <w:rPr>
                <w:rFonts w:cs="Arial"/>
                <w:u w:val="single"/>
              </w:rPr>
              <w:t>Property</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p>
        </w:tc>
        <w:tc>
          <w:tcPr>
            <w:tcW w:w="830" w:type="dxa"/>
            <w:shd w:val="clear" w:color="000000" w:fill="FFFFFF"/>
            <w:noWrap/>
            <w:vAlign w:val="bottom"/>
            <w:hideMark/>
          </w:tcPr>
          <w:p w:rsidR="00274914" w:rsidRPr="002F17B5" w:rsidRDefault="00274914" w:rsidP="004A4CFF">
            <w:pPr>
              <w:spacing w:after="0"/>
              <w:jc w:val="right"/>
              <w:rPr>
                <w:rFonts w:cs="Arial"/>
              </w:rPr>
            </w:pPr>
          </w:p>
        </w:tc>
      </w:tr>
      <w:tr w:rsidR="00274914" w:rsidRPr="002F17B5" w:rsidTr="00630928">
        <w:trPr>
          <w:trHeight w:val="270"/>
        </w:trPr>
        <w:tc>
          <w:tcPr>
            <w:tcW w:w="4967" w:type="dxa"/>
            <w:shd w:val="clear" w:color="000000" w:fill="FFFFFF"/>
            <w:vAlign w:val="bottom"/>
            <w:hideMark/>
          </w:tcPr>
          <w:p w:rsidR="00274914" w:rsidRPr="002F17B5" w:rsidRDefault="00274914" w:rsidP="004A4CFF">
            <w:pPr>
              <w:spacing w:after="0"/>
              <w:rPr>
                <w:rFonts w:cs="Arial"/>
              </w:rPr>
            </w:pPr>
            <w:r w:rsidRPr="002F17B5">
              <w:rPr>
                <w:rFonts w:cs="Arial"/>
              </w:rPr>
              <w:t xml:space="preserve">Knight Frank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450.5</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9%</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rPr>
            </w:pPr>
            <w:r w:rsidRPr="002F17B5">
              <w:rPr>
                <w:rFonts w:cs="Arial"/>
              </w:rPr>
              <w:t>434.9</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9%</w:t>
            </w: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ind w:right="-392"/>
              <w:rPr>
                <w:rFonts w:cs="Arial"/>
                <w:bCs/>
              </w:rPr>
            </w:pP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bCs/>
              </w:rPr>
            </w:pPr>
          </w:p>
        </w:tc>
        <w:tc>
          <w:tcPr>
            <w:tcW w:w="830" w:type="dxa"/>
            <w:shd w:val="clear" w:color="000000" w:fill="FFFFFF"/>
            <w:noWrap/>
            <w:vAlign w:val="bottom"/>
            <w:hideMark/>
          </w:tcPr>
          <w:p w:rsidR="00274914" w:rsidRPr="002F17B5" w:rsidRDefault="00274914" w:rsidP="004A4CFF">
            <w:pPr>
              <w:spacing w:after="0"/>
              <w:jc w:val="right"/>
              <w:rPr>
                <w:rFonts w:cs="Arial"/>
                <w:bCs/>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bCs/>
              </w:rPr>
            </w:pPr>
          </w:p>
        </w:tc>
        <w:tc>
          <w:tcPr>
            <w:tcW w:w="830" w:type="dxa"/>
            <w:shd w:val="clear" w:color="000000" w:fill="FFFFFF"/>
            <w:noWrap/>
            <w:vAlign w:val="bottom"/>
            <w:hideMark/>
          </w:tcPr>
          <w:p w:rsidR="00274914" w:rsidRPr="002F17B5" w:rsidRDefault="00274914" w:rsidP="004A4CFF">
            <w:pPr>
              <w:spacing w:after="0"/>
              <w:jc w:val="right"/>
              <w:rPr>
                <w:rFonts w:cs="Arial"/>
                <w:bCs/>
              </w:rPr>
            </w:pP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ind w:right="-392"/>
              <w:rPr>
                <w:rFonts w:cs="Arial"/>
                <w:bCs/>
                <w:u w:val="single"/>
              </w:rPr>
            </w:pPr>
            <w:r w:rsidRPr="002F17B5">
              <w:rPr>
                <w:rFonts w:cs="Arial"/>
                <w:bCs/>
                <w:u w:val="single"/>
              </w:rPr>
              <w:t>Index tracking – multi asset</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bCs/>
              </w:rPr>
            </w:pPr>
          </w:p>
        </w:tc>
        <w:tc>
          <w:tcPr>
            <w:tcW w:w="830" w:type="dxa"/>
            <w:shd w:val="clear" w:color="000000" w:fill="FFFFFF"/>
            <w:noWrap/>
            <w:vAlign w:val="bottom"/>
            <w:hideMark/>
          </w:tcPr>
          <w:p w:rsidR="00274914" w:rsidRPr="002F17B5" w:rsidRDefault="00274914" w:rsidP="004A4CFF">
            <w:pPr>
              <w:spacing w:after="0"/>
              <w:jc w:val="right"/>
              <w:rPr>
                <w:rFonts w:cs="Arial"/>
                <w:bCs/>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bCs/>
              </w:rPr>
            </w:pPr>
          </w:p>
        </w:tc>
        <w:tc>
          <w:tcPr>
            <w:tcW w:w="830" w:type="dxa"/>
            <w:shd w:val="clear" w:color="000000" w:fill="FFFFFF"/>
            <w:noWrap/>
            <w:vAlign w:val="bottom"/>
            <w:hideMark/>
          </w:tcPr>
          <w:p w:rsidR="00274914" w:rsidRPr="002F17B5" w:rsidRDefault="00274914" w:rsidP="004A4CFF">
            <w:pPr>
              <w:spacing w:after="0"/>
              <w:jc w:val="right"/>
              <w:rPr>
                <w:rFonts w:cs="Arial"/>
                <w:bCs/>
              </w:rPr>
            </w:pP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ind w:right="-392"/>
              <w:rPr>
                <w:rFonts w:cs="Arial"/>
                <w:bCs/>
              </w:rPr>
            </w:pPr>
            <w:r w:rsidRPr="002F17B5">
              <w:rPr>
                <w:rFonts w:cs="Arial"/>
                <w:bCs/>
              </w:rPr>
              <w:t xml:space="preserve">Legal &amp; General </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0.0</w:t>
            </w:r>
          </w:p>
        </w:tc>
        <w:tc>
          <w:tcPr>
            <w:tcW w:w="830"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0%</w:t>
            </w: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ind w:right="34"/>
              <w:jc w:val="right"/>
              <w:rPr>
                <w:rFonts w:cs="Arial"/>
                <w:bCs/>
              </w:rPr>
            </w:pPr>
            <w:r w:rsidRPr="002F17B5">
              <w:rPr>
                <w:rFonts w:cs="Arial"/>
                <w:bCs/>
              </w:rPr>
              <w:t>582.1</w:t>
            </w:r>
          </w:p>
        </w:tc>
        <w:tc>
          <w:tcPr>
            <w:tcW w:w="830"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12%</w:t>
            </w:r>
          </w:p>
        </w:tc>
      </w:tr>
      <w:tr w:rsidR="00274914" w:rsidRPr="002F17B5" w:rsidTr="00630928">
        <w:trPr>
          <w:trHeight w:val="219"/>
        </w:trPr>
        <w:tc>
          <w:tcPr>
            <w:tcW w:w="4967" w:type="dxa"/>
            <w:shd w:val="clear" w:color="000000" w:fill="FFFFFF"/>
            <w:noWrap/>
            <w:vAlign w:val="bottom"/>
            <w:hideMark/>
          </w:tcPr>
          <w:p w:rsidR="00274914" w:rsidRPr="002F17B5" w:rsidRDefault="00274914" w:rsidP="004A4CFF">
            <w:pPr>
              <w:spacing w:after="0"/>
              <w:rPr>
                <w:rFonts w:cs="Arial"/>
                <w:b/>
                <w:bCs/>
              </w:rPr>
            </w:pP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b/>
                <w:bCs/>
              </w:rPr>
            </w:pPr>
          </w:p>
        </w:tc>
        <w:tc>
          <w:tcPr>
            <w:tcW w:w="830" w:type="dxa"/>
            <w:shd w:val="clear" w:color="000000" w:fill="FFFFFF"/>
            <w:noWrap/>
            <w:vAlign w:val="bottom"/>
            <w:hideMark/>
          </w:tcPr>
          <w:p w:rsidR="00274914" w:rsidRPr="002F17B5" w:rsidRDefault="00274914" w:rsidP="004A4CFF">
            <w:pPr>
              <w:spacing w:after="0"/>
              <w:jc w:val="right"/>
              <w:rPr>
                <w:rFonts w:cs="Arial"/>
                <w:b/>
                <w:bCs/>
              </w:rPr>
            </w:pPr>
          </w:p>
        </w:tc>
        <w:tc>
          <w:tcPr>
            <w:tcW w:w="283" w:type="dxa"/>
            <w:shd w:val="clear" w:color="000000" w:fill="FFFFFF"/>
            <w:noWrap/>
            <w:vAlign w:val="bottom"/>
            <w:hideMark/>
          </w:tcPr>
          <w:p w:rsidR="00274914" w:rsidRPr="002F17B5" w:rsidRDefault="00274914" w:rsidP="004A4CFF">
            <w:pPr>
              <w:spacing w:after="0"/>
              <w:rPr>
                <w:rFonts w:cs="Arial"/>
                <w:b/>
              </w:rPr>
            </w:pPr>
          </w:p>
        </w:tc>
        <w:tc>
          <w:tcPr>
            <w:tcW w:w="1571" w:type="dxa"/>
            <w:gridSpan w:val="2"/>
            <w:shd w:val="clear" w:color="000000" w:fill="FFFFFF"/>
            <w:noWrap/>
            <w:vAlign w:val="bottom"/>
            <w:hideMark/>
          </w:tcPr>
          <w:p w:rsidR="00274914" w:rsidRPr="002F17B5" w:rsidRDefault="00274914" w:rsidP="004A4CFF">
            <w:pPr>
              <w:spacing w:after="0"/>
              <w:ind w:left="45" w:right="34"/>
              <w:jc w:val="right"/>
              <w:rPr>
                <w:rFonts w:cs="Arial"/>
                <w:b/>
                <w:bCs/>
              </w:rPr>
            </w:pPr>
          </w:p>
        </w:tc>
        <w:tc>
          <w:tcPr>
            <w:tcW w:w="830" w:type="dxa"/>
            <w:shd w:val="clear" w:color="000000" w:fill="FFFFFF"/>
            <w:noWrap/>
            <w:vAlign w:val="bottom"/>
            <w:hideMark/>
          </w:tcPr>
          <w:p w:rsidR="00274914" w:rsidRPr="002F17B5" w:rsidRDefault="00274914" w:rsidP="004A4CFF">
            <w:pPr>
              <w:spacing w:after="0"/>
              <w:jc w:val="right"/>
              <w:rPr>
                <w:rFonts w:cs="Arial"/>
                <w:b/>
                <w:bCs/>
              </w:rPr>
            </w:pP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b/>
                <w:bCs/>
              </w:rPr>
            </w:pPr>
            <w:r w:rsidRPr="002F17B5">
              <w:rPr>
                <w:rFonts w:cs="Arial"/>
                <w:b/>
                <w:bCs/>
              </w:rPr>
              <w:t>Externally Managed Portfolios</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418"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3,266.9</w:t>
            </w:r>
          </w:p>
        </w:tc>
        <w:tc>
          <w:tcPr>
            <w:tcW w:w="830"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64%</w:t>
            </w:r>
          </w:p>
        </w:tc>
        <w:tc>
          <w:tcPr>
            <w:tcW w:w="283" w:type="dxa"/>
            <w:shd w:val="clear" w:color="000000" w:fill="FFFFFF"/>
            <w:noWrap/>
            <w:vAlign w:val="bottom"/>
            <w:hideMark/>
          </w:tcPr>
          <w:p w:rsidR="00274914" w:rsidRPr="002F17B5" w:rsidRDefault="00274914" w:rsidP="004A4CFF">
            <w:pPr>
              <w:spacing w:after="0"/>
              <w:rPr>
                <w:rFonts w:cs="Arial"/>
                <w:b/>
              </w:rPr>
            </w:pPr>
            <w:r w:rsidRPr="002F17B5">
              <w:rPr>
                <w:rFonts w:cs="Arial"/>
                <w:b/>
              </w:rPr>
              <w:t> </w:t>
            </w:r>
          </w:p>
        </w:tc>
        <w:tc>
          <w:tcPr>
            <w:tcW w:w="1571" w:type="dxa"/>
            <w:gridSpan w:val="2"/>
            <w:shd w:val="clear" w:color="000000" w:fill="FFFFFF"/>
            <w:noWrap/>
            <w:vAlign w:val="bottom"/>
            <w:hideMark/>
          </w:tcPr>
          <w:p w:rsidR="00274914" w:rsidRPr="002F17B5" w:rsidRDefault="00274914" w:rsidP="009205CF">
            <w:pPr>
              <w:spacing w:after="0"/>
              <w:ind w:left="45" w:right="34"/>
              <w:jc w:val="right"/>
              <w:rPr>
                <w:rFonts w:cs="Arial"/>
                <w:b/>
                <w:bCs/>
              </w:rPr>
            </w:pPr>
            <w:r w:rsidRPr="002F17B5">
              <w:rPr>
                <w:rFonts w:cs="Arial"/>
                <w:b/>
                <w:bCs/>
              </w:rPr>
              <w:t xml:space="preserve">   4,03</w:t>
            </w:r>
            <w:r w:rsidR="009205CF">
              <w:rPr>
                <w:rFonts w:cs="Arial"/>
                <w:b/>
                <w:bCs/>
              </w:rPr>
              <w:t>7</w:t>
            </w:r>
            <w:r w:rsidRPr="002F17B5">
              <w:rPr>
                <w:rFonts w:cs="Arial"/>
                <w:b/>
                <w:bCs/>
              </w:rPr>
              <w:t>.</w:t>
            </w:r>
            <w:r w:rsidR="009205CF">
              <w:rPr>
                <w:rFonts w:cs="Arial"/>
                <w:b/>
                <w:bCs/>
              </w:rPr>
              <w:t>1</w:t>
            </w:r>
            <w:r w:rsidRPr="002F17B5">
              <w:rPr>
                <w:rFonts w:cs="Arial"/>
                <w:b/>
                <w:bCs/>
              </w:rPr>
              <w:t xml:space="preserve"> </w:t>
            </w:r>
          </w:p>
        </w:tc>
        <w:tc>
          <w:tcPr>
            <w:tcW w:w="830"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81%</w:t>
            </w:r>
          </w:p>
        </w:tc>
      </w:tr>
      <w:tr w:rsidR="00274914" w:rsidRPr="002F17B5" w:rsidTr="00630928">
        <w:trPr>
          <w:trHeight w:val="87"/>
        </w:trPr>
        <w:tc>
          <w:tcPr>
            <w:tcW w:w="4967" w:type="dxa"/>
            <w:shd w:val="clear" w:color="000000" w:fill="FFFFFF"/>
            <w:noWrap/>
            <w:vAlign w:val="bottom"/>
            <w:hideMark/>
          </w:tcPr>
          <w:p w:rsidR="00274914" w:rsidRPr="002F17B5" w:rsidRDefault="00274914" w:rsidP="004A4CFF">
            <w:pPr>
              <w:spacing w:after="0"/>
              <w:rPr>
                <w:rFonts w:cs="Arial"/>
              </w:rPr>
            </w:pP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rPr>
                <w:rFonts w:cs="Arial"/>
              </w:rPr>
            </w:pPr>
          </w:p>
        </w:tc>
        <w:tc>
          <w:tcPr>
            <w:tcW w:w="830" w:type="dxa"/>
            <w:shd w:val="clear" w:color="000000" w:fill="FFFFFF"/>
            <w:noWrap/>
            <w:vAlign w:val="bottom"/>
            <w:hideMark/>
          </w:tcPr>
          <w:p w:rsidR="00274914" w:rsidRPr="002F17B5" w:rsidRDefault="00274914" w:rsidP="004A4CFF">
            <w:pPr>
              <w:spacing w:after="0"/>
              <w:rPr>
                <w:rFonts w:cs="Arial"/>
              </w:rPr>
            </w:pPr>
          </w:p>
        </w:tc>
        <w:tc>
          <w:tcPr>
            <w:tcW w:w="283" w:type="dxa"/>
            <w:shd w:val="clear" w:color="000000" w:fill="FFFFFF"/>
            <w:noWrap/>
            <w:vAlign w:val="bottom"/>
            <w:hideMark/>
          </w:tcPr>
          <w:p w:rsidR="00274914" w:rsidRPr="002F17B5" w:rsidRDefault="00274914" w:rsidP="004A4CFF">
            <w:pPr>
              <w:spacing w:after="0"/>
              <w:rPr>
                <w:rFonts w:cs="Arial"/>
              </w:rPr>
            </w:pPr>
          </w:p>
        </w:tc>
        <w:tc>
          <w:tcPr>
            <w:tcW w:w="1571" w:type="dxa"/>
            <w:gridSpan w:val="2"/>
            <w:shd w:val="clear" w:color="000000" w:fill="FFFFFF"/>
            <w:noWrap/>
            <w:vAlign w:val="bottom"/>
            <w:hideMark/>
          </w:tcPr>
          <w:p w:rsidR="00274914" w:rsidRPr="002F17B5" w:rsidRDefault="00274914" w:rsidP="004A4CFF">
            <w:pPr>
              <w:spacing w:after="0"/>
              <w:rPr>
                <w:rFonts w:cs="Arial"/>
              </w:rPr>
            </w:pPr>
          </w:p>
        </w:tc>
        <w:tc>
          <w:tcPr>
            <w:tcW w:w="830" w:type="dxa"/>
            <w:shd w:val="clear" w:color="000000" w:fill="FFFFFF"/>
            <w:noWrap/>
            <w:vAlign w:val="bottom"/>
            <w:hideMark/>
          </w:tcPr>
          <w:p w:rsidR="00274914" w:rsidRPr="002F17B5" w:rsidRDefault="00274914" w:rsidP="004A4CFF">
            <w:pPr>
              <w:spacing w:after="0"/>
              <w:rPr>
                <w:rFonts w:cs="Arial"/>
              </w:rPr>
            </w:pP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bCs/>
                <w:u w:val="single"/>
              </w:rPr>
            </w:pPr>
            <w:r w:rsidRPr="002F17B5">
              <w:rPr>
                <w:rFonts w:cs="Arial"/>
                <w:bCs/>
                <w:u w:val="single"/>
              </w:rPr>
              <w:lastRenderedPageBreak/>
              <w:t>Internally Managed</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418"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830"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283"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571" w:type="dxa"/>
            <w:gridSpan w:val="2"/>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830"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r>
      <w:tr w:rsidR="00274914" w:rsidRPr="002F17B5" w:rsidTr="00630928">
        <w:trPr>
          <w:trHeight w:val="300"/>
        </w:trPr>
        <w:tc>
          <w:tcPr>
            <w:tcW w:w="4967" w:type="dxa"/>
            <w:shd w:val="clear" w:color="000000" w:fill="FFFFFF"/>
            <w:noWrap/>
            <w:vAlign w:val="bottom"/>
            <w:hideMark/>
          </w:tcPr>
          <w:p w:rsidR="00274914" w:rsidRPr="002F17B5" w:rsidRDefault="00274914" w:rsidP="004A4CFF">
            <w:pPr>
              <w:spacing w:after="0"/>
              <w:rPr>
                <w:rFonts w:cs="Arial"/>
              </w:rPr>
            </w:pPr>
            <w:r w:rsidRPr="002F17B5">
              <w:rPr>
                <w:rFonts w:cs="Arial"/>
              </w:rPr>
              <w:t>Credit Strategies</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784.1</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15%</w:t>
            </w:r>
          </w:p>
        </w:tc>
        <w:tc>
          <w:tcPr>
            <w:tcW w:w="283"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 </w:t>
            </w:r>
          </w:p>
        </w:tc>
        <w:tc>
          <w:tcPr>
            <w:tcW w:w="1571" w:type="dxa"/>
            <w:gridSpan w:val="2"/>
            <w:shd w:val="clear" w:color="000000" w:fill="FFFFFF"/>
            <w:noWrap/>
            <w:vAlign w:val="bottom"/>
            <w:hideMark/>
          </w:tcPr>
          <w:p w:rsidR="00274914" w:rsidRPr="002F17B5" w:rsidRDefault="00274914" w:rsidP="004A4CFF">
            <w:pPr>
              <w:spacing w:after="0"/>
              <w:jc w:val="right"/>
              <w:rPr>
                <w:rFonts w:cs="Arial"/>
              </w:rPr>
            </w:pPr>
            <w:r w:rsidRPr="002F17B5">
              <w:rPr>
                <w:rFonts w:cs="Arial"/>
              </w:rPr>
              <w:t xml:space="preserve">       424.0 </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9%</w:t>
            </w:r>
          </w:p>
        </w:tc>
      </w:tr>
      <w:tr w:rsidR="00274914" w:rsidRPr="002F17B5" w:rsidTr="00630928">
        <w:trPr>
          <w:trHeight w:val="300"/>
        </w:trPr>
        <w:tc>
          <w:tcPr>
            <w:tcW w:w="4967" w:type="dxa"/>
            <w:shd w:val="clear" w:color="000000" w:fill="FFFFFF"/>
            <w:noWrap/>
            <w:vAlign w:val="bottom"/>
            <w:hideMark/>
          </w:tcPr>
          <w:p w:rsidR="00274914" w:rsidRPr="002F17B5" w:rsidRDefault="00274914" w:rsidP="004A4CFF">
            <w:pPr>
              <w:spacing w:after="0"/>
              <w:rPr>
                <w:rFonts w:cs="Arial"/>
              </w:rPr>
            </w:pPr>
            <w:r w:rsidRPr="002F17B5">
              <w:rPr>
                <w:rFonts w:cs="Arial"/>
              </w:rPr>
              <w:t>Bonds</w:t>
            </w:r>
            <w:r w:rsidR="00437D90">
              <w:rPr>
                <w:rFonts w:cs="Arial"/>
              </w:rPr>
              <w:t xml:space="preserve"> and Cash</w:t>
            </w:r>
          </w:p>
        </w:tc>
        <w:tc>
          <w:tcPr>
            <w:tcW w:w="992" w:type="dxa"/>
            <w:shd w:val="clear" w:color="000000" w:fill="FFFFFF"/>
            <w:noWrap/>
            <w:vAlign w:val="bottom"/>
            <w:hideMark/>
          </w:tcPr>
          <w:p w:rsidR="00274914" w:rsidRPr="002F17B5" w:rsidRDefault="00274914" w:rsidP="004A4CFF">
            <w:pPr>
              <w:spacing w:after="0"/>
              <w:ind w:left="-128"/>
              <w:rPr>
                <w:rFonts w:cs="Arial"/>
              </w:rPr>
            </w:pPr>
          </w:p>
        </w:tc>
        <w:tc>
          <w:tcPr>
            <w:tcW w:w="1418" w:type="dxa"/>
            <w:shd w:val="clear" w:color="000000" w:fill="FFFFFF"/>
            <w:noWrap/>
            <w:vAlign w:val="bottom"/>
            <w:hideMark/>
          </w:tcPr>
          <w:p w:rsidR="00274914" w:rsidRPr="002F17B5" w:rsidRDefault="00437D90" w:rsidP="004A4CFF">
            <w:pPr>
              <w:spacing w:after="0"/>
              <w:jc w:val="right"/>
              <w:rPr>
                <w:rFonts w:cs="Arial"/>
              </w:rPr>
            </w:pPr>
            <w:r>
              <w:rPr>
                <w:rFonts w:cs="Arial"/>
              </w:rPr>
              <w:t>715.7</w:t>
            </w:r>
          </w:p>
        </w:tc>
        <w:tc>
          <w:tcPr>
            <w:tcW w:w="830" w:type="dxa"/>
            <w:shd w:val="clear" w:color="000000" w:fill="FFFFFF"/>
            <w:noWrap/>
            <w:vAlign w:val="bottom"/>
            <w:hideMark/>
          </w:tcPr>
          <w:p w:rsidR="00274914" w:rsidRPr="002F17B5" w:rsidRDefault="00274914" w:rsidP="00437D90">
            <w:pPr>
              <w:spacing w:after="0"/>
              <w:jc w:val="right"/>
              <w:rPr>
                <w:rFonts w:cs="Arial"/>
              </w:rPr>
            </w:pPr>
            <w:r w:rsidRPr="002F17B5">
              <w:rPr>
                <w:rFonts w:cs="Arial"/>
              </w:rPr>
              <w:t>1</w:t>
            </w:r>
            <w:r w:rsidR="00437D90">
              <w:rPr>
                <w:rFonts w:cs="Arial"/>
              </w:rPr>
              <w:t>4</w:t>
            </w:r>
            <w:r w:rsidRPr="002F17B5">
              <w:rPr>
                <w:rFonts w:cs="Arial"/>
              </w:rPr>
              <w:t>%</w:t>
            </w:r>
          </w:p>
        </w:tc>
        <w:tc>
          <w:tcPr>
            <w:tcW w:w="283" w:type="dxa"/>
            <w:shd w:val="clear" w:color="000000" w:fill="FFFFFF"/>
            <w:noWrap/>
            <w:vAlign w:val="bottom"/>
            <w:hideMark/>
          </w:tcPr>
          <w:p w:rsidR="00274914" w:rsidRPr="002F17B5" w:rsidRDefault="00274914" w:rsidP="004A4CFF">
            <w:pPr>
              <w:spacing w:after="0"/>
              <w:jc w:val="right"/>
              <w:rPr>
                <w:rFonts w:cs="Arial"/>
              </w:rPr>
            </w:pPr>
          </w:p>
        </w:tc>
        <w:tc>
          <w:tcPr>
            <w:tcW w:w="1571" w:type="dxa"/>
            <w:gridSpan w:val="2"/>
            <w:shd w:val="clear" w:color="000000" w:fill="FFFFFF"/>
            <w:noWrap/>
            <w:vAlign w:val="bottom"/>
            <w:hideMark/>
          </w:tcPr>
          <w:p w:rsidR="00274914" w:rsidRPr="002F17B5" w:rsidRDefault="00437D90" w:rsidP="004A4CFF">
            <w:pPr>
              <w:spacing w:after="0"/>
              <w:jc w:val="right"/>
              <w:rPr>
                <w:rFonts w:cs="Arial"/>
              </w:rPr>
            </w:pPr>
            <w:r>
              <w:rPr>
                <w:rFonts w:cs="Arial"/>
              </w:rPr>
              <w:t>224.4</w:t>
            </w:r>
          </w:p>
        </w:tc>
        <w:tc>
          <w:tcPr>
            <w:tcW w:w="830" w:type="dxa"/>
            <w:shd w:val="clear" w:color="000000" w:fill="FFFFFF"/>
            <w:noWrap/>
            <w:vAlign w:val="bottom"/>
            <w:hideMark/>
          </w:tcPr>
          <w:p w:rsidR="00274914" w:rsidRPr="002F17B5" w:rsidRDefault="00437D90" w:rsidP="004A4CFF">
            <w:pPr>
              <w:spacing w:after="0"/>
              <w:jc w:val="right"/>
              <w:rPr>
                <w:rFonts w:cs="Arial"/>
              </w:rPr>
            </w:pPr>
            <w:r>
              <w:rPr>
                <w:rFonts w:cs="Arial"/>
              </w:rPr>
              <w:t>5</w:t>
            </w:r>
            <w:r w:rsidR="00274914" w:rsidRPr="002F17B5">
              <w:rPr>
                <w:rFonts w:cs="Arial"/>
              </w:rPr>
              <w:t>%</w:t>
            </w:r>
          </w:p>
        </w:tc>
      </w:tr>
      <w:tr w:rsidR="00274914" w:rsidRPr="002F17B5" w:rsidTr="00630928">
        <w:trPr>
          <w:trHeight w:val="300"/>
        </w:trPr>
        <w:tc>
          <w:tcPr>
            <w:tcW w:w="4967" w:type="dxa"/>
            <w:shd w:val="clear" w:color="000000" w:fill="FFFFFF"/>
            <w:noWrap/>
            <w:vAlign w:val="bottom"/>
            <w:hideMark/>
          </w:tcPr>
          <w:p w:rsidR="00274914" w:rsidRPr="002F17B5" w:rsidRDefault="00437D90" w:rsidP="004A4CFF">
            <w:pPr>
              <w:spacing w:after="0"/>
              <w:rPr>
                <w:rFonts w:cs="Arial"/>
              </w:rPr>
            </w:pPr>
            <w:r>
              <w:rPr>
                <w:rFonts w:cs="Arial"/>
              </w:rPr>
              <w:t>Equity Funds</w:t>
            </w:r>
          </w:p>
        </w:tc>
        <w:tc>
          <w:tcPr>
            <w:tcW w:w="992" w:type="dxa"/>
            <w:shd w:val="clear" w:color="000000" w:fill="FFFFFF"/>
            <w:noWrap/>
            <w:vAlign w:val="bottom"/>
            <w:hideMark/>
          </w:tcPr>
          <w:p w:rsidR="00274914" w:rsidRPr="002F17B5" w:rsidRDefault="00274914" w:rsidP="004A4CFF">
            <w:pPr>
              <w:spacing w:after="0"/>
              <w:ind w:right="-250"/>
              <w:rPr>
                <w:rFonts w:cs="Arial"/>
              </w:rPr>
            </w:pPr>
          </w:p>
        </w:tc>
        <w:tc>
          <w:tcPr>
            <w:tcW w:w="1418" w:type="dxa"/>
            <w:shd w:val="clear" w:color="000000" w:fill="FFFFFF"/>
            <w:noWrap/>
            <w:vAlign w:val="bottom"/>
            <w:hideMark/>
          </w:tcPr>
          <w:p w:rsidR="00274914" w:rsidRPr="002F17B5" w:rsidRDefault="00437D90" w:rsidP="004A4CFF">
            <w:pPr>
              <w:spacing w:after="0"/>
              <w:jc w:val="right"/>
              <w:rPr>
                <w:rFonts w:cs="Arial"/>
              </w:rPr>
            </w:pPr>
            <w:r>
              <w:rPr>
                <w:rFonts w:cs="Arial"/>
              </w:rPr>
              <w:t>206.6</w:t>
            </w:r>
          </w:p>
        </w:tc>
        <w:tc>
          <w:tcPr>
            <w:tcW w:w="830" w:type="dxa"/>
            <w:shd w:val="clear" w:color="000000" w:fill="FFFFFF"/>
            <w:noWrap/>
            <w:vAlign w:val="bottom"/>
            <w:hideMark/>
          </w:tcPr>
          <w:p w:rsidR="00274914" w:rsidRPr="002F17B5" w:rsidRDefault="00437D90" w:rsidP="004A4CFF">
            <w:pPr>
              <w:spacing w:after="0"/>
              <w:jc w:val="right"/>
              <w:rPr>
                <w:rFonts w:cs="Arial"/>
              </w:rPr>
            </w:pPr>
            <w:r>
              <w:rPr>
                <w:rFonts w:cs="Arial"/>
              </w:rPr>
              <w:t>4</w:t>
            </w:r>
            <w:r w:rsidR="00274914" w:rsidRPr="002F17B5">
              <w:rPr>
                <w:rFonts w:cs="Arial"/>
              </w:rPr>
              <w:t>%</w:t>
            </w:r>
          </w:p>
        </w:tc>
        <w:tc>
          <w:tcPr>
            <w:tcW w:w="283" w:type="dxa"/>
            <w:shd w:val="clear" w:color="000000" w:fill="FFFFFF"/>
            <w:noWrap/>
            <w:vAlign w:val="bottom"/>
            <w:hideMark/>
          </w:tcPr>
          <w:p w:rsidR="00274914" w:rsidRPr="002F17B5" w:rsidRDefault="00274914" w:rsidP="004A4CFF">
            <w:pPr>
              <w:spacing w:after="0"/>
              <w:jc w:val="right"/>
              <w:rPr>
                <w:rFonts w:cs="Arial"/>
              </w:rPr>
            </w:pPr>
          </w:p>
        </w:tc>
        <w:tc>
          <w:tcPr>
            <w:tcW w:w="1571" w:type="dxa"/>
            <w:gridSpan w:val="2"/>
            <w:shd w:val="clear" w:color="000000" w:fill="FFFFFF"/>
            <w:noWrap/>
            <w:vAlign w:val="bottom"/>
            <w:hideMark/>
          </w:tcPr>
          <w:p w:rsidR="00274914" w:rsidRPr="002F17B5" w:rsidRDefault="00437D90" w:rsidP="004A4CFF">
            <w:pPr>
              <w:spacing w:after="0"/>
              <w:jc w:val="right"/>
              <w:rPr>
                <w:rFonts w:cs="Arial"/>
              </w:rPr>
            </w:pPr>
            <w:r>
              <w:rPr>
                <w:rFonts w:cs="Arial"/>
              </w:rPr>
              <w:t>0.0</w:t>
            </w:r>
          </w:p>
        </w:tc>
        <w:tc>
          <w:tcPr>
            <w:tcW w:w="830" w:type="dxa"/>
            <w:shd w:val="clear" w:color="000000" w:fill="FFFFFF"/>
            <w:noWrap/>
            <w:vAlign w:val="bottom"/>
            <w:hideMark/>
          </w:tcPr>
          <w:p w:rsidR="00274914" w:rsidRPr="002F17B5" w:rsidRDefault="00437D90" w:rsidP="004A4CFF">
            <w:pPr>
              <w:spacing w:after="0"/>
              <w:jc w:val="right"/>
              <w:rPr>
                <w:rFonts w:cs="Arial"/>
              </w:rPr>
            </w:pPr>
            <w:r>
              <w:rPr>
                <w:rFonts w:cs="Arial"/>
              </w:rPr>
              <w:t>0</w:t>
            </w:r>
            <w:r w:rsidR="00274914" w:rsidRPr="002F17B5">
              <w:rPr>
                <w:rFonts w:cs="Arial"/>
              </w:rPr>
              <w:t>%</w:t>
            </w:r>
          </w:p>
        </w:tc>
      </w:tr>
      <w:tr w:rsidR="00274914" w:rsidRPr="002F17B5" w:rsidTr="00630928">
        <w:trPr>
          <w:trHeight w:val="300"/>
        </w:trPr>
        <w:tc>
          <w:tcPr>
            <w:tcW w:w="4967" w:type="dxa"/>
            <w:shd w:val="clear" w:color="000000" w:fill="FFFFFF"/>
            <w:noWrap/>
            <w:vAlign w:val="bottom"/>
            <w:hideMark/>
          </w:tcPr>
          <w:p w:rsidR="00274914" w:rsidRPr="002F17B5" w:rsidRDefault="00274914" w:rsidP="004A4CFF">
            <w:pPr>
              <w:spacing w:after="0"/>
              <w:rPr>
                <w:rFonts w:cs="Arial"/>
              </w:rPr>
            </w:pPr>
            <w:r w:rsidRPr="002F17B5">
              <w:rPr>
                <w:rFonts w:cs="Arial"/>
              </w:rPr>
              <w:t>Infrastructure Funds</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172.8</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3%</w:t>
            </w:r>
          </w:p>
        </w:tc>
        <w:tc>
          <w:tcPr>
            <w:tcW w:w="283" w:type="dxa"/>
            <w:shd w:val="clear" w:color="000000" w:fill="FFFFFF"/>
            <w:noWrap/>
            <w:vAlign w:val="bottom"/>
            <w:hideMark/>
          </w:tcPr>
          <w:p w:rsidR="00274914" w:rsidRPr="002F17B5" w:rsidRDefault="00274914" w:rsidP="004A4CFF">
            <w:pPr>
              <w:spacing w:after="0"/>
              <w:jc w:val="right"/>
              <w:rPr>
                <w:rFonts w:cs="Arial"/>
              </w:rPr>
            </w:pPr>
          </w:p>
        </w:tc>
        <w:tc>
          <w:tcPr>
            <w:tcW w:w="1571" w:type="dxa"/>
            <w:gridSpan w:val="2"/>
            <w:shd w:val="clear" w:color="000000" w:fill="FFFFFF"/>
            <w:noWrap/>
            <w:vAlign w:val="bottom"/>
            <w:hideMark/>
          </w:tcPr>
          <w:p w:rsidR="00274914" w:rsidRPr="002F17B5" w:rsidRDefault="00274914" w:rsidP="004A4CFF">
            <w:pPr>
              <w:spacing w:after="0"/>
              <w:jc w:val="right"/>
              <w:rPr>
                <w:rFonts w:cs="Arial"/>
              </w:rPr>
            </w:pPr>
            <w:r w:rsidRPr="002F17B5">
              <w:rPr>
                <w:rFonts w:cs="Arial"/>
              </w:rPr>
              <w:t>76.9</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1%</w:t>
            </w:r>
          </w:p>
        </w:tc>
      </w:tr>
      <w:tr w:rsidR="00274914" w:rsidRPr="002F17B5" w:rsidTr="00630928">
        <w:trPr>
          <w:trHeight w:val="300"/>
        </w:trPr>
        <w:tc>
          <w:tcPr>
            <w:tcW w:w="4967" w:type="dxa"/>
            <w:shd w:val="clear" w:color="000000" w:fill="FFFFFF"/>
            <w:noWrap/>
            <w:vAlign w:val="bottom"/>
            <w:hideMark/>
          </w:tcPr>
          <w:p w:rsidR="00274914" w:rsidRPr="002F17B5" w:rsidRDefault="00274914" w:rsidP="004A4CFF">
            <w:pPr>
              <w:spacing w:after="0"/>
              <w:rPr>
                <w:rFonts w:cs="Arial"/>
              </w:rPr>
            </w:pPr>
            <w:r w:rsidRPr="002F17B5">
              <w:rPr>
                <w:rFonts w:cs="Arial"/>
              </w:rPr>
              <w:t>Indirect Property Funds</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25.4</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0%</w:t>
            </w:r>
          </w:p>
        </w:tc>
        <w:tc>
          <w:tcPr>
            <w:tcW w:w="283" w:type="dxa"/>
            <w:shd w:val="clear" w:color="000000" w:fill="FFFFFF"/>
            <w:noWrap/>
            <w:vAlign w:val="bottom"/>
            <w:hideMark/>
          </w:tcPr>
          <w:p w:rsidR="00274914" w:rsidRPr="002F17B5" w:rsidRDefault="00274914" w:rsidP="004A4CFF">
            <w:pPr>
              <w:spacing w:after="0"/>
              <w:jc w:val="right"/>
              <w:rPr>
                <w:rFonts w:cs="Arial"/>
              </w:rPr>
            </w:pPr>
          </w:p>
        </w:tc>
        <w:tc>
          <w:tcPr>
            <w:tcW w:w="1571" w:type="dxa"/>
            <w:gridSpan w:val="2"/>
            <w:shd w:val="clear" w:color="000000" w:fill="FFFFFF"/>
            <w:noWrap/>
            <w:vAlign w:val="bottom"/>
            <w:hideMark/>
          </w:tcPr>
          <w:p w:rsidR="00274914" w:rsidRPr="002F17B5" w:rsidRDefault="00274914" w:rsidP="004A4CFF">
            <w:pPr>
              <w:spacing w:after="0"/>
              <w:jc w:val="right"/>
              <w:rPr>
                <w:rFonts w:cs="Arial"/>
              </w:rPr>
            </w:pPr>
            <w:r w:rsidRPr="002F17B5">
              <w:rPr>
                <w:rFonts w:cs="Arial"/>
              </w:rPr>
              <w:t>7.5</w:t>
            </w:r>
          </w:p>
        </w:tc>
        <w:tc>
          <w:tcPr>
            <w:tcW w:w="830" w:type="dxa"/>
            <w:shd w:val="clear" w:color="000000" w:fill="FFFFFF"/>
            <w:noWrap/>
            <w:vAlign w:val="bottom"/>
            <w:hideMark/>
          </w:tcPr>
          <w:p w:rsidR="00274914" w:rsidRPr="002F17B5" w:rsidRDefault="00274914" w:rsidP="004A4CFF">
            <w:pPr>
              <w:spacing w:after="0"/>
              <w:jc w:val="right"/>
              <w:rPr>
                <w:rFonts w:cs="Arial"/>
              </w:rPr>
            </w:pPr>
            <w:r w:rsidRPr="002F17B5">
              <w:rPr>
                <w:rFonts w:cs="Arial"/>
              </w:rPr>
              <w:t>0%</w:t>
            </w: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bCs/>
              </w:rPr>
            </w:pPr>
            <w:r w:rsidRPr="002F17B5">
              <w:rPr>
                <w:rFonts w:cs="Arial"/>
                <w:bCs/>
              </w:rPr>
              <w:t>Emerging Markets ETF</w:t>
            </w:r>
          </w:p>
        </w:tc>
        <w:tc>
          <w:tcPr>
            <w:tcW w:w="992" w:type="dxa"/>
            <w:shd w:val="clear" w:color="000000" w:fill="FFFFFF"/>
            <w:noWrap/>
            <w:vAlign w:val="bottom"/>
            <w:hideMark/>
          </w:tcPr>
          <w:p w:rsidR="00274914" w:rsidRPr="002F17B5" w:rsidRDefault="00274914" w:rsidP="004A4CFF">
            <w:pPr>
              <w:spacing w:after="0"/>
              <w:rPr>
                <w:rFonts w:cs="Arial"/>
              </w:rPr>
            </w:pPr>
          </w:p>
        </w:tc>
        <w:tc>
          <w:tcPr>
            <w:tcW w:w="1418"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0.0</w:t>
            </w:r>
          </w:p>
        </w:tc>
        <w:tc>
          <w:tcPr>
            <w:tcW w:w="830"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0%</w:t>
            </w:r>
          </w:p>
        </w:tc>
        <w:tc>
          <w:tcPr>
            <w:tcW w:w="283" w:type="dxa"/>
            <w:shd w:val="clear" w:color="000000" w:fill="FFFFFF"/>
            <w:noWrap/>
            <w:vAlign w:val="bottom"/>
            <w:hideMark/>
          </w:tcPr>
          <w:p w:rsidR="00274914" w:rsidRPr="002F17B5" w:rsidRDefault="00274914" w:rsidP="004A4CFF">
            <w:pPr>
              <w:spacing w:after="0"/>
              <w:jc w:val="right"/>
              <w:rPr>
                <w:rFonts w:cs="Arial"/>
              </w:rPr>
            </w:pPr>
          </w:p>
        </w:tc>
        <w:tc>
          <w:tcPr>
            <w:tcW w:w="1571" w:type="dxa"/>
            <w:gridSpan w:val="2"/>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219.1</w:t>
            </w:r>
          </w:p>
        </w:tc>
        <w:tc>
          <w:tcPr>
            <w:tcW w:w="830" w:type="dxa"/>
            <w:shd w:val="clear" w:color="000000" w:fill="FFFFFF"/>
            <w:noWrap/>
            <w:vAlign w:val="bottom"/>
            <w:hideMark/>
          </w:tcPr>
          <w:p w:rsidR="00274914" w:rsidRPr="002F17B5" w:rsidRDefault="00274914" w:rsidP="004A4CFF">
            <w:pPr>
              <w:spacing w:after="0"/>
              <w:jc w:val="right"/>
              <w:rPr>
                <w:rFonts w:cs="Arial"/>
                <w:bCs/>
              </w:rPr>
            </w:pPr>
            <w:r w:rsidRPr="002F17B5">
              <w:rPr>
                <w:rFonts w:cs="Arial"/>
                <w:bCs/>
              </w:rPr>
              <w:t>4%</w:t>
            </w: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b/>
                <w:bCs/>
              </w:rPr>
            </w:pPr>
            <w:r w:rsidRPr="002F17B5">
              <w:rPr>
                <w:rFonts w:cs="Arial"/>
                <w:b/>
                <w:bCs/>
              </w:rPr>
              <w:t>Internally Managed Portfolios</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418"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1,904.6</w:t>
            </w:r>
          </w:p>
        </w:tc>
        <w:tc>
          <w:tcPr>
            <w:tcW w:w="830"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36%</w:t>
            </w:r>
          </w:p>
        </w:tc>
        <w:tc>
          <w:tcPr>
            <w:tcW w:w="283"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571" w:type="dxa"/>
            <w:gridSpan w:val="2"/>
            <w:shd w:val="clear" w:color="000000" w:fill="FFFFFF"/>
            <w:noWrap/>
            <w:vAlign w:val="bottom"/>
            <w:hideMark/>
          </w:tcPr>
          <w:p w:rsidR="00274914" w:rsidRPr="002F17B5" w:rsidRDefault="00274914" w:rsidP="009205CF">
            <w:pPr>
              <w:spacing w:after="0"/>
              <w:jc w:val="right"/>
              <w:rPr>
                <w:rFonts w:cs="Arial"/>
                <w:b/>
                <w:bCs/>
              </w:rPr>
            </w:pPr>
            <w:r w:rsidRPr="002F17B5">
              <w:rPr>
                <w:rFonts w:cs="Arial"/>
                <w:b/>
                <w:bCs/>
              </w:rPr>
              <w:t xml:space="preserve">       95</w:t>
            </w:r>
            <w:r w:rsidR="009205CF">
              <w:rPr>
                <w:rFonts w:cs="Arial"/>
                <w:b/>
                <w:bCs/>
              </w:rPr>
              <w:t>1</w:t>
            </w:r>
            <w:r w:rsidRPr="002F17B5">
              <w:rPr>
                <w:rFonts w:cs="Arial"/>
                <w:b/>
                <w:bCs/>
              </w:rPr>
              <w:t>.</w:t>
            </w:r>
            <w:r w:rsidR="009205CF">
              <w:rPr>
                <w:rFonts w:cs="Arial"/>
                <w:b/>
                <w:bCs/>
              </w:rPr>
              <w:t>9</w:t>
            </w:r>
            <w:r w:rsidRPr="002F17B5">
              <w:rPr>
                <w:rFonts w:cs="Arial"/>
                <w:b/>
                <w:bCs/>
              </w:rPr>
              <w:t xml:space="preserve"> </w:t>
            </w:r>
          </w:p>
        </w:tc>
        <w:tc>
          <w:tcPr>
            <w:tcW w:w="830"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19%</w:t>
            </w:r>
          </w:p>
        </w:tc>
      </w:tr>
      <w:tr w:rsidR="00274914" w:rsidRPr="002F17B5" w:rsidTr="00630928">
        <w:trPr>
          <w:trHeight w:val="75"/>
        </w:trPr>
        <w:tc>
          <w:tcPr>
            <w:tcW w:w="4967"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418" w:type="dxa"/>
            <w:shd w:val="clear" w:color="000000" w:fill="FFFFFF"/>
            <w:noWrap/>
            <w:vAlign w:val="bottom"/>
            <w:hideMark/>
          </w:tcPr>
          <w:p w:rsidR="00274914" w:rsidRPr="002F17B5" w:rsidRDefault="00274914" w:rsidP="004A4CFF">
            <w:pPr>
              <w:spacing w:after="0"/>
              <w:jc w:val="right"/>
              <w:rPr>
                <w:rFonts w:cs="Arial"/>
                <w:b/>
              </w:rPr>
            </w:pPr>
            <w:r w:rsidRPr="002F17B5">
              <w:rPr>
                <w:rFonts w:cs="Arial"/>
                <w:b/>
              </w:rPr>
              <w:t> </w:t>
            </w:r>
          </w:p>
        </w:tc>
        <w:tc>
          <w:tcPr>
            <w:tcW w:w="830" w:type="dxa"/>
            <w:shd w:val="clear" w:color="000000" w:fill="FFFFFF"/>
            <w:noWrap/>
            <w:vAlign w:val="bottom"/>
            <w:hideMark/>
          </w:tcPr>
          <w:p w:rsidR="00274914" w:rsidRPr="002F17B5" w:rsidRDefault="00274914" w:rsidP="004A4CFF">
            <w:pPr>
              <w:spacing w:after="0"/>
              <w:jc w:val="right"/>
              <w:rPr>
                <w:rFonts w:cs="Arial"/>
                <w:b/>
              </w:rPr>
            </w:pPr>
            <w:r w:rsidRPr="002F17B5">
              <w:rPr>
                <w:rFonts w:cs="Arial"/>
                <w:b/>
              </w:rPr>
              <w:t> </w:t>
            </w:r>
          </w:p>
        </w:tc>
        <w:tc>
          <w:tcPr>
            <w:tcW w:w="283"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571" w:type="dxa"/>
            <w:gridSpan w:val="2"/>
            <w:shd w:val="clear" w:color="000000" w:fill="FFFFFF"/>
            <w:noWrap/>
            <w:vAlign w:val="bottom"/>
            <w:hideMark/>
          </w:tcPr>
          <w:p w:rsidR="00274914" w:rsidRPr="002F17B5" w:rsidRDefault="00274914" w:rsidP="004A4CFF">
            <w:pPr>
              <w:spacing w:after="0"/>
              <w:rPr>
                <w:rFonts w:cs="Arial"/>
                <w:b/>
              </w:rPr>
            </w:pPr>
            <w:r w:rsidRPr="002F17B5">
              <w:rPr>
                <w:rFonts w:cs="Arial"/>
                <w:b/>
              </w:rPr>
              <w:t> </w:t>
            </w:r>
          </w:p>
        </w:tc>
        <w:tc>
          <w:tcPr>
            <w:tcW w:w="830" w:type="dxa"/>
            <w:shd w:val="clear" w:color="000000" w:fill="FFFFFF"/>
            <w:noWrap/>
            <w:vAlign w:val="bottom"/>
            <w:hideMark/>
          </w:tcPr>
          <w:p w:rsidR="00274914" w:rsidRPr="002F17B5" w:rsidRDefault="00274914" w:rsidP="004A4CFF">
            <w:pPr>
              <w:spacing w:after="0"/>
              <w:rPr>
                <w:rFonts w:cs="Arial"/>
                <w:b/>
              </w:rPr>
            </w:pPr>
            <w:r w:rsidRPr="002F17B5">
              <w:rPr>
                <w:rFonts w:cs="Arial"/>
                <w:b/>
              </w:rPr>
              <w:t> </w:t>
            </w:r>
          </w:p>
        </w:tc>
      </w:tr>
      <w:tr w:rsidR="00274914" w:rsidRPr="002F17B5" w:rsidTr="00630928">
        <w:trPr>
          <w:trHeight w:val="315"/>
        </w:trPr>
        <w:tc>
          <w:tcPr>
            <w:tcW w:w="4967" w:type="dxa"/>
            <w:shd w:val="clear" w:color="000000" w:fill="FFFFFF"/>
            <w:noWrap/>
            <w:vAlign w:val="bottom"/>
            <w:hideMark/>
          </w:tcPr>
          <w:p w:rsidR="00274914" w:rsidRPr="002F17B5" w:rsidRDefault="00274914" w:rsidP="004A4CFF">
            <w:pPr>
              <w:spacing w:after="0"/>
              <w:rPr>
                <w:rFonts w:cs="Arial"/>
                <w:b/>
                <w:bCs/>
              </w:rPr>
            </w:pPr>
            <w:r w:rsidRPr="002F17B5">
              <w:rPr>
                <w:rFonts w:cs="Arial"/>
                <w:b/>
                <w:bCs/>
              </w:rPr>
              <w:t>Total Portfolio Values</w:t>
            </w:r>
          </w:p>
        </w:tc>
        <w:tc>
          <w:tcPr>
            <w:tcW w:w="992"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418"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5,171.5</w:t>
            </w:r>
          </w:p>
        </w:tc>
        <w:tc>
          <w:tcPr>
            <w:tcW w:w="830"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100%</w:t>
            </w:r>
          </w:p>
        </w:tc>
        <w:tc>
          <w:tcPr>
            <w:tcW w:w="283" w:type="dxa"/>
            <w:shd w:val="clear" w:color="000000" w:fill="FFFFFF"/>
            <w:noWrap/>
            <w:vAlign w:val="bottom"/>
            <w:hideMark/>
          </w:tcPr>
          <w:p w:rsidR="00274914" w:rsidRPr="002F17B5" w:rsidRDefault="00274914" w:rsidP="004A4CFF">
            <w:pPr>
              <w:spacing w:after="0"/>
              <w:rPr>
                <w:rFonts w:cs="Arial"/>
              </w:rPr>
            </w:pPr>
            <w:r w:rsidRPr="002F17B5">
              <w:rPr>
                <w:rFonts w:cs="Arial"/>
              </w:rPr>
              <w:t> </w:t>
            </w:r>
          </w:p>
        </w:tc>
        <w:tc>
          <w:tcPr>
            <w:tcW w:w="1571" w:type="dxa"/>
            <w:gridSpan w:val="2"/>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 xml:space="preserve">   4,989.0 </w:t>
            </w:r>
          </w:p>
        </w:tc>
        <w:tc>
          <w:tcPr>
            <w:tcW w:w="830" w:type="dxa"/>
            <w:shd w:val="clear" w:color="000000" w:fill="FFFFFF"/>
            <w:noWrap/>
            <w:vAlign w:val="bottom"/>
            <w:hideMark/>
          </w:tcPr>
          <w:p w:rsidR="00274914" w:rsidRPr="002F17B5" w:rsidRDefault="00274914" w:rsidP="004A4CFF">
            <w:pPr>
              <w:spacing w:after="0"/>
              <w:jc w:val="right"/>
              <w:rPr>
                <w:rFonts w:cs="Arial"/>
                <w:b/>
                <w:bCs/>
              </w:rPr>
            </w:pPr>
            <w:r w:rsidRPr="002F17B5">
              <w:rPr>
                <w:rFonts w:cs="Arial"/>
                <w:b/>
                <w:bCs/>
              </w:rPr>
              <w:t>100%</w:t>
            </w:r>
          </w:p>
        </w:tc>
      </w:tr>
      <w:tr w:rsidR="00274914" w:rsidRPr="002F17B5" w:rsidTr="00630928">
        <w:trPr>
          <w:trHeight w:val="255"/>
        </w:trPr>
        <w:tc>
          <w:tcPr>
            <w:tcW w:w="4967" w:type="dxa"/>
            <w:shd w:val="clear" w:color="000000" w:fill="FFFFFF"/>
            <w:noWrap/>
            <w:vAlign w:val="bottom"/>
            <w:hideMark/>
          </w:tcPr>
          <w:p w:rsidR="00274914" w:rsidRPr="002F17B5" w:rsidRDefault="00274914" w:rsidP="00274914">
            <w:pPr>
              <w:rPr>
                <w:rFonts w:cs="Arial"/>
                <w:sz w:val="20"/>
              </w:rPr>
            </w:pPr>
            <w:r w:rsidRPr="002F17B5">
              <w:rPr>
                <w:rFonts w:cs="Arial"/>
                <w:sz w:val="20"/>
              </w:rPr>
              <w:t> </w:t>
            </w:r>
          </w:p>
        </w:tc>
        <w:tc>
          <w:tcPr>
            <w:tcW w:w="992" w:type="dxa"/>
            <w:shd w:val="clear" w:color="000000" w:fill="FFFFFF"/>
            <w:noWrap/>
            <w:vAlign w:val="bottom"/>
            <w:hideMark/>
          </w:tcPr>
          <w:p w:rsidR="00274914" w:rsidRDefault="00274914" w:rsidP="00274914">
            <w:pPr>
              <w:rPr>
                <w:rFonts w:cs="Arial"/>
                <w:sz w:val="20"/>
              </w:rPr>
            </w:pPr>
          </w:p>
          <w:p w:rsidR="00AC0229" w:rsidRPr="002F17B5" w:rsidRDefault="00AC0229" w:rsidP="00274914">
            <w:pPr>
              <w:rPr>
                <w:rFonts w:cs="Arial"/>
                <w:sz w:val="20"/>
              </w:rPr>
            </w:pPr>
          </w:p>
        </w:tc>
        <w:tc>
          <w:tcPr>
            <w:tcW w:w="1418" w:type="dxa"/>
            <w:shd w:val="clear" w:color="000000" w:fill="FFFFFF"/>
            <w:noWrap/>
            <w:vAlign w:val="bottom"/>
            <w:hideMark/>
          </w:tcPr>
          <w:p w:rsidR="00274914" w:rsidRPr="002F17B5" w:rsidRDefault="00274914" w:rsidP="00274914">
            <w:pPr>
              <w:rPr>
                <w:rFonts w:cs="Arial"/>
                <w:sz w:val="20"/>
              </w:rPr>
            </w:pPr>
            <w:r w:rsidRPr="002F17B5">
              <w:rPr>
                <w:rFonts w:cs="Arial"/>
                <w:sz w:val="20"/>
              </w:rPr>
              <w:t> </w:t>
            </w:r>
          </w:p>
        </w:tc>
        <w:tc>
          <w:tcPr>
            <w:tcW w:w="830" w:type="dxa"/>
            <w:shd w:val="clear" w:color="000000" w:fill="FFFFFF"/>
            <w:noWrap/>
            <w:vAlign w:val="bottom"/>
            <w:hideMark/>
          </w:tcPr>
          <w:p w:rsidR="00274914" w:rsidRPr="002F17B5" w:rsidRDefault="00274914" w:rsidP="00274914">
            <w:pPr>
              <w:rPr>
                <w:rFonts w:cs="Arial"/>
                <w:sz w:val="20"/>
              </w:rPr>
            </w:pPr>
            <w:r w:rsidRPr="002F17B5">
              <w:rPr>
                <w:rFonts w:cs="Arial"/>
                <w:sz w:val="20"/>
              </w:rPr>
              <w:t> </w:t>
            </w:r>
          </w:p>
        </w:tc>
        <w:tc>
          <w:tcPr>
            <w:tcW w:w="283" w:type="dxa"/>
            <w:shd w:val="clear" w:color="000000" w:fill="FFFFFF"/>
            <w:noWrap/>
            <w:vAlign w:val="bottom"/>
            <w:hideMark/>
          </w:tcPr>
          <w:p w:rsidR="00274914" w:rsidRPr="002F17B5" w:rsidRDefault="00274914" w:rsidP="00274914">
            <w:pPr>
              <w:rPr>
                <w:rFonts w:cs="Arial"/>
                <w:sz w:val="20"/>
              </w:rPr>
            </w:pPr>
            <w:r w:rsidRPr="002F17B5">
              <w:rPr>
                <w:rFonts w:cs="Arial"/>
                <w:sz w:val="20"/>
              </w:rPr>
              <w:t> </w:t>
            </w:r>
          </w:p>
        </w:tc>
        <w:tc>
          <w:tcPr>
            <w:tcW w:w="1571" w:type="dxa"/>
            <w:gridSpan w:val="2"/>
            <w:shd w:val="clear" w:color="000000" w:fill="FFFFFF"/>
            <w:noWrap/>
            <w:vAlign w:val="bottom"/>
            <w:hideMark/>
          </w:tcPr>
          <w:p w:rsidR="00274914" w:rsidRPr="002F17B5" w:rsidRDefault="00274914" w:rsidP="00274914">
            <w:pPr>
              <w:rPr>
                <w:rFonts w:cs="Arial"/>
                <w:sz w:val="20"/>
              </w:rPr>
            </w:pPr>
            <w:r w:rsidRPr="002F17B5">
              <w:rPr>
                <w:rFonts w:cs="Arial"/>
                <w:sz w:val="20"/>
              </w:rPr>
              <w:t> </w:t>
            </w:r>
          </w:p>
        </w:tc>
        <w:tc>
          <w:tcPr>
            <w:tcW w:w="830" w:type="dxa"/>
            <w:shd w:val="clear" w:color="000000" w:fill="FFFFFF"/>
            <w:noWrap/>
            <w:vAlign w:val="bottom"/>
            <w:hideMark/>
          </w:tcPr>
          <w:p w:rsidR="00274914" w:rsidRPr="002F17B5" w:rsidRDefault="00274914" w:rsidP="00274914">
            <w:pPr>
              <w:rPr>
                <w:rFonts w:cs="Arial"/>
                <w:sz w:val="20"/>
              </w:rPr>
            </w:pPr>
            <w:r w:rsidRPr="002F17B5">
              <w:rPr>
                <w:rFonts w:cs="Arial"/>
                <w:sz w:val="20"/>
              </w:rPr>
              <w:t> </w:t>
            </w:r>
          </w:p>
        </w:tc>
      </w:tr>
    </w:tbl>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4A4CFF">
        <w:trPr>
          <w:trHeight w:val="674"/>
        </w:trPr>
        <w:tc>
          <w:tcPr>
            <w:tcW w:w="5058" w:type="dxa"/>
          </w:tcPr>
          <w:p w:rsidR="00274914" w:rsidRPr="002F17B5" w:rsidRDefault="00274914" w:rsidP="004A4CFF">
            <w:pPr>
              <w:spacing w:before="0" w:after="0"/>
              <w:rPr>
                <w:b/>
              </w:rPr>
            </w:pPr>
          </w:p>
        </w:tc>
        <w:tc>
          <w:tcPr>
            <w:tcW w:w="1559" w:type="dxa"/>
          </w:tcPr>
          <w:p w:rsidR="00274914" w:rsidRPr="002F17B5" w:rsidRDefault="00A13302" w:rsidP="004A4CFF">
            <w:pPr>
              <w:spacing w:before="0" w:after="0"/>
              <w:jc w:val="right"/>
              <w:rPr>
                <w:b/>
              </w:rPr>
            </w:pPr>
            <w:r w:rsidRPr="002F17B5">
              <w:rPr>
                <w:b/>
              </w:rPr>
              <w:t>31/03/14</w:t>
            </w:r>
          </w:p>
          <w:p w:rsidR="00274914" w:rsidRPr="002F17B5" w:rsidRDefault="00274914" w:rsidP="004A4CFF">
            <w:pPr>
              <w:spacing w:before="0" w:after="0"/>
              <w:jc w:val="right"/>
              <w:rPr>
                <w:b/>
              </w:rPr>
            </w:pPr>
            <w:r w:rsidRPr="002F17B5">
              <w:rPr>
                <w:b/>
              </w:rPr>
              <w:t>£m</w:t>
            </w:r>
          </w:p>
        </w:tc>
        <w:tc>
          <w:tcPr>
            <w:tcW w:w="430" w:type="dxa"/>
            <w:tcBorders>
              <w:right w:val="single" w:sz="4" w:space="0" w:color="FFFFFF" w:themeColor="background1"/>
            </w:tcBorders>
          </w:tcPr>
          <w:p w:rsidR="00274914" w:rsidRPr="002F17B5" w:rsidRDefault="00274914" w:rsidP="004A4CFF">
            <w:pPr>
              <w:spacing w:before="0" w:after="0"/>
              <w:jc w:val="right"/>
              <w:rPr>
                <w:b/>
              </w:rPr>
            </w:pPr>
          </w:p>
          <w:p w:rsidR="00274914" w:rsidRPr="002F17B5" w:rsidRDefault="00274914" w:rsidP="004A4CFF">
            <w:pPr>
              <w:spacing w:before="0" w:after="0"/>
              <w:jc w:val="right"/>
              <w:rPr>
                <w:b/>
              </w:rPr>
            </w:pPr>
          </w:p>
        </w:tc>
        <w:tc>
          <w:tcPr>
            <w:tcW w:w="1696" w:type="dxa"/>
            <w:tcBorders>
              <w:left w:val="single" w:sz="4" w:space="0" w:color="FFFFFF" w:themeColor="background1"/>
            </w:tcBorders>
          </w:tcPr>
          <w:p w:rsidR="00274914" w:rsidRPr="002F17B5" w:rsidRDefault="00A13302" w:rsidP="004A4CFF">
            <w:pPr>
              <w:spacing w:before="0" w:after="0"/>
              <w:jc w:val="right"/>
              <w:rPr>
                <w:b/>
              </w:rPr>
            </w:pPr>
            <w:r w:rsidRPr="002F17B5">
              <w:rPr>
                <w:b/>
              </w:rPr>
              <w:t>31/03/13</w:t>
            </w:r>
          </w:p>
          <w:p w:rsidR="00274914" w:rsidRPr="002F17B5" w:rsidRDefault="00274914" w:rsidP="004A4CFF">
            <w:pPr>
              <w:spacing w:before="0" w:after="0"/>
              <w:jc w:val="right"/>
              <w:rPr>
                <w:b/>
              </w:rPr>
            </w:pPr>
            <w:r w:rsidRPr="002F17B5">
              <w:rPr>
                <w:b/>
              </w:rPr>
              <w:t>£m</w:t>
            </w:r>
          </w:p>
        </w:tc>
      </w:tr>
      <w:tr w:rsidR="00274914" w:rsidRPr="002F17B5" w:rsidTr="004A4CFF">
        <w:trPr>
          <w:trHeight w:val="158"/>
        </w:trPr>
        <w:tc>
          <w:tcPr>
            <w:tcW w:w="5058" w:type="dxa"/>
          </w:tcPr>
          <w:p w:rsidR="00274914" w:rsidRPr="002F17B5" w:rsidRDefault="00274914" w:rsidP="004A4CFF">
            <w:pPr>
              <w:spacing w:after="20"/>
              <w:rPr>
                <w:b/>
              </w:rPr>
            </w:pPr>
            <w:r w:rsidRPr="002F17B5">
              <w:rPr>
                <w:b/>
              </w:rPr>
              <w:t>Fixed Interest Securities</w:t>
            </w:r>
          </w:p>
        </w:tc>
        <w:tc>
          <w:tcPr>
            <w:tcW w:w="1559" w:type="dxa"/>
          </w:tcPr>
          <w:p w:rsidR="00274914" w:rsidRPr="002F17B5" w:rsidRDefault="00274914" w:rsidP="004A4CFF">
            <w:pPr>
              <w:spacing w:after="20"/>
              <w:jc w:val="right"/>
            </w:pP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left w:val="single" w:sz="4" w:space="0" w:color="FFFFFF" w:themeColor="background1"/>
            </w:tcBorders>
          </w:tcPr>
          <w:p w:rsidR="00274914" w:rsidRPr="002F17B5" w:rsidRDefault="00274914" w:rsidP="004A4CFF">
            <w:pPr>
              <w:spacing w:after="20"/>
              <w:jc w:val="right"/>
            </w:pPr>
          </w:p>
        </w:tc>
      </w:tr>
      <w:tr w:rsidR="00274914" w:rsidRPr="002F17B5" w:rsidTr="00274914">
        <w:tc>
          <w:tcPr>
            <w:tcW w:w="5058" w:type="dxa"/>
          </w:tcPr>
          <w:p w:rsidR="00274914" w:rsidRPr="002F17B5" w:rsidRDefault="00274914" w:rsidP="004A4CFF">
            <w:pPr>
              <w:spacing w:after="20"/>
            </w:pPr>
            <w:r w:rsidRPr="002F17B5">
              <w:t>UK public sector quoted</w:t>
            </w:r>
          </w:p>
        </w:tc>
        <w:tc>
          <w:tcPr>
            <w:tcW w:w="1559" w:type="dxa"/>
          </w:tcPr>
          <w:p w:rsidR="00274914" w:rsidRPr="002F17B5" w:rsidRDefault="004A4CFF" w:rsidP="004A4CFF">
            <w:pPr>
              <w:spacing w:after="20"/>
              <w:jc w:val="right"/>
            </w:pPr>
            <w:r w:rsidRPr="002F17B5">
              <w:t>-</w:t>
            </w:r>
          </w:p>
        </w:tc>
        <w:tc>
          <w:tcPr>
            <w:tcW w:w="430" w:type="dxa"/>
            <w:tcBorders>
              <w:right w:val="single" w:sz="4" w:space="0" w:color="FFFFFF" w:themeColor="background1"/>
            </w:tcBorders>
          </w:tcPr>
          <w:p w:rsidR="00274914" w:rsidRPr="002F17B5" w:rsidRDefault="00274914" w:rsidP="004A4CFF">
            <w:pPr>
              <w:spacing w:after="20"/>
              <w:jc w:val="center"/>
            </w:pPr>
          </w:p>
        </w:tc>
        <w:tc>
          <w:tcPr>
            <w:tcW w:w="1696" w:type="dxa"/>
            <w:tcBorders>
              <w:left w:val="single" w:sz="4" w:space="0" w:color="FFFFFF" w:themeColor="background1"/>
            </w:tcBorders>
          </w:tcPr>
          <w:p w:rsidR="00274914" w:rsidRPr="002F17B5" w:rsidRDefault="00274914" w:rsidP="004A4CFF">
            <w:pPr>
              <w:spacing w:after="20"/>
              <w:jc w:val="right"/>
            </w:pPr>
            <w:r w:rsidRPr="002F17B5">
              <w:t>294.9</w:t>
            </w:r>
          </w:p>
        </w:tc>
      </w:tr>
      <w:tr w:rsidR="00274914" w:rsidRPr="002F17B5" w:rsidTr="00274914">
        <w:tc>
          <w:tcPr>
            <w:tcW w:w="5058" w:type="dxa"/>
          </w:tcPr>
          <w:p w:rsidR="00274914" w:rsidRPr="002F17B5" w:rsidRDefault="00274914" w:rsidP="004A4CFF">
            <w:pPr>
              <w:spacing w:after="20"/>
            </w:pPr>
            <w:r w:rsidRPr="002F17B5">
              <w:t>UK corporate bonds quoted</w:t>
            </w:r>
          </w:p>
        </w:tc>
        <w:tc>
          <w:tcPr>
            <w:tcW w:w="1559" w:type="dxa"/>
          </w:tcPr>
          <w:p w:rsidR="00274914" w:rsidRPr="002F17B5" w:rsidRDefault="00274914" w:rsidP="004A4CFF">
            <w:pPr>
              <w:spacing w:after="20"/>
              <w:jc w:val="right"/>
            </w:pPr>
            <w:r w:rsidRPr="002F17B5">
              <w:t>76.0</w:t>
            </w: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left w:val="single" w:sz="4" w:space="0" w:color="FFFFFF" w:themeColor="background1"/>
            </w:tcBorders>
          </w:tcPr>
          <w:p w:rsidR="00274914" w:rsidRPr="002F17B5" w:rsidRDefault="00274914" w:rsidP="004A4CFF">
            <w:pPr>
              <w:spacing w:after="20"/>
              <w:jc w:val="right"/>
            </w:pPr>
            <w:r w:rsidRPr="002F17B5">
              <w:t>225.0</w:t>
            </w:r>
          </w:p>
        </w:tc>
      </w:tr>
      <w:tr w:rsidR="00274914" w:rsidRPr="002F17B5" w:rsidTr="00274914">
        <w:tc>
          <w:tcPr>
            <w:tcW w:w="5058" w:type="dxa"/>
          </w:tcPr>
          <w:p w:rsidR="00274914" w:rsidRPr="002F17B5" w:rsidRDefault="00274914" w:rsidP="004A4CFF">
            <w:pPr>
              <w:spacing w:after="20"/>
            </w:pPr>
            <w:r w:rsidRPr="002F17B5">
              <w:t>Overseas corporate bonds quoted</w:t>
            </w:r>
          </w:p>
        </w:tc>
        <w:tc>
          <w:tcPr>
            <w:tcW w:w="1559" w:type="dxa"/>
            <w:tcBorders>
              <w:bottom w:val="single" w:sz="18" w:space="0" w:color="auto"/>
            </w:tcBorders>
          </w:tcPr>
          <w:p w:rsidR="00274914" w:rsidRPr="002F17B5" w:rsidRDefault="00274914" w:rsidP="004A4CFF">
            <w:pPr>
              <w:spacing w:after="20"/>
              <w:jc w:val="right"/>
            </w:pPr>
            <w:r w:rsidRPr="002F17B5">
              <w:t>157.0</w:t>
            </w: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left w:val="single" w:sz="4" w:space="0" w:color="FFFFFF" w:themeColor="background1"/>
              <w:bottom w:val="single" w:sz="18" w:space="0" w:color="auto"/>
            </w:tcBorders>
          </w:tcPr>
          <w:p w:rsidR="00274914" w:rsidRPr="002F17B5" w:rsidRDefault="00274914" w:rsidP="004A4CFF">
            <w:pPr>
              <w:spacing w:after="20"/>
              <w:jc w:val="right"/>
            </w:pPr>
            <w:r w:rsidRPr="002F17B5">
              <w:t>323.7</w:t>
            </w:r>
          </w:p>
        </w:tc>
      </w:tr>
      <w:tr w:rsidR="00274914" w:rsidRPr="002F17B5" w:rsidTr="00274914">
        <w:tc>
          <w:tcPr>
            <w:tcW w:w="5058" w:type="dxa"/>
          </w:tcPr>
          <w:p w:rsidR="00274914" w:rsidRPr="002F17B5" w:rsidRDefault="00274914" w:rsidP="004A4CFF">
            <w:pPr>
              <w:spacing w:after="20"/>
            </w:pPr>
          </w:p>
        </w:tc>
        <w:tc>
          <w:tcPr>
            <w:tcW w:w="1559" w:type="dxa"/>
            <w:tcBorders>
              <w:top w:val="single" w:sz="18" w:space="0" w:color="auto"/>
              <w:bottom w:val="single" w:sz="18" w:space="0" w:color="auto"/>
            </w:tcBorders>
          </w:tcPr>
          <w:p w:rsidR="00274914" w:rsidRPr="002F17B5" w:rsidRDefault="00274914" w:rsidP="004A4CFF">
            <w:pPr>
              <w:spacing w:after="20"/>
              <w:jc w:val="right"/>
            </w:pPr>
            <w:r w:rsidRPr="002F17B5">
              <w:t>233.0</w:t>
            </w: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4A4CFF">
            <w:pPr>
              <w:spacing w:after="20"/>
              <w:jc w:val="right"/>
            </w:pPr>
            <w:r w:rsidRPr="002F17B5">
              <w:t>843.6</w:t>
            </w:r>
          </w:p>
        </w:tc>
      </w:tr>
    </w:tbl>
    <w:p w:rsidR="00274914" w:rsidRPr="002F17B5" w:rsidRDefault="00274914" w:rsidP="00274914">
      <w:pPr>
        <w:rPr>
          <w:sz w:val="18"/>
        </w:rPr>
      </w:pPr>
    </w:p>
    <w:p w:rsidR="00D55D63" w:rsidRPr="002F17B5" w:rsidRDefault="00D55D63" w:rsidP="00274914">
      <w:pPr>
        <w:rPr>
          <w:sz w:val="1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4A4CFF">
        <w:trPr>
          <w:trHeight w:val="594"/>
        </w:trPr>
        <w:tc>
          <w:tcPr>
            <w:tcW w:w="5058" w:type="dxa"/>
          </w:tcPr>
          <w:p w:rsidR="00274914" w:rsidRPr="002F17B5" w:rsidRDefault="00274914" w:rsidP="004A4CFF">
            <w:pPr>
              <w:spacing w:after="20"/>
              <w:rPr>
                <w:b/>
              </w:rPr>
            </w:pPr>
          </w:p>
          <w:p w:rsidR="00274914" w:rsidRPr="002F17B5" w:rsidRDefault="00274914" w:rsidP="004A4CFF">
            <w:pPr>
              <w:spacing w:after="20"/>
              <w:rPr>
                <w:b/>
              </w:rPr>
            </w:pPr>
          </w:p>
        </w:tc>
        <w:tc>
          <w:tcPr>
            <w:tcW w:w="1559" w:type="dxa"/>
          </w:tcPr>
          <w:p w:rsidR="00274914" w:rsidRPr="002F17B5" w:rsidRDefault="00A13302" w:rsidP="004A4CFF">
            <w:pPr>
              <w:spacing w:after="20"/>
              <w:jc w:val="right"/>
              <w:rPr>
                <w:b/>
              </w:rPr>
            </w:pPr>
            <w:r w:rsidRPr="002F17B5">
              <w:rPr>
                <w:b/>
              </w:rPr>
              <w:t>31/03/14</w:t>
            </w:r>
          </w:p>
          <w:p w:rsidR="00A13302" w:rsidRPr="002F17B5" w:rsidRDefault="00A13302" w:rsidP="004A4CFF">
            <w:pPr>
              <w:spacing w:after="20"/>
              <w:jc w:val="right"/>
              <w:rPr>
                <w:b/>
              </w:rPr>
            </w:pPr>
            <w:r w:rsidRPr="002F17B5">
              <w:rPr>
                <w:b/>
              </w:rPr>
              <w:t>£m</w:t>
            </w:r>
          </w:p>
        </w:tc>
        <w:tc>
          <w:tcPr>
            <w:tcW w:w="430" w:type="dxa"/>
            <w:tcBorders>
              <w:right w:val="single" w:sz="4" w:space="0" w:color="FFFFFF" w:themeColor="background1"/>
            </w:tcBorders>
          </w:tcPr>
          <w:p w:rsidR="00274914" w:rsidRPr="002F17B5" w:rsidRDefault="00274914" w:rsidP="004A4CFF">
            <w:pPr>
              <w:spacing w:after="20"/>
              <w:jc w:val="right"/>
              <w:rPr>
                <w:b/>
              </w:rPr>
            </w:pPr>
          </w:p>
          <w:p w:rsidR="00274914" w:rsidRPr="002F17B5" w:rsidRDefault="00274914" w:rsidP="004A4CFF">
            <w:pPr>
              <w:spacing w:after="20"/>
              <w:jc w:val="right"/>
              <w:rPr>
                <w:b/>
              </w:rPr>
            </w:pPr>
          </w:p>
        </w:tc>
        <w:tc>
          <w:tcPr>
            <w:tcW w:w="1696" w:type="dxa"/>
            <w:tcBorders>
              <w:left w:val="single" w:sz="4" w:space="0" w:color="FFFFFF" w:themeColor="background1"/>
            </w:tcBorders>
          </w:tcPr>
          <w:p w:rsidR="00274914" w:rsidRPr="002F17B5" w:rsidRDefault="00A13302" w:rsidP="004A4CFF">
            <w:pPr>
              <w:spacing w:after="20"/>
              <w:jc w:val="right"/>
              <w:rPr>
                <w:b/>
              </w:rPr>
            </w:pPr>
            <w:r w:rsidRPr="002F17B5">
              <w:rPr>
                <w:b/>
              </w:rPr>
              <w:t>31/03/13</w:t>
            </w:r>
          </w:p>
          <w:p w:rsidR="00A13302" w:rsidRPr="002F17B5" w:rsidRDefault="00A13302" w:rsidP="004A4CFF">
            <w:pPr>
              <w:spacing w:after="20"/>
              <w:jc w:val="right"/>
              <w:rPr>
                <w:b/>
              </w:rPr>
            </w:pPr>
            <w:r w:rsidRPr="002F17B5">
              <w:rPr>
                <w:b/>
              </w:rPr>
              <w:t>£m</w:t>
            </w:r>
          </w:p>
        </w:tc>
      </w:tr>
      <w:tr w:rsidR="00274914" w:rsidRPr="002F17B5" w:rsidTr="00274914">
        <w:tc>
          <w:tcPr>
            <w:tcW w:w="5058" w:type="dxa"/>
          </w:tcPr>
          <w:p w:rsidR="00274914" w:rsidRPr="002F17B5" w:rsidRDefault="00274914" w:rsidP="004A4CFF">
            <w:pPr>
              <w:spacing w:after="20"/>
              <w:rPr>
                <w:b/>
              </w:rPr>
            </w:pPr>
            <w:r w:rsidRPr="002F17B5">
              <w:rPr>
                <w:b/>
              </w:rPr>
              <w:t>Equities</w:t>
            </w:r>
          </w:p>
        </w:tc>
        <w:tc>
          <w:tcPr>
            <w:tcW w:w="1559" w:type="dxa"/>
          </w:tcPr>
          <w:p w:rsidR="00274914" w:rsidRPr="002F17B5" w:rsidRDefault="00274914" w:rsidP="004A4CFF">
            <w:pPr>
              <w:spacing w:after="20"/>
              <w:jc w:val="right"/>
            </w:pP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left w:val="single" w:sz="4" w:space="0" w:color="FFFFFF" w:themeColor="background1"/>
            </w:tcBorders>
          </w:tcPr>
          <w:p w:rsidR="00274914" w:rsidRPr="002F17B5" w:rsidRDefault="00274914" w:rsidP="004A4CFF">
            <w:pPr>
              <w:spacing w:after="20"/>
              <w:jc w:val="right"/>
            </w:pPr>
          </w:p>
        </w:tc>
      </w:tr>
      <w:tr w:rsidR="00274914" w:rsidRPr="002F17B5" w:rsidTr="00274914">
        <w:tc>
          <w:tcPr>
            <w:tcW w:w="5058" w:type="dxa"/>
          </w:tcPr>
          <w:p w:rsidR="00274914" w:rsidRPr="002F17B5" w:rsidRDefault="00274914" w:rsidP="004A4CFF">
            <w:pPr>
              <w:spacing w:after="20"/>
            </w:pPr>
            <w:r w:rsidRPr="002F17B5">
              <w:t>UK quoted</w:t>
            </w:r>
          </w:p>
        </w:tc>
        <w:tc>
          <w:tcPr>
            <w:tcW w:w="1559" w:type="dxa"/>
          </w:tcPr>
          <w:p w:rsidR="00274914" w:rsidRPr="002F17B5" w:rsidRDefault="00274914" w:rsidP="004A4CFF">
            <w:pPr>
              <w:spacing w:after="20"/>
              <w:jc w:val="right"/>
            </w:pPr>
            <w:r w:rsidRPr="002F17B5">
              <w:t>231.3</w:t>
            </w: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left w:val="single" w:sz="4" w:space="0" w:color="FFFFFF" w:themeColor="background1"/>
            </w:tcBorders>
          </w:tcPr>
          <w:p w:rsidR="00274914" w:rsidRPr="002F17B5" w:rsidRDefault="00274914" w:rsidP="004A4CFF">
            <w:pPr>
              <w:spacing w:after="20"/>
              <w:jc w:val="right"/>
            </w:pPr>
            <w:r w:rsidRPr="002F17B5">
              <w:t>218.3</w:t>
            </w:r>
          </w:p>
        </w:tc>
      </w:tr>
      <w:tr w:rsidR="00274914" w:rsidRPr="002F17B5" w:rsidTr="00274914">
        <w:tc>
          <w:tcPr>
            <w:tcW w:w="5058" w:type="dxa"/>
          </w:tcPr>
          <w:p w:rsidR="00274914" w:rsidRPr="002F17B5" w:rsidRDefault="00274914" w:rsidP="004A4CFF">
            <w:pPr>
              <w:spacing w:after="20"/>
            </w:pPr>
            <w:r w:rsidRPr="002F17B5">
              <w:t>Overseas quoted</w:t>
            </w:r>
          </w:p>
        </w:tc>
        <w:tc>
          <w:tcPr>
            <w:tcW w:w="1559" w:type="dxa"/>
            <w:tcBorders>
              <w:bottom w:val="single" w:sz="18" w:space="0" w:color="auto"/>
            </w:tcBorders>
          </w:tcPr>
          <w:p w:rsidR="00274914" w:rsidRPr="002F17B5" w:rsidRDefault="00274914" w:rsidP="004A4CFF">
            <w:pPr>
              <w:spacing w:after="20"/>
              <w:jc w:val="right"/>
            </w:pPr>
            <w:r w:rsidRPr="002F17B5">
              <w:t>1,689.8</w:t>
            </w: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left w:val="single" w:sz="4" w:space="0" w:color="FFFFFF" w:themeColor="background1"/>
              <w:bottom w:val="single" w:sz="18" w:space="0" w:color="auto"/>
            </w:tcBorders>
          </w:tcPr>
          <w:p w:rsidR="00274914" w:rsidRPr="002F17B5" w:rsidRDefault="00274914" w:rsidP="004A4CFF">
            <w:pPr>
              <w:spacing w:after="20"/>
              <w:jc w:val="right"/>
            </w:pPr>
            <w:r w:rsidRPr="002F17B5">
              <w:t>1,531.0</w:t>
            </w:r>
          </w:p>
        </w:tc>
      </w:tr>
      <w:tr w:rsidR="00274914" w:rsidRPr="002F17B5" w:rsidTr="00274914">
        <w:tc>
          <w:tcPr>
            <w:tcW w:w="5058" w:type="dxa"/>
          </w:tcPr>
          <w:p w:rsidR="00274914" w:rsidRPr="002F17B5" w:rsidRDefault="00274914" w:rsidP="004A4CFF">
            <w:pPr>
              <w:spacing w:after="20"/>
            </w:pPr>
          </w:p>
        </w:tc>
        <w:tc>
          <w:tcPr>
            <w:tcW w:w="1559" w:type="dxa"/>
            <w:tcBorders>
              <w:top w:val="single" w:sz="18" w:space="0" w:color="auto"/>
              <w:bottom w:val="single" w:sz="18" w:space="0" w:color="auto"/>
            </w:tcBorders>
          </w:tcPr>
          <w:p w:rsidR="00274914" w:rsidRPr="002F17B5" w:rsidRDefault="00274914" w:rsidP="004A4CFF">
            <w:pPr>
              <w:spacing w:after="20"/>
              <w:jc w:val="right"/>
            </w:pPr>
            <w:r w:rsidRPr="002F17B5">
              <w:t>1,921.1</w:t>
            </w: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4A4CFF">
            <w:pPr>
              <w:spacing w:after="20"/>
              <w:jc w:val="right"/>
            </w:pPr>
            <w:r w:rsidRPr="002F17B5">
              <w:t>1,749.3</w:t>
            </w:r>
          </w:p>
        </w:tc>
      </w:tr>
      <w:tr w:rsidR="00274914" w:rsidRPr="002F17B5" w:rsidTr="00274914">
        <w:tc>
          <w:tcPr>
            <w:tcW w:w="5058" w:type="dxa"/>
          </w:tcPr>
          <w:p w:rsidR="00274914" w:rsidRPr="002F17B5" w:rsidRDefault="00274914" w:rsidP="00274914">
            <w:pPr>
              <w:rPr>
                <w:sz w:val="10"/>
              </w:rPr>
            </w:pPr>
          </w:p>
        </w:tc>
        <w:tc>
          <w:tcPr>
            <w:tcW w:w="1559" w:type="dxa"/>
            <w:tcBorders>
              <w:top w:val="single" w:sz="18" w:space="0" w:color="auto"/>
            </w:tcBorders>
          </w:tcPr>
          <w:p w:rsidR="00274914" w:rsidRPr="002F17B5" w:rsidRDefault="00274914" w:rsidP="00274914">
            <w:pPr>
              <w:jc w:val="right"/>
              <w:rPr>
                <w:sz w:val="14"/>
              </w:rPr>
            </w:pPr>
          </w:p>
        </w:tc>
        <w:tc>
          <w:tcPr>
            <w:tcW w:w="430" w:type="dxa"/>
          </w:tcPr>
          <w:p w:rsidR="00274914" w:rsidRPr="002F17B5" w:rsidRDefault="00274914" w:rsidP="00274914">
            <w:pPr>
              <w:jc w:val="right"/>
              <w:rPr>
                <w:sz w:val="14"/>
              </w:rPr>
            </w:pPr>
          </w:p>
        </w:tc>
        <w:tc>
          <w:tcPr>
            <w:tcW w:w="1696" w:type="dxa"/>
            <w:tcBorders>
              <w:top w:val="single" w:sz="18" w:space="0" w:color="auto"/>
            </w:tcBorders>
          </w:tcPr>
          <w:p w:rsidR="00274914" w:rsidRPr="002F17B5" w:rsidRDefault="00274914" w:rsidP="00274914">
            <w:pPr>
              <w:jc w:val="right"/>
              <w:rPr>
                <w:sz w:val="14"/>
              </w:rPr>
            </w:pPr>
          </w:p>
        </w:tc>
      </w:tr>
      <w:tr w:rsidR="00274914" w:rsidRPr="002F17B5" w:rsidTr="004A4CFF">
        <w:trPr>
          <w:trHeight w:val="87"/>
        </w:trPr>
        <w:tc>
          <w:tcPr>
            <w:tcW w:w="5058" w:type="dxa"/>
          </w:tcPr>
          <w:p w:rsidR="00274914" w:rsidRPr="002F17B5" w:rsidRDefault="00274914" w:rsidP="00274914">
            <w:pPr>
              <w:rPr>
                <w:sz w:val="12"/>
              </w:rPr>
            </w:pPr>
          </w:p>
        </w:tc>
        <w:tc>
          <w:tcPr>
            <w:tcW w:w="1559" w:type="dxa"/>
          </w:tcPr>
          <w:p w:rsidR="00274914" w:rsidRPr="002F17B5" w:rsidRDefault="00274914" w:rsidP="00274914">
            <w:pPr>
              <w:jc w:val="right"/>
            </w:pPr>
          </w:p>
        </w:tc>
        <w:tc>
          <w:tcPr>
            <w:tcW w:w="430" w:type="dxa"/>
          </w:tcPr>
          <w:p w:rsidR="00274914" w:rsidRPr="002F17B5" w:rsidRDefault="00274914" w:rsidP="00274914">
            <w:pPr>
              <w:jc w:val="right"/>
            </w:pPr>
          </w:p>
        </w:tc>
        <w:tc>
          <w:tcPr>
            <w:tcW w:w="1696" w:type="dxa"/>
          </w:tcPr>
          <w:p w:rsidR="00274914" w:rsidRPr="002F17B5" w:rsidRDefault="00274914" w:rsidP="00274914">
            <w:pPr>
              <w:jc w:val="right"/>
            </w:pPr>
          </w:p>
        </w:tc>
      </w:tr>
      <w:tr w:rsidR="00274914" w:rsidRPr="002F17B5" w:rsidTr="00274914">
        <w:tc>
          <w:tcPr>
            <w:tcW w:w="5058" w:type="dxa"/>
          </w:tcPr>
          <w:p w:rsidR="00274914" w:rsidRPr="002F17B5" w:rsidRDefault="00274914" w:rsidP="004A4CFF">
            <w:pPr>
              <w:spacing w:after="20"/>
              <w:rPr>
                <w:b/>
              </w:rPr>
            </w:pPr>
          </w:p>
        </w:tc>
        <w:tc>
          <w:tcPr>
            <w:tcW w:w="1559" w:type="dxa"/>
          </w:tcPr>
          <w:p w:rsidR="00274914" w:rsidRPr="002F17B5" w:rsidRDefault="00A13302" w:rsidP="004A4CFF">
            <w:pPr>
              <w:spacing w:after="20"/>
              <w:jc w:val="right"/>
              <w:rPr>
                <w:b/>
              </w:rPr>
            </w:pPr>
            <w:r w:rsidRPr="002F17B5">
              <w:rPr>
                <w:b/>
              </w:rPr>
              <w:t>31/03/14</w:t>
            </w:r>
          </w:p>
          <w:p w:rsidR="00274914" w:rsidRPr="002F17B5" w:rsidRDefault="00274914" w:rsidP="004A4CFF">
            <w:pPr>
              <w:spacing w:after="20"/>
              <w:jc w:val="right"/>
              <w:rPr>
                <w:b/>
              </w:rPr>
            </w:pPr>
            <w:r w:rsidRPr="002F17B5">
              <w:rPr>
                <w:b/>
              </w:rPr>
              <w:t>£m</w:t>
            </w:r>
          </w:p>
        </w:tc>
        <w:tc>
          <w:tcPr>
            <w:tcW w:w="430" w:type="dxa"/>
            <w:tcBorders>
              <w:right w:val="single" w:sz="4" w:space="0" w:color="FFFFFF" w:themeColor="background1"/>
            </w:tcBorders>
          </w:tcPr>
          <w:p w:rsidR="00274914" w:rsidRPr="002F17B5" w:rsidRDefault="00274914" w:rsidP="004A4CFF">
            <w:pPr>
              <w:spacing w:after="20"/>
              <w:jc w:val="right"/>
              <w:rPr>
                <w:b/>
              </w:rPr>
            </w:pPr>
          </w:p>
          <w:p w:rsidR="00274914" w:rsidRPr="002F17B5" w:rsidRDefault="00274914" w:rsidP="004A4CFF">
            <w:pPr>
              <w:spacing w:after="20"/>
              <w:jc w:val="right"/>
              <w:rPr>
                <w:b/>
              </w:rPr>
            </w:pPr>
          </w:p>
        </w:tc>
        <w:tc>
          <w:tcPr>
            <w:tcW w:w="1696" w:type="dxa"/>
            <w:tcBorders>
              <w:left w:val="single" w:sz="4" w:space="0" w:color="FFFFFF" w:themeColor="background1"/>
            </w:tcBorders>
          </w:tcPr>
          <w:p w:rsidR="00274914" w:rsidRPr="002F17B5" w:rsidRDefault="00A13302" w:rsidP="004A4CFF">
            <w:pPr>
              <w:spacing w:after="20"/>
              <w:jc w:val="right"/>
              <w:rPr>
                <w:b/>
              </w:rPr>
            </w:pPr>
            <w:r w:rsidRPr="002F17B5">
              <w:rPr>
                <w:b/>
              </w:rPr>
              <w:t>31/03/</w:t>
            </w:r>
            <w:r w:rsidR="00274914" w:rsidRPr="002F17B5">
              <w:rPr>
                <w:b/>
              </w:rPr>
              <w:t>13</w:t>
            </w:r>
          </w:p>
          <w:p w:rsidR="00274914" w:rsidRPr="002F17B5" w:rsidRDefault="00274914" w:rsidP="004A4CFF">
            <w:pPr>
              <w:spacing w:after="20"/>
              <w:jc w:val="right"/>
              <w:rPr>
                <w:b/>
              </w:rPr>
            </w:pPr>
            <w:r w:rsidRPr="002F17B5">
              <w:rPr>
                <w:b/>
              </w:rPr>
              <w:t>£m</w:t>
            </w:r>
          </w:p>
        </w:tc>
      </w:tr>
      <w:tr w:rsidR="00274914" w:rsidRPr="002F17B5" w:rsidTr="00274914">
        <w:tc>
          <w:tcPr>
            <w:tcW w:w="5058" w:type="dxa"/>
          </w:tcPr>
          <w:p w:rsidR="00274914" w:rsidRPr="002F17B5" w:rsidRDefault="00274914" w:rsidP="004A4CFF">
            <w:pPr>
              <w:spacing w:after="20"/>
              <w:rPr>
                <w:b/>
              </w:rPr>
            </w:pPr>
            <w:r w:rsidRPr="002F17B5">
              <w:rPr>
                <w:b/>
              </w:rPr>
              <w:t>Index Linked Securities</w:t>
            </w:r>
          </w:p>
        </w:tc>
        <w:tc>
          <w:tcPr>
            <w:tcW w:w="1559" w:type="dxa"/>
          </w:tcPr>
          <w:p w:rsidR="00274914" w:rsidRPr="002F17B5" w:rsidRDefault="00274914" w:rsidP="004A4CFF">
            <w:pPr>
              <w:spacing w:after="20"/>
              <w:jc w:val="right"/>
            </w:pP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left w:val="single" w:sz="4" w:space="0" w:color="FFFFFF" w:themeColor="background1"/>
            </w:tcBorders>
          </w:tcPr>
          <w:p w:rsidR="00274914" w:rsidRPr="002F17B5" w:rsidRDefault="00274914" w:rsidP="004A4CFF">
            <w:pPr>
              <w:spacing w:after="20"/>
              <w:jc w:val="right"/>
            </w:pPr>
          </w:p>
        </w:tc>
      </w:tr>
      <w:tr w:rsidR="00274914" w:rsidRPr="002F17B5" w:rsidTr="00274914">
        <w:tc>
          <w:tcPr>
            <w:tcW w:w="5058" w:type="dxa"/>
          </w:tcPr>
          <w:p w:rsidR="00274914" w:rsidRPr="002F17B5" w:rsidRDefault="00274914" w:rsidP="004A4CFF">
            <w:pPr>
              <w:spacing w:after="20"/>
            </w:pPr>
            <w:r w:rsidRPr="002F17B5">
              <w:t>UK quoted</w:t>
            </w:r>
          </w:p>
        </w:tc>
        <w:tc>
          <w:tcPr>
            <w:tcW w:w="1559" w:type="dxa"/>
            <w:tcBorders>
              <w:bottom w:val="single" w:sz="18" w:space="0" w:color="auto"/>
            </w:tcBorders>
          </w:tcPr>
          <w:p w:rsidR="00274914" w:rsidRPr="002F17B5" w:rsidRDefault="00D55D63" w:rsidP="004A4CFF">
            <w:pPr>
              <w:spacing w:after="20"/>
              <w:jc w:val="right"/>
            </w:pPr>
            <w:r w:rsidRPr="002F17B5">
              <w:t>-</w:t>
            </w: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left w:val="single" w:sz="4" w:space="0" w:color="FFFFFF" w:themeColor="background1"/>
              <w:bottom w:val="single" w:sz="18" w:space="0" w:color="auto"/>
            </w:tcBorders>
          </w:tcPr>
          <w:p w:rsidR="00274914" w:rsidRPr="002F17B5" w:rsidRDefault="00274914" w:rsidP="004A4CFF">
            <w:pPr>
              <w:spacing w:after="20"/>
              <w:jc w:val="right"/>
            </w:pPr>
            <w:r w:rsidRPr="002F17B5">
              <w:t>164.9</w:t>
            </w:r>
          </w:p>
        </w:tc>
      </w:tr>
      <w:tr w:rsidR="00274914" w:rsidRPr="002F17B5" w:rsidTr="00274914">
        <w:tc>
          <w:tcPr>
            <w:tcW w:w="5058" w:type="dxa"/>
          </w:tcPr>
          <w:p w:rsidR="00274914" w:rsidRPr="002F17B5" w:rsidRDefault="00274914" w:rsidP="004A4CFF">
            <w:pPr>
              <w:spacing w:after="20"/>
            </w:pPr>
          </w:p>
        </w:tc>
        <w:tc>
          <w:tcPr>
            <w:tcW w:w="1559" w:type="dxa"/>
            <w:tcBorders>
              <w:top w:val="single" w:sz="18" w:space="0" w:color="auto"/>
              <w:bottom w:val="single" w:sz="18" w:space="0" w:color="auto"/>
            </w:tcBorders>
          </w:tcPr>
          <w:p w:rsidR="00274914" w:rsidRPr="002F17B5" w:rsidRDefault="00D55D63" w:rsidP="004A4CFF">
            <w:pPr>
              <w:spacing w:after="20"/>
              <w:jc w:val="right"/>
            </w:pPr>
            <w:r w:rsidRPr="002F17B5">
              <w:t>-</w:t>
            </w:r>
          </w:p>
        </w:tc>
        <w:tc>
          <w:tcPr>
            <w:tcW w:w="430" w:type="dxa"/>
            <w:tcBorders>
              <w:right w:val="single" w:sz="4" w:space="0" w:color="FFFFFF" w:themeColor="background1"/>
            </w:tcBorders>
          </w:tcPr>
          <w:p w:rsidR="00274914" w:rsidRPr="002F17B5" w:rsidRDefault="00274914" w:rsidP="004A4CFF">
            <w:pPr>
              <w:spacing w:after="2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4A4CFF">
            <w:pPr>
              <w:spacing w:after="20"/>
              <w:jc w:val="right"/>
            </w:pPr>
            <w:r w:rsidRPr="002F17B5">
              <w:t>164.9</w:t>
            </w:r>
          </w:p>
        </w:tc>
      </w:tr>
    </w:tbl>
    <w:p w:rsidR="00274914" w:rsidRDefault="00274914" w:rsidP="00274914"/>
    <w:p w:rsidR="00AC0229" w:rsidRDefault="00AC0229" w:rsidP="00274914"/>
    <w:p w:rsidR="00AC0229" w:rsidRDefault="00AC0229" w:rsidP="00274914"/>
    <w:p w:rsidR="00AC0229" w:rsidRDefault="00AC0229" w:rsidP="00274914"/>
    <w:p w:rsidR="00AC0229" w:rsidRPr="002F17B5" w:rsidRDefault="00AC0229" w:rsidP="00274914"/>
    <w:tbl>
      <w:tblPr>
        <w:tblStyle w:val="TableGrid"/>
        <w:tblW w:w="0" w:type="auto"/>
        <w:tblInd w:w="720" w:type="dxa"/>
        <w:tblLook w:val="04A0" w:firstRow="1" w:lastRow="0" w:firstColumn="1" w:lastColumn="0" w:noHBand="0" w:noVBand="1"/>
      </w:tblPr>
      <w:tblGrid>
        <w:gridCol w:w="5227"/>
        <w:gridCol w:w="1424"/>
        <w:gridCol w:w="432"/>
        <w:gridCol w:w="1705"/>
      </w:tblGrid>
      <w:tr w:rsidR="00274914" w:rsidRPr="002F17B5" w:rsidTr="004A4CFF">
        <w:trPr>
          <w:trHeight w:val="214"/>
        </w:trPr>
        <w:tc>
          <w:tcPr>
            <w:tcW w:w="5227" w:type="dxa"/>
            <w:tcBorders>
              <w:top w:val="nil"/>
              <w:left w:val="nil"/>
              <w:bottom w:val="nil"/>
              <w:right w:val="nil"/>
            </w:tcBorders>
          </w:tcPr>
          <w:p w:rsidR="00274914" w:rsidRPr="002F17B5" w:rsidRDefault="00274914" w:rsidP="00274914">
            <w:pPr>
              <w:rPr>
                <w:b/>
                <w:sz w:val="18"/>
              </w:rPr>
            </w:pPr>
          </w:p>
        </w:tc>
        <w:tc>
          <w:tcPr>
            <w:tcW w:w="1424" w:type="dxa"/>
            <w:tcBorders>
              <w:top w:val="nil"/>
              <w:left w:val="nil"/>
              <w:bottom w:val="nil"/>
              <w:right w:val="nil"/>
            </w:tcBorders>
          </w:tcPr>
          <w:p w:rsidR="00274914" w:rsidRPr="002F17B5" w:rsidRDefault="00274914" w:rsidP="00274914">
            <w:pPr>
              <w:jc w:val="right"/>
              <w:rPr>
                <w:b/>
              </w:rPr>
            </w:pPr>
          </w:p>
        </w:tc>
        <w:tc>
          <w:tcPr>
            <w:tcW w:w="432" w:type="dxa"/>
            <w:tcBorders>
              <w:top w:val="nil"/>
              <w:left w:val="nil"/>
              <w:bottom w:val="nil"/>
              <w:right w:val="nil"/>
            </w:tcBorders>
          </w:tcPr>
          <w:p w:rsidR="00274914" w:rsidRPr="002F17B5" w:rsidRDefault="00274914" w:rsidP="00274914">
            <w:pPr>
              <w:jc w:val="right"/>
              <w:rPr>
                <w:b/>
              </w:rPr>
            </w:pPr>
          </w:p>
        </w:tc>
        <w:tc>
          <w:tcPr>
            <w:tcW w:w="1705" w:type="dxa"/>
            <w:tcBorders>
              <w:top w:val="nil"/>
              <w:left w:val="nil"/>
              <w:bottom w:val="nil"/>
              <w:right w:val="nil"/>
            </w:tcBorders>
          </w:tcPr>
          <w:p w:rsidR="00274914" w:rsidRPr="002F17B5" w:rsidRDefault="00274914" w:rsidP="00274914">
            <w:pPr>
              <w:jc w:val="right"/>
              <w:rPr>
                <w:b/>
              </w:rPr>
            </w:pPr>
          </w:p>
        </w:tc>
      </w:tr>
      <w:tr w:rsidR="00274914" w:rsidRPr="002F17B5" w:rsidTr="00274914">
        <w:trPr>
          <w:trHeight w:val="262"/>
        </w:trPr>
        <w:tc>
          <w:tcPr>
            <w:tcW w:w="5227" w:type="dxa"/>
            <w:tcBorders>
              <w:top w:val="nil"/>
              <w:left w:val="nil"/>
              <w:bottom w:val="nil"/>
              <w:right w:val="nil"/>
            </w:tcBorders>
          </w:tcPr>
          <w:p w:rsidR="00274914" w:rsidRPr="002F17B5" w:rsidRDefault="00274914" w:rsidP="004A4CFF">
            <w:pPr>
              <w:spacing w:after="20"/>
              <w:rPr>
                <w:b/>
              </w:rPr>
            </w:pPr>
          </w:p>
        </w:tc>
        <w:tc>
          <w:tcPr>
            <w:tcW w:w="1424" w:type="dxa"/>
            <w:tcBorders>
              <w:top w:val="nil"/>
              <w:left w:val="nil"/>
              <w:bottom w:val="nil"/>
              <w:right w:val="nil"/>
            </w:tcBorders>
          </w:tcPr>
          <w:p w:rsidR="00274914" w:rsidRPr="002F17B5" w:rsidRDefault="00A13302" w:rsidP="004A4CFF">
            <w:pPr>
              <w:spacing w:after="20"/>
              <w:jc w:val="right"/>
              <w:rPr>
                <w:b/>
              </w:rPr>
            </w:pPr>
            <w:r w:rsidRPr="002F17B5">
              <w:rPr>
                <w:b/>
              </w:rPr>
              <w:t>31/03/14</w:t>
            </w:r>
          </w:p>
        </w:tc>
        <w:tc>
          <w:tcPr>
            <w:tcW w:w="432" w:type="dxa"/>
            <w:tcBorders>
              <w:top w:val="nil"/>
              <w:left w:val="nil"/>
              <w:bottom w:val="nil"/>
              <w:right w:val="nil"/>
            </w:tcBorders>
          </w:tcPr>
          <w:p w:rsidR="00274914" w:rsidRPr="002F17B5" w:rsidRDefault="00274914" w:rsidP="004A4CFF">
            <w:pPr>
              <w:spacing w:after="20"/>
              <w:jc w:val="right"/>
              <w:rPr>
                <w:b/>
              </w:rPr>
            </w:pPr>
          </w:p>
        </w:tc>
        <w:tc>
          <w:tcPr>
            <w:tcW w:w="1705" w:type="dxa"/>
            <w:tcBorders>
              <w:top w:val="nil"/>
              <w:left w:val="nil"/>
              <w:bottom w:val="nil"/>
              <w:right w:val="nil"/>
            </w:tcBorders>
          </w:tcPr>
          <w:p w:rsidR="00274914" w:rsidRPr="002F17B5" w:rsidRDefault="00A13302" w:rsidP="004A4CFF">
            <w:pPr>
              <w:spacing w:after="20"/>
              <w:jc w:val="right"/>
              <w:rPr>
                <w:b/>
              </w:rPr>
            </w:pPr>
            <w:r w:rsidRPr="002F17B5">
              <w:rPr>
                <w:b/>
              </w:rPr>
              <w:t>31/03/13*</w:t>
            </w:r>
          </w:p>
        </w:tc>
      </w:tr>
      <w:tr w:rsidR="00274914" w:rsidRPr="002F17B5" w:rsidTr="00274914">
        <w:trPr>
          <w:trHeight w:val="277"/>
        </w:trPr>
        <w:tc>
          <w:tcPr>
            <w:tcW w:w="5227" w:type="dxa"/>
            <w:tcBorders>
              <w:top w:val="nil"/>
              <w:left w:val="nil"/>
              <w:bottom w:val="nil"/>
              <w:right w:val="nil"/>
            </w:tcBorders>
          </w:tcPr>
          <w:p w:rsidR="00274914" w:rsidRPr="002F17B5" w:rsidRDefault="00274914" w:rsidP="004A4CFF">
            <w:pPr>
              <w:spacing w:after="20"/>
              <w:rPr>
                <w:b/>
              </w:rPr>
            </w:pPr>
            <w:r w:rsidRPr="002F17B5">
              <w:rPr>
                <w:b/>
              </w:rPr>
              <w:t>Pooled Investment Vehicles</w:t>
            </w:r>
          </w:p>
        </w:tc>
        <w:tc>
          <w:tcPr>
            <w:tcW w:w="1424" w:type="dxa"/>
            <w:tcBorders>
              <w:top w:val="nil"/>
              <w:left w:val="nil"/>
              <w:bottom w:val="nil"/>
              <w:right w:val="nil"/>
            </w:tcBorders>
          </w:tcPr>
          <w:p w:rsidR="00274914" w:rsidRPr="002F17B5" w:rsidRDefault="00A13302" w:rsidP="004A4CFF">
            <w:pPr>
              <w:spacing w:after="20"/>
              <w:jc w:val="right"/>
              <w:rPr>
                <w:b/>
              </w:rPr>
            </w:pPr>
            <w:r w:rsidRPr="002F17B5">
              <w:rPr>
                <w:b/>
              </w:rPr>
              <w:t>£m</w:t>
            </w: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A13302" w:rsidP="004A4CFF">
            <w:pPr>
              <w:spacing w:after="20"/>
              <w:jc w:val="right"/>
              <w:rPr>
                <w:b/>
              </w:rPr>
            </w:pPr>
            <w:r w:rsidRPr="002F17B5">
              <w:rPr>
                <w:b/>
              </w:rPr>
              <w:t>£m</w:t>
            </w:r>
          </w:p>
        </w:tc>
      </w:tr>
      <w:tr w:rsidR="00274914" w:rsidRPr="002F17B5" w:rsidTr="00274914">
        <w:trPr>
          <w:trHeight w:val="525"/>
        </w:trPr>
        <w:tc>
          <w:tcPr>
            <w:tcW w:w="5227" w:type="dxa"/>
            <w:tcBorders>
              <w:top w:val="nil"/>
              <w:left w:val="nil"/>
              <w:bottom w:val="nil"/>
              <w:right w:val="nil"/>
            </w:tcBorders>
          </w:tcPr>
          <w:p w:rsidR="00274914" w:rsidRPr="002F17B5" w:rsidRDefault="00274914" w:rsidP="004A4CFF">
            <w:pPr>
              <w:spacing w:after="20"/>
              <w:rPr>
                <w:b/>
              </w:rPr>
            </w:pPr>
            <w:r w:rsidRPr="002F17B5">
              <w:rPr>
                <w:b/>
              </w:rPr>
              <w:t>UK Managed Funds:</w:t>
            </w:r>
          </w:p>
          <w:p w:rsidR="00274914" w:rsidRPr="002F17B5" w:rsidRDefault="00274914" w:rsidP="004A4CFF">
            <w:pPr>
              <w:spacing w:after="20"/>
            </w:pPr>
            <w:r w:rsidRPr="002F17B5">
              <w:t>Equity funds</w:t>
            </w:r>
          </w:p>
        </w:tc>
        <w:tc>
          <w:tcPr>
            <w:tcW w:w="1424" w:type="dxa"/>
            <w:tcBorders>
              <w:top w:val="nil"/>
              <w:left w:val="nil"/>
              <w:bottom w:val="nil"/>
              <w:right w:val="nil"/>
            </w:tcBorders>
          </w:tcPr>
          <w:p w:rsidR="00274914" w:rsidRPr="002F17B5" w:rsidRDefault="00274914" w:rsidP="004A4CFF">
            <w:pPr>
              <w:spacing w:after="20"/>
              <w:jc w:val="right"/>
            </w:pPr>
          </w:p>
          <w:p w:rsidR="00274914" w:rsidRPr="002F17B5" w:rsidRDefault="002E1F62" w:rsidP="004A4CFF">
            <w:pPr>
              <w:spacing w:after="20"/>
              <w:jc w:val="right"/>
            </w:pPr>
            <w:r w:rsidRPr="002F17B5">
              <w:t>-</w:t>
            </w: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274914" w:rsidP="004A4CFF">
            <w:pPr>
              <w:spacing w:after="20"/>
              <w:jc w:val="right"/>
            </w:pPr>
          </w:p>
          <w:p w:rsidR="00274914" w:rsidRPr="002F17B5" w:rsidRDefault="00274914" w:rsidP="004A4CFF">
            <w:pPr>
              <w:spacing w:after="20"/>
              <w:jc w:val="right"/>
            </w:pPr>
            <w:r w:rsidRPr="002F17B5">
              <w:t>166.0</w:t>
            </w:r>
          </w:p>
        </w:tc>
      </w:tr>
      <w:tr w:rsidR="00274914" w:rsidRPr="002F17B5" w:rsidTr="00274914">
        <w:trPr>
          <w:trHeight w:val="277"/>
        </w:trPr>
        <w:tc>
          <w:tcPr>
            <w:tcW w:w="5227" w:type="dxa"/>
            <w:tcBorders>
              <w:top w:val="nil"/>
              <w:left w:val="nil"/>
              <w:bottom w:val="nil"/>
              <w:right w:val="nil"/>
            </w:tcBorders>
          </w:tcPr>
          <w:p w:rsidR="00274914" w:rsidRPr="002F17B5" w:rsidRDefault="00274914" w:rsidP="004A4CFF">
            <w:pPr>
              <w:spacing w:after="20"/>
            </w:pPr>
            <w:r w:rsidRPr="002F17B5">
              <w:t>Fixed Income funds</w:t>
            </w:r>
          </w:p>
        </w:tc>
        <w:tc>
          <w:tcPr>
            <w:tcW w:w="1424" w:type="dxa"/>
            <w:tcBorders>
              <w:top w:val="nil"/>
              <w:left w:val="nil"/>
              <w:bottom w:val="nil"/>
              <w:right w:val="nil"/>
            </w:tcBorders>
          </w:tcPr>
          <w:p w:rsidR="00274914" w:rsidRPr="002F17B5" w:rsidRDefault="00274914" w:rsidP="004A4CFF">
            <w:pPr>
              <w:spacing w:after="20"/>
              <w:jc w:val="right"/>
            </w:pPr>
            <w:r w:rsidRPr="002F17B5">
              <w:t>47.0</w:t>
            </w: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2E1F62" w:rsidP="004A4CFF">
            <w:pPr>
              <w:spacing w:after="20"/>
              <w:jc w:val="right"/>
            </w:pPr>
            <w:r w:rsidRPr="002F17B5">
              <w:t>-</w:t>
            </w:r>
          </w:p>
        </w:tc>
      </w:tr>
      <w:tr w:rsidR="00274914" w:rsidRPr="002F17B5" w:rsidTr="00274914">
        <w:trPr>
          <w:trHeight w:val="277"/>
        </w:trPr>
        <w:tc>
          <w:tcPr>
            <w:tcW w:w="5227" w:type="dxa"/>
            <w:tcBorders>
              <w:top w:val="nil"/>
              <w:left w:val="nil"/>
              <w:bottom w:val="nil"/>
              <w:right w:val="nil"/>
            </w:tcBorders>
          </w:tcPr>
          <w:p w:rsidR="00274914" w:rsidRPr="002F17B5" w:rsidRDefault="00274914" w:rsidP="004A4CFF">
            <w:pPr>
              <w:spacing w:after="20"/>
            </w:pPr>
            <w:r w:rsidRPr="002F17B5">
              <w:t>Venture Capital</w:t>
            </w:r>
          </w:p>
        </w:tc>
        <w:tc>
          <w:tcPr>
            <w:tcW w:w="1424" w:type="dxa"/>
            <w:tcBorders>
              <w:top w:val="nil"/>
              <w:left w:val="nil"/>
              <w:bottom w:val="nil"/>
              <w:right w:val="nil"/>
            </w:tcBorders>
          </w:tcPr>
          <w:p w:rsidR="00274914" w:rsidRPr="002F17B5" w:rsidRDefault="00274914" w:rsidP="004A4CFF">
            <w:pPr>
              <w:spacing w:after="20"/>
              <w:jc w:val="right"/>
            </w:pPr>
            <w:r w:rsidRPr="002F17B5">
              <w:t>264.8</w:t>
            </w: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274914" w:rsidP="004A4CFF">
            <w:pPr>
              <w:spacing w:after="20"/>
              <w:jc w:val="right"/>
            </w:pPr>
            <w:r w:rsidRPr="002F17B5">
              <w:t>*218.8</w:t>
            </w:r>
          </w:p>
        </w:tc>
      </w:tr>
      <w:tr w:rsidR="00274914" w:rsidRPr="002F17B5" w:rsidTr="00274914">
        <w:trPr>
          <w:trHeight w:val="277"/>
        </w:trPr>
        <w:tc>
          <w:tcPr>
            <w:tcW w:w="5227" w:type="dxa"/>
            <w:tcBorders>
              <w:top w:val="nil"/>
              <w:left w:val="nil"/>
              <w:bottom w:val="nil"/>
              <w:right w:val="nil"/>
            </w:tcBorders>
          </w:tcPr>
          <w:p w:rsidR="00274914" w:rsidRPr="002F17B5" w:rsidRDefault="00274914" w:rsidP="004A4CFF">
            <w:pPr>
              <w:spacing w:after="20"/>
              <w:rPr>
                <w:b/>
              </w:rPr>
            </w:pPr>
            <w:r w:rsidRPr="002F17B5">
              <w:rPr>
                <w:b/>
              </w:rPr>
              <w:t>Overseas Managed Funds:</w:t>
            </w:r>
          </w:p>
        </w:tc>
        <w:tc>
          <w:tcPr>
            <w:tcW w:w="1424" w:type="dxa"/>
            <w:tcBorders>
              <w:top w:val="nil"/>
              <w:left w:val="nil"/>
              <w:bottom w:val="nil"/>
              <w:right w:val="nil"/>
            </w:tcBorders>
          </w:tcPr>
          <w:p w:rsidR="00274914" w:rsidRPr="002F17B5" w:rsidRDefault="00274914" w:rsidP="004A4CFF">
            <w:pPr>
              <w:spacing w:after="20"/>
              <w:jc w:val="right"/>
            </w:pP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274914" w:rsidP="004A4CFF">
            <w:pPr>
              <w:spacing w:after="20"/>
              <w:jc w:val="right"/>
            </w:pPr>
          </w:p>
        </w:tc>
      </w:tr>
      <w:tr w:rsidR="00274914" w:rsidRPr="002F17B5" w:rsidTr="00274914">
        <w:trPr>
          <w:trHeight w:val="262"/>
        </w:trPr>
        <w:tc>
          <w:tcPr>
            <w:tcW w:w="5227" w:type="dxa"/>
            <w:tcBorders>
              <w:top w:val="nil"/>
              <w:left w:val="nil"/>
              <w:bottom w:val="nil"/>
              <w:right w:val="nil"/>
            </w:tcBorders>
          </w:tcPr>
          <w:p w:rsidR="00274914" w:rsidRPr="002F17B5" w:rsidRDefault="00274914" w:rsidP="004A4CFF">
            <w:pPr>
              <w:spacing w:after="20"/>
            </w:pPr>
            <w:r w:rsidRPr="002F17B5">
              <w:t>Equity Funds</w:t>
            </w:r>
          </w:p>
        </w:tc>
        <w:tc>
          <w:tcPr>
            <w:tcW w:w="1424" w:type="dxa"/>
            <w:tcBorders>
              <w:top w:val="nil"/>
              <w:left w:val="nil"/>
              <w:bottom w:val="nil"/>
              <w:right w:val="nil"/>
            </w:tcBorders>
          </w:tcPr>
          <w:p w:rsidR="00274914" w:rsidRPr="002F17B5" w:rsidRDefault="00274914" w:rsidP="004A4CFF">
            <w:pPr>
              <w:spacing w:after="20"/>
              <w:jc w:val="right"/>
            </w:pPr>
            <w:r w:rsidRPr="002F17B5">
              <w:t>644.1</w:t>
            </w: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274914" w:rsidP="004A4CFF">
            <w:pPr>
              <w:spacing w:after="20"/>
              <w:jc w:val="right"/>
            </w:pPr>
            <w:r w:rsidRPr="002F17B5">
              <w:t>632.2</w:t>
            </w:r>
          </w:p>
        </w:tc>
      </w:tr>
      <w:tr w:rsidR="00274914" w:rsidRPr="002F17B5" w:rsidTr="00274914">
        <w:trPr>
          <w:trHeight w:val="277"/>
        </w:trPr>
        <w:tc>
          <w:tcPr>
            <w:tcW w:w="5227" w:type="dxa"/>
            <w:tcBorders>
              <w:top w:val="nil"/>
              <w:left w:val="nil"/>
              <w:bottom w:val="nil"/>
              <w:right w:val="nil"/>
            </w:tcBorders>
          </w:tcPr>
          <w:p w:rsidR="00274914" w:rsidRPr="002F17B5" w:rsidRDefault="00274914" w:rsidP="004A4CFF">
            <w:pPr>
              <w:spacing w:after="20"/>
            </w:pPr>
            <w:r w:rsidRPr="002F17B5">
              <w:t>Fixed Income funds</w:t>
            </w:r>
          </w:p>
        </w:tc>
        <w:tc>
          <w:tcPr>
            <w:tcW w:w="1424" w:type="dxa"/>
            <w:tcBorders>
              <w:top w:val="nil"/>
              <w:left w:val="nil"/>
              <w:bottom w:val="nil"/>
              <w:right w:val="nil"/>
            </w:tcBorders>
          </w:tcPr>
          <w:p w:rsidR="00274914" w:rsidRPr="002F17B5" w:rsidRDefault="00274914" w:rsidP="004A4CFF">
            <w:pPr>
              <w:spacing w:after="20"/>
              <w:jc w:val="right"/>
            </w:pPr>
            <w:r w:rsidRPr="002F17B5">
              <w:t>970.3</w:t>
            </w: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274914" w:rsidP="004A4CFF">
            <w:pPr>
              <w:spacing w:after="20"/>
              <w:jc w:val="right"/>
            </w:pPr>
            <w:r w:rsidRPr="002F17B5">
              <w:t>*412.0</w:t>
            </w:r>
          </w:p>
        </w:tc>
      </w:tr>
      <w:tr w:rsidR="00274914" w:rsidRPr="002F17B5" w:rsidTr="00274914">
        <w:trPr>
          <w:trHeight w:val="277"/>
        </w:trPr>
        <w:tc>
          <w:tcPr>
            <w:tcW w:w="5227" w:type="dxa"/>
            <w:tcBorders>
              <w:top w:val="nil"/>
              <w:left w:val="nil"/>
              <w:bottom w:val="nil"/>
              <w:right w:val="nil"/>
            </w:tcBorders>
          </w:tcPr>
          <w:p w:rsidR="00274914" w:rsidRPr="002F17B5" w:rsidRDefault="00274914" w:rsidP="004A4CFF">
            <w:pPr>
              <w:spacing w:after="20"/>
            </w:pPr>
            <w:r w:rsidRPr="002F17B5">
              <w:t>Property funds</w:t>
            </w:r>
          </w:p>
        </w:tc>
        <w:tc>
          <w:tcPr>
            <w:tcW w:w="1424" w:type="dxa"/>
            <w:tcBorders>
              <w:top w:val="nil"/>
              <w:left w:val="nil"/>
              <w:bottom w:val="nil"/>
              <w:right w:val="nil"/>
            </w:tcBorders>
          </w:tcPr>
          <w:p w:rsidR="00274914" w:rsidRPr="002F17B5" w:rsidRDefault="00274914" w:rsidP="004A4CFF">
            <w:pPr>
              <w:spacing w:after="20"/>
              <w:jc w:val="right"/>
            </w:pPr>
            <w:r w:rsidRPr="002F17B5">
              <w:t>25.1</w:t>
            </w: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274914" w:rsidP="004A4CFF">
            <w:pPr>
              <w:spacing w:after="20"/>
              <w:jc w:val="right"/>
            </w:pPr>
            <w:r w:rsidRPr="002F17B5">
              <w:t>7.5</w:t>
            </w:r>
          </w:p>
        </w:tc>
      </w:tr>
      <w:tr w:rsidR="00274914" w:rsidRPr="002F17B5" w:rsidTr="00274914">
        <w:trPr>
          <w:trHeight w:val="277"/>
        </w:trPr>
        <w:tc>
          <w:tcPr>
            <w:tcW w:w="5227" w:type="dxa"/>
            <w:tcBorders>
              <w:top w:val="nil"/>
              <w:left w:val="nil"/>
              <w:bottom w:val="nil"/>
              <w:right w:val="nil"/>
            </w:tcBorders>
          </w:tcPr>
          <w:p w:rsidR="00274914" w:rsidRPr="002F17B5" w:rsidRDefault="00274914" w:rsidP="004A4CFF">
            <w:pPr>
              <w:spacing w:after="20"/>
            </w:pPr>
            <w:r w:rsidRPr="002F17B5">
              <w:t>Venture Capital</w:t>
            </w:r>
          </w:p>
        </w:tc>
        <w:tc>
          <w:tcPr>
            <w:tcW w:w="1424" w:type="dxa"/>
            <w:tcBorders>
              <w:top w:val="nil"/>
              <w:left w:val="nil"/>
              <w:bottom w:val="nil"/>
              <w:right w:val="nil"/>
            </w:tcBorders>
          </w:tcPr>
          <w:p w:rsidR="00274914" w:rsidRPr="002F17B5" w:rsidRDefault="00274914" w:rsidP="004A4CFF">
            <w:pPr>
              <w:spacing w:after="20"/>
              <w:jc w:val="right"/>
            </w:pPr>
            <w:r w:rsidRPr="002F17B5">
              <w:t>287.6</w:t>
            </w:r>
          </w:p>
        </w:tc>
        <w:tc>
          <w:tcPr>
            <w:tcW w:w="432" w:type="dxa"/>
            <w:tcBorders>
              <w:top w:val="nil"/>
              <w:left w:val="nil"/>
              <w:bottom w:val="nil"/>
              <w:right w:val="nil"/>
            </w:tcBorders>
          </w:tcPr>
          <w:p w:rsidR="00274914" w:rsidRPr="002F17B5" w:rsidRDefault="00274914" w:rsidP="004A4CFF">
            <w:pPr>
              <w:spacing w:after="20"/>
              <w:jc w:val="right"/>
            </w:pPr>
          </w:p>
        </w:tc>
        <w:tc>
          <w:tcPr>
            <w:tcW w:w="1705" w:type="dxa"/>
            <w:tcBorders>
              <w:top w:val="nil"/>
              <w:left w:val="nil"/>
              <w:bottom w:val="nil"/>
              <w:right w:val="nil"/>
            </w:tcBorders>
          </w:tcPr>
          <w:p w:rsidR="00274914" w:rsidRPr="002F17B5" w:rsidRDefault="00274914" w:rsidP="004A4CFF">
            <w:pPr>
              <w:spacing w:after="20"/>
              <w:jc w:val="right"/>
            </w:pPr>
            <w:r w:rsidRPr="002F17B5">
              <w:t>164.7</w:t>
            </w:r>
          </w:p>
        </w:tc>
      </w:tr>
      <w:tr w:rsidR="00274914" w:rsidRPr="002F17B5" w:rsidTr="00274914">
        <w:trPr>
          <w:trHeight w:val="262"/>
        </w:trPr>
        <w:tc>
          <w:tcPr>
            <w:tcW w:w="5227" w:type="dxa"/>
            <w:tcBorders>
              <w:top w:val="nil"/>
              <w:left w:val="nil"/>
              <w:bottom w:val="nil"/>
              <w:right w:val="nil"/>
            </w:tcBorders>
          </w:tcPr>
          <w:p w:rsidR="00274914" w:rsidRPr="002F17B5" w:rsidRDefault="00274914" w:rsidP="004A4CFF">
            <w:pPr>
              <w:spacing w:after="20"/>
            </w:pPr>
          </w:p>
        </w:tc>
        <w:tc>
          <w:tcPr>
            <w:tcW w:w="1424" w:type="dxa"/>
            <w:tcBorders>
              <w:top w:val="single" w:sz="12" w:space="0" w:color="auto"/>
              <w:left w:val="nil"/>
              <w:bottom w:val="single" w:sz="12" w:space="0" w:color="auto"/>
              <w:right w:val="nil"/>
            </w:tcBorders>
          </w:tcPr>
          <w:p w:rsidR="00274914" w:rsidRPr="002F17B5" w:rsidRDefault="00274914" w:rsidP="004A4CFF">
            <w:pPr>
              <w:spacing w:after="20"/>
              <w:jc w:val="right"/>
              <w:rPr>
                <w:b/>
              </w:rPr>
            </w:pPr>
            <w:r w:rsidRPr="002F17B5">
              <w:rPr>
                <w:b/>
              </w:rPr>
              <w:t>2,238.9</w:t>
            </w:r>
          </w:p>
        </w:tc>
        <w:tc>
          <w:tcPr>
            <w:tcW w:w="432" w:type="dxa"/>
            <w:tcBorders>
              <w:top w:val="nil"/>
              <w:left w:val="nil"/>
              <w:bottom w:val="nil"/>
              <w:right w:val="nil"/>
            </w:tcBorders>
          </w:tcPr>
          <w:p w:rsidR="00274914" w:rsidRPr="002F17B5" w:rsidRDefault="00274914" w:rsidP="004A4CFF">
            <w:pPr>
              <w:spacing w:after="20"/>
              <w:jc w:val="right"/>
              <w:rPr>
                <w:b/>
              </w:rPr>
            </w:pPr>
          </w:p>
        </w:tc>
        <w:tc>
          <w:tcPr>
            <w:tcW w:w="1705" w:type="dxa"/>
            <w:tcBorders>
              <w:top w:val="single" w:sz="12" w:space="0" w:color="auto"/>
              <w:left w:val="nil"/>
              <w:bottom w:val="single" w:sz="12" w:space="0" w:color="auto"/>
              <w:right w:val="nil"/>
            </w:tcBorders>
          </w:tcPr>
          <w:p w:rsidR="00274914" w:rsidRPr="002F17B5" w:rsidRDefault="00274914" w:rsidP="004A4CFF">
            <w:pPr>
              <w:spacing w:after="20"/>
              <w:jc w:val="right"/>
              <w:rPr>
                <w:b/>
              </w:rPr>
            </w:pPr>
            <w:r w:rsidRPr="002F17B5">
              <w:rPr>
                <w:b/>
              </w:rPr>
              <w:t>1,601.2</w:t>
            </w:r>
          </w:p>
        </w:tc>
      </w:tr>
      <w:tr w:rsidR="004A4CFF" w:rsidRPr="002F17B5" w:rsidTr="004A4CFF">
        <w:trPr>
          <w:trHeight w:val="374"/>
        </w:trPr>
        <w:tc>
          <w:tcPr>
            <w:tcW w:w="8788" w:type="dxa"/>
            <w:gridSpan w:val="4"/>
            <w:tcBorders>
              <w:top w:val="nil"/>
              <w:left w:val="nil"/>
              <w:bottom w:val="nil"/>
              <w:right w:val="nil"/>
            </w:tcBorders>
          </w:tcPr>
          <w:p w:rsidR="004A4CFF" w:rsidRPr="002F17B5" w:rsidRDefault="004A4CFF" w:rsidP="004A4CFF">
            <w:pPr>
              <w:spacing w:after="20"/>
              <w:ind w:left="-57"/>
              <w:rPr>
                <w:sz w:val="22"/>
              </w:rPr>
            </w:pPr>
          </w:p>
          <w:p w:rsidR="004A4CFF" w:rsidRPr="002F17B5" w:rsidRDefault="004A4CFF" w:rsidP="004A4CFF">
            <w:pPr>
              <w:spacing w:after="20"/>
              <w:ind w:left="-57"/>
              <w:rPr>
                <w:sz w:val="22"/>
              </w:rPr>
            </w:pPr>
            <w:r w:rsidRPr="002F17B5">
              <w:rPr>
                <w:sz w:val="22"/>
              </w:rPr>
              <w:t>*</w:t>
            </w:r>
            <w:r w:rsidRPr="002F17B5" w:rsidDel="00075537">
              <w:rPr>
                <w:sz w:val="22"/>
              </w:rPr>
              <w:t xml:space="preserve"> </w:t>
            </w:r>
            <w:r w:rsidR="0007123B">
              <w:rPr>
                <w:sz w:val="22"/>
              </w:rPr>
              <w:t xml:space="preserve">The custodian has provided the statutory notes for the accounts, this change has led to a review of the </w:t>
            </w:r>
            <w:r w:rsidR="00A85B2E">
              <w:rPr>
                <w:sz w:val="22"/>
              </w:rPr>
              <w:t xml:space="preserve">prior </w:t>
            </w:r>
            <w:r w:rsidR="00A85B2E" w:rsidRPr="002F17B5">
              <w:rPr>
                <w:sz w:val="22"/>
              </w:rPr>
              <w:t>disclosure</w:t>
            </w:r>
            <w:r w:rsidRPr="002F17B5">
              <w:rPr>
                <w:sz w:val="22"/>
              </w:rPr>
              <w:t xml:space="preserve"> </w:t>
            </w:r>
            <w:r w:rsidR="0007123B" w:rsidRPr="002F17B5">
              <w:rPr>
                <w:sz w:val="22"/>
              </w:rPr>
              <w:t>catego</w:t>
            </w:r>
            <w:r w:rsidR="0007123B">
              <w:rPr>
                <w:sz w:val="22"/>
              </w:rPr>
              <w:t>ries and some assets being reclassified and restate</w:t>
            </w:r>
            <w:r w:rsidR="00AC0229">
              <w:rPr>
                <w:sz w:val="22"/>
              </w:rPr>
              <w:t>d</w:t>
            </w:r>
            <w:r w:rsidR="0007123B">
              <w:rPr>
                <w:sz w:val="22"/>
              </w:rPr>
              <w:t>.</w:t>
            </w:r>
          </w:p>
          <w:p w:rsidR="004A4CFF" w:rsidRPr="002F17B5" w:rsidRDefault="004A4CFF" w:rsidP="004A4CFF">
            <w:pPr>
              <w:spacing w:after="20"/>
              <w:jc w:val="right"/>
              <w:rPr>
                <w:sz w:val="22"/>
              </w:rPr>
            </w:pPr>
          </w:p>
        </w:tc>
      </w:tr>
    </w:tbl>
    <w:p w:rsidR="00274914" w:rsidRPr="002F17B5" w:rsidRDefault="00274914" w:rsidP="004A4CFF">
      <w:pPr>
        <w:spacing w:after="20"/>
        <w:ind w:left="720"/>
        <w:rPr>
          <w:sz w:val="22"/>
        </w:rPr>
      </w:pPr>
      <w:r w:rsidRPr="002F17B5">
        <w:rPr>
          <w:sz w:val="22"/>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4A4CFF">
            <w:pPr>
              <w:spacing w:after="40"/>
              <w:rPr>
                <w:b/>
              </w:rPr>
            </w:pPr>
          </w:p>
        </w:tc>
        <w:tc>
          <w:tcPr>
            <w:tcW w:w="1559" w:type="dxa"/>
          </w:tcPr>
          <w:p w:rsidR="00274914" w:rsidRPr="002F17B5" w:rsidRDefault="00A13302" w:rsidP="004A4CFF">
            <w:pPr>
              <w:spacing w:after="40"/>
              <w:jc w:val="right"/>
              <w:rPr>
                <w:b/>
              </w:rPr>
            </w:pPr>
            <w:r w:rsidRPr="002F17B5">
              <w:rPr>
                <w:b/>
              </w:rPr>
              <w:t>31/03/14</w:t>
            </w:r>
          </w:p>
          <w:p w:rsidR="00274914" w:rsidRPr="002F17B5" w:rsidRDefault="00274914" w:rsidP="004A4CFF">
            <w:pPr>
              <w:spacing w:after="40"/>
              <w:jc w:val="right"/>
              <w:rPr>
                <w:b/>
              </w:rPr>
            </w:pPr>
            <w:r w:rsidRPr="002F17B5">
              <w:rPr>
                <w:b/>
              </w:rPr>
              <w:t>£m</w:t>
            </w:r>
          </w:p>
        </w:tc>
        <w:tc>
          <w:tcPr>
            <w:tcW w:w="430" w:type="dxa"/>
            <w:tcBorders>
              <w:right w:val="single" w:sz="4" w:space="0" w:color="FFFFFF" w:themeColor="background1"/>
            </w:tcBorders>
          </w:tcPr>
          <w:p w:rsidR="00274914" w:rsidRPr="002F17B5" w:rsidRDefault="00274914" w:rsidP="004A4CFF">
            <w:pPr>
              <w:spacing w:after="40"/>
              <w:jc w:val="right"/>
              <w:rPr>
                <w:b/>
              </w:rPr>
            </w:pPr>
          </w:p>
          <w:p w:rsidR="00274914" w:rsidRPr="002F17B5" w:rsidRDefault="00274914" w:rsidP="004A4CFF">
            <w:pPr>
              <w:spacing w:after="40"/>
              <w:jc w:val="right"/>
              <w:rPr>
                <w:b/>
              </w:rPr>
            </w:pPr>
          </w:p>
        </w:tc>
        <w:tc>
          <w:tcPr>
            <w:tcW w:w="1696" w:type="dxa"/>
            <w:tcBorders>
              <w:left w:val="single" w:sz="4" w:space="0" w:color="FFFFFF" w:themeColor="background1"/>
            </w:tcBorders>
          </w:tcPr>
          <w:p w:rsidR="00274914" w:rsidRPr="002F17B5" w:rsidRDefault="00A13302" w:rsidP="004A4CFF">
            <w:pPr>
              <w:spacing w:after="40"/>
              <w:jc w:val="right"/>
              <w:rPr>
                <w:b/>
              </w:rPr>
            </w:pPr>
            <w:r w:rsidRPr="002F17B5">
              <w:rPr>
                <w:b/>
              </w:rPr>
              <w:t>31/03</w:t>
            </w:r>
            <w:r w:rsidR="00274914" w:rsidRPr="002F17B5">
              <w:rPr>
                <w:b/>
              </w:rPr>
              <w:t>/13</w:t>
            </w:r>
          </w:p>
          <w:p w:rsidR="00274914" w:rsidRPr="002F17B5" w:rsidRDefault="00274914" w:rsidP="004A4CFF">
            <w:pPr>
              <w:spacing w:after="40"/>
              <w:jc w:val="right"/>
              <w:rPr>
                <w:b/>
              </w:rPr>
            </w:pPr>
            <w:r w:rsidRPr="002F17B5">
              <w:rPr>
                <w:b/>
              </w:rPr>
              <w:t>£m</w:t>
            </w:r>
          </w:p>
        </w:tc>
      </w:tr>
      <w:tr w:rsidR="00274914" w:rsidRPr="002F17B5" w:rsidTr="00274914">
        <w:tc>
          <w:tcPr>
            <w:tcW w:w="5058" w:type="dxa"/>
          </w:tcPr>
          <w:p w:rsidR="00274914" w:rsidRPr="002F17B5" w:rsidRDefault="00274914" w:rsidP="004A4CFF">
            <w:pPr>
              <w:spacing w:after="40"/>
              <w:rPr>
                <w:b/>
              </w:rPr>
            </w:pPr>
            <w:r w:rsidRPr="002F17B5">
              <w:rPr>
                <w:b/>
              </w:rPr>
              <w:t>Properties</w:t>
            </w:r>
          </w:p>
        </w:tc>
        <w:tc>
          <w:tcPr>
            <w:tcW w:w="1559" w:type="dxa"/>
          </w:tcPr>
          <w:p w:rsidR="00274914" w:rsidRPr="002F17B5" w:rsidRDefault="00274914" w:rsidP="004A4CFF">
            <w:pPr>
              <w:spacing w:after="40"/>
              <w:jc w:val="right"/>
            </w:pP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left w:val="single" w:sz="4" w:space="0" w:color="FFFFFF" w:themeColor="background1"/>
            </w:tcBorders>
          </w:tcPr>
          <w:p w:rsidR="00274914" w:rsidRPr="002F17B5" w:rsidRDefault="00274914" w:rsidP="004A4CFF">
            <w:pPr>
              <w:spacing w:after="40"/>
              <w:jc w:val="right"/>
            </w:pPr>
          </w:p>
        </w:tc>
      </w:tr>
      <w:tr w:rsidR="00274914" w:rsidRPr="002F17B5" w:rsidTr="00274914">
        <w:tc>
          <w:tcPr>
            <w:tcW w:w="5058" w:type="dxa"/>
          </w:tcPr>
          <w:p w:rsidR="00274914" w:rsidRPr="002F17B5" w:rsidRDefault="00274914" w:rsidP="004A4CFF">
            <w:pPr>
              <w:spacing w:after="40"/>
            </w:pPr>
            <w:r w:rsidRPr="002F17B5">
              <w:t>UK – Freehold</w:t>
            </w:r>
          </w:p>
        </w:tc>
        <w:tc>
          <w:tcPr>
            <w:tcW w:w="1559" w:type="dxa"/>
          </w:tcPr>
          <w:p w:rsidR="00274914" w:rsidRPr="002F17B5" w:rsidRDefault="00274914" w:rsidP="004A4CFF">
            <w:pPr>
              <w:spacing w:after="40"/>
              <w:jc w:val="right"/>
            </w:pPr>
            <w:r w:rsidRPr="002F17B5">
              <w:t>389.8</w:t>
            </w: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left w:val="single" w:sz="4" w:space="0" w:color="FFFFFF" w:themeColor="background1"/>
            </w:tcBorders>
          </w:tcPr>
          <w:p w:rsidR="00274914" w:rsidRPr="002F17B5" w:rsidRDefault="00274914" w:rsidP="004A4CFF">
            <w:pPr>
              <w:spacing w:after="40"/>
              <w:jc w:val="right"/>
            </w:pPr>
            <w:r w:rsidRPr="002F17B5">
              <w:t>346.4</w:t>
            </w:r>
          </w:p>
        </w:tc>
      </w:tr>
      <w:tr w:rsidR="00274914" w:rsidRPr="002F17B5" w:rsidTr="00274914">
        <w:tc>
          <w:tcPr>
            <w:tcW w:w="5058" w:type="dxa"/>
          </w:tcPr>
          <w:p w:rsidR="00274914" w:rsidRPr="002F17B5" w:rsidRDefault="00274914" w:rsidP="004A4CFF">
            <w:pPr>
              <w:spacing w:after="40"/>
            </w:pPr>
            <w:r w:rsidRPr="002F17B5">
              <w:t>UK – Long Leasehold</w:t>
            </w:r>
          </w:p>
        </w:tc>
        <w:tc>
          <w:tcPr>
            <w:tcW w:w="1559" w:type="dxa"/>
            <w:tcBorders>
              <w:bottom w:val="single" w:sz="18" w:space="0" w:color="auto"/>
            </w:tcBorders>
          </w:tcPr>
          <w:p w:rsidR="00274914" w:rsidRPr="002F17B5" w:rsidRDefault="00274914" w:rsidP="004A4CFF">
            <w:pPr>
              <w:spacing w:after="40"/>
              <w:jc w:val="right"/>
            </w:pPr>
            <w:r w:rsidRPr="002F17B5">
              <w:t>60.7</w:t>
            </w: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left w:val="single" w:sz="4" w:space="0" w:color="FFFFFF" w:themeColor="background1"/>
              <w:bottom w:val="single" w:sz="18" w:space="0" w:color="auto"/>
            </w:tcBorders>
          </w:tcPr>
          <w:p w:rsidR="00274914" w:rsidRPr="002F17B5" w:rsidRDefault="00274914" w:rsidP="004A4CFF">
            <w:pPr>
              <w:spacing w:after="40"/>
              <w:jc w:val="right"/>
            </w:pPr>
            <w:r w:rsidRPr="002F17B5">
              <w:t>88.5</w:t>
            </w:r>
          </w:p>
        </w:tc>
      </w:tr>
      <w:tr w:rsidR="00274914" w:rsidRPr="002F17B5" w:rsidTr="00274914">
        <w:tc>
          <w:tcPr>
            <w:tcW w:w="5058" w:type="dxa"/>
          </w:tcPr>
          <w:p w:rsidR="00274914" w:rsidRPr="002F17B5" w:rsidRDefault="00274914" w:rsidP="004A4CFF">
            <w:pPr>
              <w:spacing w:after="40"/>
            </w:pPr>
          </w:p>
        </w:tc>
        <w:tc>
          <w:tcPr>
            <w:tcW w:w="1559" w:type="dxa"/>
            <w:tcBorders>
              <w:top w:val="single" w:sz="18" w:space="0" w:color="auto"/>
              <w:bottom w:val="single" w:sz="18" w:space="0" w:color="auto"/>
            </w:tcBorders>
          </w:tcPr>
          <w:p w:rsidR="00274914" w:rsidRPr="002F17B5" w:rsidRDefault="00274914" w:rsidP="004A4CFF">
            <w:pPr>
              <w:spacing w:after="40"/>
              <w:jc w:val="right"/>
            </w:pPr>
            <w:r w:rsidRPr="002F17B5">
              <w:t>450.5</w:t>
            </w: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4A4CFF">
            <w:pPr>
              <w:spacing w:after="40"/>
              <w:jc w:val="right"/>
            </w:pPr>
            <w:r w:rsidRPr="002F17B5">
              <w:t>434.9</w:t>
            </w:r>
          </w:p>
        </w:tc>
      </w:tr>
    </w:tbl>
    <w:p w:rsidR="00274914" w:rsidRPr="002F17B5" w:rsidRDefault="00274914" w:rsidP="004A4CFF">
      <w:pPr>
        <w:spacing w:after="40"/>
      </w:pPr>
    </w:p>
    <w:p w:rsidR="00274914" w:rsidRPr="006977BB" w:rsidRDefault="00274914" w:rsidP="004A4CFF">
      <w:pPr>
        <w:spacing w:after="40"/>
        <w:rPr>
          <w:sz w:val="1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4A4CFF">
            <w:pPr>
              <w:spacing w:after="40"/>
              <w:rPr>
                <w:b/>
              </w:rPr>
            </w:pPr>
          </w:p>
        </w:tc>
        <w:tc>
          <w:tcPr>
            <w:tcW w:w="1559" w:type="dxa"/>
          </w:tcPr>
          <w:p w:rsidR="00274914" w:rsidRPr="002F17B5" w:rsidRDefault="00274914" w:rsidP="004A4CFF">
            <w:pPr>
              <w:spacing w:after="40"/>
              <w:jc w:val="right"/>
              <w:rPr>
                <w:b/>
              </w:rPr>
            </w:pPr>
            <w:r w:rsidRPr="002F17B5">
              <w:rPr>
                <w:b/>
              </w:rPr>
              <w:t>2013/14</w:t>
            </w:r>
          </w:p>
          <w:p w:rsidR="00274914" w:rsidRPr="002F17B5" w:rsidRDefault="00274914" w:rsidP="004A4CFF">
            <w:pPr>
              <w:spacing w:after="40"/>
              <w:jc w:val="right"/>
              <w:rPr>
                <w:b/>
              </w:rPr>
            </w:pPr>
            <w:r w:rsidRPr="002F17B5">
              <w:rPr>
                <w:b/>
              </w:rPr>
              <w:t>£m</w:t>
            </w:r>
          </w:p>
        </w:tc>
        <w:tc>
          <w:tcPr>
            <w:tcW w:w="430" w:type="dxa"/>
            <w:tcBorders>
              <w:right w:val="single" w:sz="4" w:space="0" w:color="FFFFFF" w:themeColor="background1"/>
            </w:tcBorders>
          </w:tcPr>
          <w:p w:rsidR="00274914" w:rsidRPr="002F17B5" w:rsidRDefault="00274914" w:rsidP="004A4CFF">
            <w:pPr>
              <w:spacing w:after="40"/>
              <w:jc w:val="right"/>
              <w:rPr>
                <w:b/>
              </w:rPr>
            </w:pPr>
          </w:p>
          <w:p w:rsidR="00274914" w:rsidRPr="002F17B5" w:rsidRDefault="00274914" w:rsidP="004A4CFF">
            <w:pPr>
              <w:spacing w:after="40"/>
              <w:jc w:val="right"/>
              <w:rPr>
                <w:b/>
              </w:rPr>
            </w:pPr>
          </w:p>
        </w:tc>
        <w:tc>
          <w:tcPr>
            <w:tcW w:w="1696" w:type="dxa"/>
            <w:tcBorders>
              <w:left w:val="single" w:sz="4" w:space="0" w:color="FFFFFF" w:themeColor="background1"/>
            </w:tcBorders>
          </w:tcPr>
          <w:p w:rsidR="00274914" w:rsidRPr="002F17B5" w:rsidRDefault="00274914" w:rsidP="004A4CFF">
            <w:pPr>
              <w:spacing w:after="40"/>
              <w:jc w:val="right"/>
              <w:rPr>
                <w:b/>
              </w:rPr>
            </w:pPr>
            <w:r w:rsidRPr="002F17B5">
              <w:rPr>
                <w:b/>
              </w:rPr>
              <w:t>2012/13</w:t>
            </w:r>
          </w:p>
          <w:p w:rsidR="00274914" w:rsidRPr="002F17B5" w:rsidRDefault="00274914" w:rsidP="004A4CFF">
            <w:pPr>
              <w:spacing w:after="40"/>
              <w:jc w:val="right"/>
              <w:rPr>
                <w:b/>
              </w:rPr>
            </w:pPr>
            <w:r w:rsidRPr="002F17B5">
              <w:rPr>
                <w:b/>
              </w:rPr>
              <w:t>£m</w:t>
            </w:r>
          </w:p>
        </w:tc>
      </w:tr>
      <w:tr w:rsidR="00274914" w:rsidRPr="002F17B5" w:rsidTr="00274914">
        <w:tc>
          <w:tcPr>
            <w:tcW w:w="5058" w:type="dxa"/>
          </w:tcPr>
          <w:p w:rsidR="00274914" w:rsidRPr="002F17B5" w:rsidRDefault="00274914" w:rsidP="004A4CFF">
            <w:pPr>
              <w:spacing w:after="40"/>
            </w:pPr>
            <w:r w:rsidRPr="002F17B5">
              <w:t>Balance at start of the year</w:t>
            </w:r>
          </w:p>
        </w:tc>
        <w:tc>
          <w:tcPr>
            <w:tcW w:w="1559" w:type="dxa"/>
          </w:tcPr>
          <w:p w:rsidR="00274914" w:rsidRPr="002F17B5" w:rsidRDefault="00274914" w:rsidP="004A4CFF">
            <w:pPr>
              <w:spacing w:after="40"/>
              <w:jc w:val="right"/>
            </w:pPr>
            <w:r w:rsidRPr="002F17B5">
              <w:t>434.9</w:t>
            </w: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left w:val="single" w:sz="4" w:space="0" w:color="FFFFFF" w:themeColor="background1"/>
            </w:tcBorders>
          </w:tcPr>
          <w:p w:rsidR="00274914" w:rsidRPr="002F17B5" w:rsidRDefault="00274914" w:rsidP="004A4CFF">
            <w:pPr>
              <w:spacing w:after="40"/>
              <w:jc w:val="right"/>
            </w:pPr>
            <w:r w:rsidRPr="002F17B5">
              <w:t>383.9</w:t>
            </w:r>
          </w:p>
        </w:tc>
      </w:tr>
      <w:tr w:rsidR="00274914" w:rsidRPr="002F17B5" w:rsidTr="00274914">
        <w:tc>
          <w:tcPr>
            <w:tcW w:w="5058" w:type="dxa"/>
          </w:tcPr>
          <w:p w:rsidR="00274914" w:rsidRPr="002F17B5" w:rsidRDefault="00274914" w:rsidP="004A4CFF">
            <w:pPr>
              <w:spacing w:after="40"/>
            </w:pPr>
            <w:r w:rsidRPr="002F17B5">
              <w:t>Additions</w:t>
            </w:r>
          </w:p>
        </w:tc>
        <w:tc>
          <w:tcPr>
            <w:tcW w:w="1559" w:type="dxa"/>
          </w:tcPr>
          <w:p w:rsidR="00274914" w:rsidRPr="002F17B5" w:rsidRDefault="00274914" w:rsidP="004A4CFF">
            <w:pPr>
              <w:spacing w:after="40"/>
              <w:jc w:val="right"/>
            </w:pPr>
            <w:r w:rsidRPr="002F17B5">
              <w:t>15.0</w:t>
            </w: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left w:val="single" w:sz="4" w:space="0" w:color="FFFFFF" w:themeColor="background1"/>
            </w:tcBorders>
          </w:tcPr>
          <w:p w:rsidR="00274914" w:rsidRPr="002F17B5" w:rsidRDefault="00274914" w:rsidP="004A4CFF">
            <w:pPr>
              <w:spacing w:after="40"/>
              <w:jc w:val="right"/>
            </w:pPr>
            <w:r w:rsidRPr="002F17B5">
              <w:t>72.1</w:t>
            </w:r>
          </w:p>
        </w:tc>
      </w:tr>
      <w:tr w:rsidR="00274914" w:rsidRPr="002F17B5" w:rsidTr="00274914">
        <w:tc>
          <w:tcPr>
            <w:tcW w:w="5058" w:type="dxa"/>
          </w:tcPr>
          <w:p w:rsidR="00274914" w:rsidRPr="002F17B5" w:rsidRDefault="00274914" w:rsidP="004A4CFF">
            <w:pPr>
              <w:spacing w:after="40"/>
            </w:pPr>
            <w:r w:rsidRPr="002F17B5">
              <w:t>Disposals</w:t>
            </w:r>
          </w:p>
        </w:tc>
        <w:tc>
          <w:tcPr>
            <w:tcW w:w="1559" w:type="dxa"/>
          </w:tcPr>
          <w:p w:rsidR="00274914" w:rsidRPr="002F17B5" w:rsidRDefault="00274914" w:rsidP="004A4CFF">
            <w:pPr>
              <w:spacing w:after="40"/>
              <w:jc w:val="right"/>
            </w:pPr>
            <w:r w:rsidRPr="002F17B5">
              <w:t>(43.3)</w:t>
            </w: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left w:val="single" w:sz="4" w:space="0" w:color="FFFFFF" w:themeColor="background1"/>
            </w:tcBorders>
          </w:tcPr>
          <w:p w:rsidR="00274914" w:rsidRPr="002F17B5" w:rsidRDefault="00274914" w:rsidP="004A4CFF">
            <w:pPr>
              <w:spacing w:after="40"/>
              <w:jc w:val="right"/>
            </w:pPr>
            <w:r w:rsidRPr="002F17B5">
              <w:t>(5.3)</w:t>
            </w:r>
          </w:p>
        </w:tc>
      </w:tr>
      <w:tr w:rsidR="00274914" w:rsidRPr="002F17B5" w:rsidTr="00274914">
        <w:tc>
          <w:tcPr>
            <w:tcW w:w="5058" w:type="dxa"/>
          </w:tcPr>
          <w:p w:rsidR="00274914" w:rsidRPr="002F17B5" w:rsidRDefault="00274914" w:rsidP="004A4CFF">
            <w:pPr>
              <w:spacing w:after="40"/>
            </w:pPr>
            <w:r w:rsidRPr="002F17B5">
              <w:t>Net gain/loss on fair value</w:t>
            </w:r>
          </w:p>
        </w:tc>
        <w:tc>
          <w:tcPr>
            <w:tcW w:w="1559" w:type="dxa"/>
          </w:tcPr>
          <w:p w:rsidR="00274914" w:rsidRPr="002F17B5" w:rsidRDefault="00274914" w:rsidP="004A4CFF">
            <w:pPr>
              <w:spacing w:after="40"/>
              <w:jc w:val="right"/>
            </w:pPr>
            <w:r w:rsidRPr="002F17B5">
              <w:t>43.9</w:t>
            </w: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left w:val="single" w:sz="4" w:space="0" w:color="FFFFFF" w:themeColor="background1"/>
            </w:tcBorders>
          </w:tcPr>
          <w:p w:rsidR="00274914" w:rsidRPr="002F17B5" w:rsidRDefault="00274914" w:rsidP="004A4CFF">
            <w:pPr>
              <w:spacing w:after="40"/>
              <w:jc w:val="right"/>
            </w:pPr>
            <w:r w:rsidRPr="002F17B5">
              <w:t>(15.8)</w:t>
            </w:r>
          </w:p>
        </w:tc>
      </w:tr>
      <w:tr w:rsidR="00274914" w:rsidRPr="002F17B5" w:rsidTr="00274914">
        <w:tc>
          <w:tcPr>
            <w:tcW w:w="5058" w:type="dxa"/>
          </w:tcPr>
          <w:p w:rsidR="00274914" w:rsidRPr="002F17B5" w:rsidRDefault="00274914" w:rsidP="004A4CFF">
            <w:pPr>
              <w:spacing w:after="40"/>
            </w:pPr>
            <w:r w:rsidRPr="002F17B5">
              <w:t>Balance at the end of the year</w:t>
            </w:r>
          </w:p>
        </w:tc>
        <w:tc>
          <w:tcPr>
            <w:tcW w:w="1559" w:type="dxa"/>
            <w:tcBorders>
              <w:top w:val="single" w:sz="18" w:space="0" w:color="auto"/>
              <w:bottom w:val="single" w:sz="18" w:space="0" w:color="auto"/>
            </w:tcBorders>
          </w:tcPr>
          <w:p w:rsidR="00274914" w:rsidRPr="002F17B5" w:rsidRDefault="00274914" w:rsidP="004A4CFF">
            <w:pPr>
              <w:spacing w:after="40"/>
              <w:jc w:val="right"/>
            </w:pPr>
            <w:r w:rsidRPr="002F17B5">
              <w:t>450.5</w:t>
            </w:r>
          </w:p>
        </w:tc>
        <w:tc>
          <w:tcPr>
            <w:tcW w:w="430" w:type="dxa"/>
            <w:tcBorders>
              <w:right w:val="single" w:sz="4" w:space="0" w:color="FFFFFF" w:themeColor="background1"/>
            </w:tcBorders>
          </w:tcPr>
          <w:p w:rsidR="00274914" w:rsidRPr="002F17B5" w:rsidRDefault="00274914" w:rsidP="004A4CFF">
            <w:pPr>
              <w:spacing w:after="4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4A4CFF">
            <w:pPr>
              <w:spacing w:after="40"/>
              <w:jc w:val="right"/>
            </w:pPr>
            <w:r w:rsidRPr="002F17B5">
              <w:t>434.9</w:t>
            </w:r>
          </w:p>
        </w:tc>
      </w:tr>
    </w:tbl>
    <w:p w:rsidR="00274914" w:rsidRPr="002F17B5" w:rsidRDefault="00274914" w:rsidP="00274914">
      <w:pPr>
        <w:ind w:left="720"/>
      </w:pPr>
    </w:p>
    <w:p w:rsidR="00274914" w:rsidRDefault="00274914" w:rsidP="004A4CFF">
      <w:pPr>
        <w:spacing w:after="40"/>
        <w:ind w:left="720"/>
        <w:rPr>
          <w:b/>
        </w:rPr>
      </w:pPr>
    </w:p>
    <w:p w:rsidR="00E8261B" w:rsidRDefault="00E8261B" w:rsidP="004A4CFF">
      <w:pPr>
        <w:spacing w:after="40"/>
        <w:ind w:left="720"/>
        <w:rPr>
          <w:b/>
        </w:rPr>
      </w:pPr>
    </w:p>
    <w:p w:rsidR="00E8261B" w:rsidRDefault="00E8261B" w:rsidP="004A4CFF">
      <w:pPr>
        <w:spacing w:after="40"/>
        <w:ind w:left="720"/>
        <w:rPr>
          <w:b/>
        </w:rPr>
      </w:pPr>
    </w:p>
    <w:p w:rsidR="00E8261B" w:rsidRDefault="00E8261B" w:rsidP="004A4CFF">
      <w:pPr>
        <w:spacing w:after="40"/>
        <w:ind w:left="720"/>
        <w:rPr>
          <w:b/>
        </w:rPr>
      </w:pPr>
    </w:p>
    <w:p w:rsidR="00E8261B" w:rsidRDefault="00E8261B" w:rsidP="004A4CFF">
      <w:pPr>
        <w:spacing w:after="40"/>
        <w:ind w:left="720"/>
        <w:rPr>
          <w:b/>
        </w:rPr>
      </w:pPr>
    </w:p>
    <w:p w:rsidR="00E8261B" w:rsidRDefault="00E8261B" w:rsidP="004A4CFF">
      <w:pPr>
        <w:spacing w:after="40"/>
        <w:ind w:left="720"/>
        <w:rPr>
          <w:b/>
        </w:rPr>
      </w:pPr>
    </w:p>
    <w:p w:rsidR="00E8261B" w:rsidRPr="002F17B5" w:rsidRDefault="00E8261B" w:rsidP="004A4CFF">
      <w:pPr>
        <w:spacing w:after="40"/>
        <w:ind w:left="720"/>
        <w:rPr>
          <w:b/>
        </w:rPr>
      </w:pPr>
    </w:p>
    <w:p w:rsidR="00274914" w:rsidRPr="002F17B5" w:rsidRDefault="00274914" w:rsidP="004A4CFF">
      <w:pPr>
        <w:spacing w:after="40"/>
        <w:ind w:left="720"/>
      </w:pPr>
      <w:r w:rsidRPr="002F17B5">
        <w:rPr>
          <w:b/>
        </w:rPr>
        <w:t>Derivative contracts (forward currency positions</w:t>
      </w:r>
      <w:r w:rsidRPr="002F17B5">
        <w:t>)</w:t>
      </w:r>
    </w:p>
    <w:p w:rsidR="00274914" w:rsidRPr="006977BB" w:rsidRDefault="00274914" w:rsidP="004A4CFF">
      <w:pPr>
        <w:spacing w:after="40"/>
        <w:ind w:left="720"/>
        <w:rPr>
          <w:sz w:val="16"/>
        </w:rPr>
      </w:pPr>
    </w:p>
    <w:tbl>
      <w:tblPr>
        <w:tblStyle w:val="ColorfulList1"/>
        <w:tblW w:w="0" w:type="auto"/>
        <w:tblInd w:w="817" w:type="dxa"/>
        <w:tblLayout w:type="fixed"/>
        <w:tblLook w:val="04A0" w:firstRow="1" w:lastRow="0" w:firstColumn="1" w:lastColumn="0" w:noHBand="0" w:noVBand="1"/>
      </w:tblPr>
      <w:tblGrid>
        <w:gridCol w:w="1559"/>
        <w:gridCol w:w="1275"/>
        <w:gridCol w:w="1068"/>
        <w:gridCol w:w="1526"/>
        <w:gridCol w:w="1375"/>
        <w:gridCol w:w="1418"/>
        <w:gridCol w:w="1559"/>
      </w:tblGrid>
      <w:tr w:rsidR="00274914" w:rsidRPr="002F17B5" w:rsidTr="00274914">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559" w:type="dxa"/>
            <w:tcBorders>
              <w:bottom w:val="none" w:sz="0" w:space="0" w:color="auto"/>
            </w:tcBorders>
            <w:shd w:val="clear" w:color="auto" w:fill="auto"/>
          </w:tcPr>
          <w:p w:rsidR="00274914" w:rsidRPr="002F17B5" w:rsidRDefault="00274914" w:rsidP="004A4CFF">
            <w:pPr>
              <w:spacing w:after="40"/>
              <w:rPr>
                <w:color w:val="auto"/>
              </w:rPr>
            </w:pPr>
            <w:r w:rsidRPr="002F17B5">
              <w:rPr>
                <w:color w:val="auto"/>
              </w:rPr>
              <w:t>Settlement</w:t>
            </w:r>
          </w:p>
        </w:tc>
        <w:tc>
          <w:tcPr>
            <w:tcW w:w="1275" w:type="dxa"/>
            <w:tcBorders>
              <w:bottom w:val="none" w:sz="0" w:space="0" w:color="auto"/>
            </w:tcBorders>
            <w:shd w:val="clear" w:color="auto" w:fill="auto"/>
          </w:tcPr>
          <w:p w:rsidR="00274914" w:rsidRPr="002F17B5" w:rsidRDefault="00274914" w:rsidP="004A4CFF">
            <w:pPr>
              <w:spacing w:after="40"/>
              <w:jc w:val="right"/>
              <w:cnfStyle w:val="100000000000" w:firstRow="1" w:lastRow="0" w:firstColumn="0" w:lastColumn="0" w:oddVBand="0" w:evenVBand="0" w:oddHBand="0" w:evenHBand="0" w:firstRowFirstColumn="0" w:firstRowLastColumn="0" w:lastRowFirstColumn="0" w:lastRowLastColumn="0"/>
              <w:rPr>
                <w:color w:val="auto"/>
              </w:rPr>
            </w:pPr>
            <w:r w:rsidRPr="002F17B5">
              <w:rPr>
                <w:color w:val="auto"/>
              </w:rPr>
              <w:t>Currency Bought</w:t>
            </w:r>
          </w:p>
        </w:tc>
        <w:tc>
          <w:tcPr>
            <w:tcW w:w="1068" w:type="dxa"/>
            <w:tcBorders>
              <w:bottom w:val="none" w:sz="0" w:space="0" w:color="auto"/>
            </w:tcBorders>
            <w:shd w:val="clear" w:color="auto" w:fill="auto"/>
          </w:tcPr>
          <w:p w:rsidR="00274914" w:rsidRPr="002F17B5" w:rsidRDefault="00274914" w:rsidP="004A4CFF">
            <w:pPr>
              <w:spacing w:after="40"/>
              <w:jc w:val="right"/>
              <w:cnfStyle w:val="100000000000" w:firstRow="1" w:lastRow="0" w:firstColumn="0" w:lastColumn="0" w:oddVBand="0" w:evenVBand="0" w:oddHBand="0" w:evenHBand="0" w:firstRowFirstColumn="0" w:firstRowLastColumn="0" w:lastRowFirstColumn="0" w:lastRowLastColumn="0"/>
              <w:rPr>
                <w:color w:val="auto"/>
              </w:rPr>
            </w:pPr>
            <w:r w:rsidRPr="002F17B5">
              <w:rPr>
                <w:color w:val="auto"/>
              </w:rPr>
              <w:t>Local Value</w:t>
            </w:r>
          </w:p>
        </w:tc>
        <w:tc>
          <w:tcPr>
            <w:tcW w:w="1526" w:type="dxa"/>
            <w:tcBorders>
              <w:bottom w:val="none" w:sz="0" w:space="0" w:color="auto"/>
            </w:tcBorders>
            <w:shd w:val="clear" w:color="auto" w:fill="auto"/>
          </w:tcPr>
          <w:p w:rsidR="00274914" w:rsidRPr="002F17B5" w:rsidRDefault="00274914" w:rsidP="004A4CFF">
            <w:pPr>
              <w:spacing w:after="40"/>
              <w:jc w:val="right"/>
              <w:cnfStyle w:val="100000000000" w:firstRow="1" w:lastRow="0" w:firstColumn="0" w:lastColumn="0" w:oddVBand="0" w:evenVBand="0" w:oddHBand="0" w:evenHBand="0" w:firstRowFirstColumn="0" w:firstRowLastColumn="0" w:lastRowFirstColumn="0" w:lastRowLastColumn="0"/>
              <w:rPr>
                <w:color w:val="auto"/>
              </w:rPr>
            </w:pPr>
            <w:r w:rsidRPr="002F17B5">
              <w:rPr>
                <w:color w:val="auto"/>
              </w:rPr>
              <w:t>Currency Sold</w:t>
            </w:r>
          </w:p>
        </w:tc>
        <w:tc>
          <w:tcPr>
            <w:tcW w:w="1375" w:type="dxa"/>
            <w:tcBorders>
              <w:bottom w:val="none" w:sz="0" w:space="0" w:color="auto"/>
            </w:tcBorders>
            <w:shd w:val="clear" w:color="auto" w:fill="auto"/>
          </w:tcPr>
          <w:p w:rsidR="00274914" w:rsidRPr="002F17B5" w:rsidRDefault="00274914" w:rsidP="004A4CFF">
            <w:pPr>
              <w:spacing w:after="40"/>
              <w:jc w:val="right"/>
              <w:cnfStyle w:val="100000000000" w:firstRow="1" w:lastRow="0" w:firstColumn="0" w:lastColumn="0" w:oddVBand="0" w:evenVBand="0" w:oddHBand="0" w:evenHBand="0" w:firstRowFirstColumn="0" w:firstRowLastColumn="0" w:lastRowFirstColumn="0" w:lastRowLastColumn="0"/>
              <w:rPr>
                <w:color w:val="auto"/>
              </w:rPr>
            </w:pPr>
            <w:r w:rsidRPr="002F17B5">
              <w:rPr>
                <w:color w:val="auto"/>
              </w:rPr>
              <w:t>Local Value</w:t>
            </w:r>
          </w:p>
        </w:tc>
        <w:tc>
          <w:tcPr>
            <w:tcW w:w="1418" w:type="dxa"/>
            <w:tcBorders>
              <w:bottom w:val="none" w:sz="0" w:space="0" w:color="auto"/>
            </w:tcBorders>
            <w:shd w:val="clear" w:color="auto" w:fill="auto"/>
          </w:tcPr>
          <w:p w:rsidR="00274914" w:rsidRPr="002F17B5" w:rsidRDefault="00274914" w:rsidP="004A4CFF">
            <w:pPr>
              <w:spacing w:after="40"/>
              <w:jc w:val="right"/>
              <w:cnfStyle w:val="100000000000" w:firstRow="1" w:lastRow="0" w:firstColumn="0" w:lastColumn="0" w:oddVBand="0" w:evenVBand="0" w:oddHBand="0" w:evenHBand="0" w:firstRowFirstColumn="0" w:firstRowLastColumn="0" w:lastRowFirstColumn="0" w:lastRowLastColumn="0"/>
              <w:rPr>
                <w:color w:val="auto"/>
              </w:rPr>
            </w:pPr>
            <w:r w:rsidRPr="002F17B5">
              <w:rPr>
                <w:color w:val="auto"/>
              </w:rPr>
              <w:t>Asset Value</w:t>
            </w:r>
          </w:p>
        </w:tc>
        <w:tc>
          <w:tcPr>
            <w:tcW w:w="1559" w:type="dxa"/>
            <w:tcBorders>
              <w:bottom w:val="none" w:sz="0" w:space="0" w:color="auto"/>
            </w:tcBorders>
            <w:shd w:val="clear" w:color="auto" w:fill="auto"/>
          </w:tcPr>
          <w:p w:rsidR="00274914" w:rsidRPr="002F17B5" w:rsidRDefault="00274914" w:rsidP="004A4CFF">
            <w:pPr>
              <w:spacing w:after="40"/>
              <w:jc w:val="right"/>
              <w:cnfStyle w:val="100000000000" w:firstRow="1" w:lastRow="0" w:firstColumn="0" w:lastColumn="0" w:oddVBand="0" w:evenVBand="0" w:oddHBand="0" w:evenHBand="0" w:firstRowFirstColumn="0" w:firstRowLastColumn="0" w:lastRowFirstColumn="0" w:lastRowLastColumn="0"/>
              <w:rPr>
                <w:color w:val="auto"/>
              </w:rPr>
            </w:pPr>
            <w:r w:rsidRPr="002F17B5">
              <w:rPr>
                <w:color w:val="auto"/>
              </w:rPr>
              <w:t>Liability Value</w:t>
            </w:r>
          </w:p>
        </w:tc>
      </w:tr>
      <w:tr w:rsidR="00274914" w:rsidRPr="002F17B5" w:rsidTr="0027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274914" w:rsidRPr="002F17B5" w:rsidRDefault="00274914" w:rsidP="004A4CFF">
            <w:pPr>
              <w:spacing w:after="40"/>
              <w:jc w:val="left"/>
              <w:rPr>
                <w:rFonts w:cs="Arial"/>
                <w:b w:val="0"/>
              </w:rPr>
            </w:pPr>
            <w:r w:rsidRPr="002F17B5">
              <w:rPr>
                <w:rFonts w:cs="Arial"/>
                <w:b w:val="0"/>
              </w:rPr>
              <w:t>one to six months</w:t>
            </w:r>
          </w:p>
        </w:tc>
        <w:tc>
          <w:tcPr>
            <w:tcW w:w="1275"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USD</w:t>
            </w:r>
          </w:p>
        </w:tc>
        <w:tc>
          <w:tcPr>
            <w:tcW w:w="106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3.7</w:t>
            </w:r>
          </w:p>
        </w:tc>
        <w:tc>
          <w:tcPr>
            <w:tcW w:w="1526"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AUD</w:t>
            </w:r>
          </w:p>
        </w:tc>
        <w:tc>
          <w:tcPr>
            <w:tcW w:w="1375" w:type="dxa"/>
            <w:shd w:val="clear" w:color="auto" w:fill="auto"/>
            <w:vAlign w:val="center"/>
          </w:tcPr>
          <w:p w:rsidR="00274914" w:rsidRPr="002F17B5" w:rsidRDefault="002E1F62"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w:t>
            </w:r>
            <w:r w:rsidR="00274914" w:rsidRPr="002F17B5">
              <w:rPr>
                <w:rFonts w:cs="Arial"/>
              </w:rPr>
              <w:t>4.2</w:t>
            </w:r>
            <w:r w:rsidRPr="002F17B5">
              <w:rPr>
                <w:rFonts w:cs="Arial"/>
              </w:rPr>
              <w:t>)</w:t>
            </w:r>
          </w:p>
        </w:tc>
        <w:tc>
          <w:tcPr>
            <w:tcW w:w="141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2.2</w:t>
            </w:r>
          </w:p>
        </w:tc>
        <w:tc>
          <w:tcPr>
            <w:tcW w:w="1559" w:type="dxa"/>
            <w:shd w:val="clear" w:color="auto" w:fill="auto"/>
            <w:vAlign w:val="center"/>
          </w:tcPr>
          <w:p w:rsidR="00274914" w:rsidRPr="002F17B5" w:rsidRDefault="002E1F62"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w:t>
            </w:r>
            <w:r w:rsidR="00274914" w:rsidRPr="002F17B5">
              <w:rPr>
                <w:rFonts w:cs="Arial"/>
              </w:rPr>
              <w:t>2.3</w:t>
            </w:r>
            <w:r w:rsidRPr="002F17B5">
              <w:rPr>
                <w:rFonts w:cs="Arial"/>
              </w:rPr>
              <w:t>)</w:t>
            </w:r>
          </w:p>
        </w:tc>
      </w:tr>
      <w:tr w:rsidR="00274914" w:rsidRPr="002F17B5" w:rsidTr="00274914">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274914" w:rsidRPr="002F17B5" w:rsidRDefault="00274914" w:rsidP="004A4CFF">
            <w:pPr>
              <w:spacing w:after="40"/>
              <w:jc w:val="left"/>
              <w:rPr>
                <w:rFonts w:cs="Arial"/>
                <w:b w:val="0"/>
              </w:rPr>
            </w:pPr>
            <w:r w:rsidRPr="002F17B5">
              <w:rPr>
                <w:rFonts w:cs="Arial"/>
                <w:b w:val="0"/>
              </w:rPr>
              <w:t>one to six months</w:t>
            </w:r>
          </w:p>
        </w:tc>
        <w:tc>
          <w:tcPr>
            <w:tcW w:w="1275"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USD</w:t>
            </w:r>
          </w:p>
        </w:tc>
        <w:tc>
          <w:tcPr>
            <w:tcW w:w="106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30.5</w:t>
            </w:r>
          </w:p>
        </w:tc>
        <w:tc>
          <w:tcPr>
            <w:tcW w:w="1526"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CHF</w:t>
            </w:r>
          </w:p>
        </w:tc>
        <w:tc>
          <w:tcPr>
            <w:tcW w:w="1375" w:type="dxa"/>
            <w:shd w:val="clear" w:color="auto" w:fill="auto"/>
            <w:vAlign w:val="center"/>
          </w:tcPr>
          <w:p w:rsidR="00274914" w:rsidRPr="002F17B5" w:rsidRDefault="002E1F62"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w:t>
            </w:r>
            <w:r w:rsidR="00274914" w:rsidRPr="002F17B5">
              <w:rPr>
                <w:rFonts w:cs="Arial"/>
              </w:rPr>
              <w:t>26.6</w:t>
            </w:r>
            <w:r w:rsidRPr="002F17B5">
              <w:rPr>
                <w:rFonts w:cs="Arial"/>
              </w:rPr>
              <w:t>)</w:t>
            </w:r>
          </w:p>
        </w:tc>
        <w:tc>
          <w:tcPr>
            <w:tcW w:w="141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18.3</w:t>
            </w:r>
          </w:p>
        </w:tc>
        <w:tc>
          <w:tcPr>
            <w:tcW w:w="1559" w:type="dxa"/>
            <w:shd w:val="clear" w:color="auto" w:fill="auto"/>
            <w:vAlign w:val="center"/>
          </w:tcPr>
          <w:p w:rsidR="00274914" w:rsidRPr="002F17B5" w:rsidRDefault="002E1F62"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w:t>
            </w:r>
            <w:r w:rsidR="00274914" w:rsidRPr="002F17B5">
              <w:rPr>
                <w:rFonts w:cs="Arial"/>
              </w:rPr>
              <w:t>18.1</w:t>
            </w:r>
            <w:r w:rsidRPr="002F17B5">
              <w:rPr>
                <w:rFonts w:cs="Arial"/>
              </w:rPr>
              <w:t>)</w:t>
            </w:r>
          </w:p>
        </w:tc>
      </w:tr>
      <w:tr w:rsidR="00274914" w:rsidRPr="002F17B5" w:rsidTr="0027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274914" w:rsidRPr="002F17B5" w:rsidRDefault="00274914" w:rsidP="004A4CFF">
            <w:pPr>
              <w:spacing w:after="40"/>
              <w:jc w:val="left"/>
              <w:rPr>
                <w:rFonts w:cs="Arial"/>
                <w:b w:val="0"/>
              </w:rPr>
            </w:pPr>
            <w:r w:rsidRPr="002F17B5">
              <w:rPr>
                <w:rFonts w:cs="Arial"/>
                <w:b w:val="0"/>
              </w:rPr>
              <w:t>up to one month</w:t>
            </w:r>
          </w:p>
        </w:tc>
        <w:tc>
          <w:tcPr>
            <w:tcW w:w="1275"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GBP</w:t>
            </w:r>
          </w:p>
        </w:tc>
        <w:tc>
          <w:tcPr>
            <w:tcW w:w="106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0.1</w:t>
            </w:r>
          </w:p>
        </w:tc>
        <w:tc>
          <w:tcPr>
            <w:tcW w:w="1526"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USD</w:t>
            </w:r>
          </w:p>
        </w:tc>
        <w:tc>
          <w:tcPr>
            <w:tcW w:w="1375" w:type="dxa"/>
            <w:shd w:val="clear" w:color="auto" w:fill="auto"/>
            <w:vAlign w:val="center"/>
          </w:tcPr>
          <w:p w:rsidR="00274914" w:rsidRPr="002F17B5" w:rsidRDefault="002E1F62"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w:t>
            </w:r>
            <w:r w:rsidR="00274914" w:rsidRPr="002F17B5">
              <w:rPr>
                <w:rFonts w:cs="Arial"/>
              </w:rPr>
              <w:t>0.1</w:t>
            </w:r>
            <w:r w:rsidRPr="002F17B5">
              <w:rPr>
                <w:rFonts w:cs="Arial"/>
              </w:rPr>
              <w:t>)</w:t>
            </w:r>
          </w:p>
        </w:tc>
        <w:tc>
          <w:tcPr>
            <w:tcW w:w="141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0.1</w:t>
            </w:r>
          </w:p>
        </w:tc>
        <w:tc>
          <w:tcPr>
            <w:tcW w:w="1559" w:type="dxa"/>
            <w:shd w:val="clear" w:color="auto" w:fill="auto"/>
            <w:vAlign w:val="center"/>
          </w:tcPr>
          <w:p w:rsidR="00274914" w:rsidRPr="002F17B5" w:rsidRDefault="002E1F62"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w:t>
            </w:r>
            <w:r w:rsidR="00274914" w:rsidRPr="002F17B5">
              <w:rPr>
                <w:rFonts w:cs="Arial"/>
              </w:rPr>
              <w:t>0.1</w:t>
            </w:r>
            <w:r w:rsidRPr="002F17B5">
              <w:rPr>
                <w:rFonts w:cs="Arial"/>
              </w:rPr>
              <w:t>)</w:t>
            </w:r>
          </w:p>
        </w:tc>
      </w:tr>
      <w:tr w:rsidR="00274914" w:rsidRPr="002F17B5" w:rsidTr="00274914">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274914" w:rsidRPr="002F17B5" w:rsidRDefault="00274914" w:rsidP="004A4CFF">
            <w:pPr>
              <w:spacing w:after="40"/>
              <w:jc w:val="left"/>
              <w:rPr>
                <w:rFonts w:cs="Arial"/>
                <w:b w:val="0"/>
              </w:rPr>
            </w:pPr>
            <w:r w:rsidRPr="002F17B5">
              <w:rPr>
                <w:rFonts w:cs="Arial"/>
                <w:b w:val="0"/>
              </w:rPr>
              <w:t>up to one month</w:t>
            </w:r>
          </w:p>
        </w:tc>
        <w:tc>
          <w:tcPr>
            <w:tcW w:w="1275"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JPY</w:t>
            </w:r>
          </w:p>
        </w:tc>
        <w:tc>
          <w:tcPr>
            <w:tcW w:w="106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17.0</w:t>
            </w:r>
          </w:p>
        </w:tc>
        <w:tc>
          <w:tcPr>
            <w:tcW w:w="1526"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GBP</w:t>
            </w:r>
          </w:p>
        </w:tc>
        <w:tc>
          <w:tcPr>
            <w:tcW w:w="1375" w:type="dxa"/>
            <w:shd w:val="clear" w:color="auto" w:fill="auto"/>
            <w:vAlign w:val="center"/>
          </w:tcPr>
          <w:p w:rsidR="00274914" w:rsidRPr="002F17B5" w:rsidRDefault="002E1F62"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w:t>
            </w:r>
            <w:r w:rsidR="00274914" w:rsidRPr="002F17B5">
              <w:rPr>
                <w:rFonts w:cs="Arial"/>
              </w:rPr>
              <w:t>0.1</w:t>
            </w:r>
            <w:r w:rsidRPr="002F17B5">
              <w:rPr>
                <w:rFonts w:cs="Arial"/>
              </w:rPr>
              <w:t>)</w:t>
            </w:r>
          </w:p>
        </w:tc>
        <w:tc>
          <w:tcPr>
            <w:tcW w:w="141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0.1</w:t>
            </w:r>
          </w:p>
        </w:tc>
        <w:tc>
          <w:tcPr>
            <w:tcW w:w="1559" w:type="dxa"/>
            <w:shd w:val="clear" w:color="auto" w:fill="auto"/>
            <w:vAlign w:val="center"/>
          </w:tcPr>
          <w:p w:rsidR="00274914" w:rsidRPr="002F17B5" w:rsidRDefault="002E1F62"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w:t>
            </w:r>
            <w:r w:rsidR="00274914" w:rsidRPr="002F17B5">
              <w:rPr>
                <w:rFonts w:cs="Arial"/>
              </w:rPr>
              <w:t>0.1</w:t>
            </w:r>
            <w:r w:rsidRPr="002F17B5">
              <w:rPr>
                <w:rFonts w:cs="Arial"/>
              </w:rPr>
              <w:t>)</w:t>
            </w:r>
          </w:p>
        </w:tc>
      </w:tr>
      <w:tr w:rsidR="00274914" w:rsidRPr="002F17B5" w:rsidTr="0027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274914" w:rsidRPr="002F17B5" w:rsidRDefault="00274914" w:rsidP="004A4CFF">
            <w:pPr>
              <w:spacing w:after="40"/>
              <w:jc w:val="left"/>
              <w:rPr>
                <w:rFonts w:cs="Arial"/>
                <w:b w:val="0"/>
              </w:rPr>
            </w:pPr>
            <w:r w:rsidRPr="002F17B5">
              <w:rPr>
                <w:rFonts w:cs="Arial"/>
                <w:b w:val="0"/>
              </w:rPr>
              <w:t>up to one moth</w:t>
            </w:r>
          </w:p>
        </w:tc>
        <w:tc>
          <w:tcPr>
            <w:tcW w:w="1275"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USD</w:t>
            </w:r>
          </w:p>
        </w:tc>
        <w:tc>
          <w:tcPr>
            <w:tcW w:w="106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0.4</w:t>
            </w:r>
          </w:p>
        </w:tc>
        <w:tc>
          <w:tcPr>
            <w:tcW w:w="1526"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EUR</w:t>
            </w:r>
          </w:p>
        </w:tc>
        <w:tc>
          <w:tcPr>
            <w:tcW w:w="1375" w:type="dxa"/>
            <w:shd w:val="clear" w:color="auto" w:fill="auto"/>
            <w:vAlign w:val="center"/>
          </w:tcPr>
          <w:p w:rsidR="00274914" w:rsidRPr="002F17B5" w:rsidRDefault="002E1F62"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w:t>
            </w:r>
            <w:r w:rsidR="00274914" w:rsidRPr="002F17B5">
              <w:rPr>
                <w:rFonts w:cs="Arial"/>
              </w:rPr>
              <w:t>0.3</w:t>
            </w:r>
            <w:r w:rsidRPr="002F17B5">
              <w:rPr>
                <w:rFonts w:cs="Arial"/>
              </w:rPr>
              <w:t>)</w:t>
            </w:r>
          </w:p>
        </w:tc>
        <w:tc>
          <w:tcPr>
            <w:tcW w:w="141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0.3</w:t>
            </w:r>
          </w:p>
        </w:tc>
        <w:tc>
          <w:tcPr>
            <w:tcW w:w="1559" w:type="dxa"/>
            <w:shd w:val="clear" w:color="auto" w:fill="auto"/>
            <w:vAlign w:val="center"/>
          </w:tcPr>
          <w:p w:rsidR="00274914" w:rsidRPr="002F17B5" w:rsidRDefault="002E1F62"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w:t>
            </w:r>
            <w:r w:rsidR="00274914" w:rsidRPr="002F17B5">
              <w:rPr>
                <w:rFonts w:cs="Arial"/>
              </w:rPr>
              <w:t>0.3</w:t>
            </w:r>
            <w:r w:rsidRPr="002F17B5">
              <w:rPr>
                <w:rFonts w:cs="Arial"/>
              </w:rPr>
              <w:t>)</w:t>
            </w:r>
          </w:p>
        </w:tc>
      </w:tr>
      <w:tr w:rsidR="00274914" w:rsidRPr="002F17B5" w:rsidTr="00274914">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274914" w:rsidRPr="002F17B5" w:rsidRDefault="00274914" w:rsidP="004A4CFF">
            <w:pPr>
              <w:spacing w:after="40"/>
              <w:jc w:val="left"/>
              <w:rPr>
                <w:rFonts w:cs="Arial"/>
                <w:b w:val="0"/>
              </w:rPr>
            </w:pPr>
            <w:r w:rsidRPr="002F17B5">
              <w:rPr>
                <w:rFonts w:cs="Arial"/>
                <w:b w:val="0"/>
              </w:rPr>
              <w:t>up to one month</w:t>
            </w:r>
          </w:p>
        </w:tc>
        <w:tc>
          <w:tcPr>
            <w:tcW w:w="1275"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USD</w:t>
            </w:r>
          </w:p>
        </w:tc>
        <w:tc>
          <w:tcPr>
            <w:tcW w:w="106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0.7</w:t>
            </w:r>
          </w:p>
        </w:tc>
        <w:tc>
          <w:tcPr>
            <w:tcW w:w="1526"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JPY</w:t>
            </w:r>
          </w:p>
        </w:tc>
        <w:tc>
          <w:tcPr>
            <w:tcW w:w="1375" w:type="dxa"/>
            <w:shd w:val="clear" w:color="auto" w:fill="auto"/>
            <w:vAlign w:val="center"/>
          </w:tcPr>
          <w:p w:rsidR="00274914" w:rsidRPr="002F17B5" w:rsidRDefault="002E1F62"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w:t>
            </w:r>
            <w:r w:rsidR="00274914" w:rsidRPr="002F17B5">
              <w:rPr>
                <w:rFonts w:cs="Arial"/>
              </w:rPr>
              <w:t>70.1</w:t>
            </w:r>
            <w:r w:rsidRPr="002F17B5">
              <w:rPr>
                <w:rFonts w:cs="Arial"/>
              </w:rPr>
              <w:t>)</w:t>
            </w:r>
          </w:p>
        </w:tc>
        <w:tc>
          <w:tcPr>
            <w:tcW w:w="141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0.4</w:t>
            </w:r>
          </w:p>
        </w:tc>
        <w:tc>
          <w:tcPr>
            <w:tcW w:w="1559" w:type="dxa"/>
            <w:shd w:val="clear" w:color="auto" w:fill="auto"/>
            <w:vAlign w:val="center"/>
          </w:tcPr>
          <w:p w:rsidR="00274914" w:rsidRPr="002F17B5" w:rsidRDefault="002E1F62"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w:t>
            </w:r>
            <w:r w:rsidR="00274914" w:rsidRPr="002F17B5">
              <w:rPr>
                <w:rFonts w:cs="Arial"/>
              </w:rPr>
              <w:t>0.4</w:t>
            </w:r>
            <w:r w:rsidRPr="002F17B5">
              <w:rPr>
                <w:rFonts w:cs="Arial"/>
              </w:rPr>
              <w:t>)</w:t>
            </w:r>
          </w:p>
        </w:tc>
      </w:tr>
      <w:tr w:rsidR="00274914" w:rsidRPr="002F17B5" w:rsidTr="0027491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274914" w:rsidRPr="002F17B5" w:rsidRDefault="00274914" w:rsidP="004A4CFF">
            <w:pPr>
              <w:spacing w:after="40"/>
              <w:rPr>
                <w:rFonts w:cs="Arial"/>
                <w:b w:val="0"/>
              </w:rPr>
            </w:pPr>
          </w:p>
        </w:tc>
        <w:tc>
          <w:tcPr>
            <w:tcW w:w="141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p>
        </w:tc>
        <w:tc>
          <w:tcPr>
            <w:tcW w:w="1559"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p>
        </w:tc>
      </w:tr>
      <w:tr w:rsidR="00274914" w:rsidRPr="002F17B5" w:rsidTr="00274914">
        <w:trPr>
          <w:trHeight w:val="320"/>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274914" w:rsidRPr="002F17B5" w:rsidRDefault="00274914" w:rsidP="004A4CFF">
            <w:pPr>
              <w:spacing w:after="40"/>
              <w:rPr>
                <w:rFonts w:cs="Arial"/>
              </w:rPr>
            </w:pPr>
            <w:r w:rsidRPr="002F17B5">
              <w:rPr>
                <w:rFonts w:cs="Arial"/>
                <w:b w:val="0"/>
              </w:rPr>
              <w:t>Open forward currency contracts at 31 March 2014</w:t>
            </w:r>
          </w:p>
        </w:tc>
        <w:tc>
          <w:tcPr>
            <w:tcW w:w="141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21.4</w:t>
            </w:r>
          </w:p>
        </w:tc>
        <w:tc>
          <w:tcPr>
            <w:tcW w:w="1559" w:type="dxa"/>
            <w:shd w:val="clear" w:color="auto" w:fill="auto"/>
            <w:vAlign w:val="center"/>
          </w:tcPr>
          <w:p w:rsidR="00274914" w:rsidRPr="002F17B5" w:rsidRDefault="002E1F62"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w:t>
            </w:r>
            <w:r w:rsidR="00274914" w:rsidRPr="002F17B5">
              <w:rPr>
                <w:rFonts w:cs="Arial"/>
              </w:rPr>
              <w:t>21.3</w:t>
            </w:r>
            <w:r w:rsidRPr="002F17B5">
              <w:rPr>
                <w:rFonts w:cs="Arial"/>
              </w:rPr>
              <w:t>)</w:t>
            </w:r>
          </w:p>
        </w:tc>
      </w:tr>
      <w:tr w:rsidR="00274914" w:rsidRPr="002F17B5" w:rsidTr="002749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274914" w:rsidRPr="002F17B5" w:rsidRDefault="00274914" w:rsidP="004A4CFF">
            <w:pPr>
              <w:spacing w:after="40"/>
              <w:rPr>
                <w:rFonts w:cs="Arial"/>
              </w:rPr>
            </w:pPr>
            <w:r w:rsidRPr="002F17B5">
              <w:rPr>
                <w:rFonts w:cs="Arial"/>
                <w:b w:val="0"/>
              </w:rPr>
              <w:t>Net forward currency contracts at 31 March 2014</w:t>
            </w:r>
          </w:p>
        </w:tc>
        <w:tc>
          <w:tcPr>
            <w:tcW w:w="141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p>
        </w:tc>
        <w:tc>
          <w:tcPr>
            <w:tcW w:w="1559"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0.1</w:t>
            </w:r>
          </w:p>
        </w:tc>
      </w:tr>
      <w:tr w:rsidR="00274914" w:rsidRPr="002F17B5" w:rsidTr="00274914">
        <w:trPr>
          <w:trHeight w:val="320"/>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274914" w:rsidRPr="002F17B5" w:rsidRDefault="00274914" w:rsidP="004A4CFF">
            <w:pPr>
              <w:spacing w:after="40"/>
              <w:rPr>
                <w:rFonts w:cs="Arial"/>
                <w:sz w:val="18"/>
              </w:rPr>
            </w:pPr>
          </w:p>
        </w:tc>
        <w:tc>
          <w:tcPr>
            <w:tcW w:w="141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p>
        </w:tc>
        <w:tc>
          <w:tcPr>
            <w:tcW w:w="1559"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p>
        </w:tc>
      </w:tr>
      <w:tr w:rsidR="00274914" w:rsidRPr="002F17B5" w:rsidTr="002749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274914" w:rsidRPr="002F17B5" w:rsidRDefault="00274914" w:rsidP="004A4CFF">
            <w:pPr>
              <w:spacing w:after="40"/>
              <w:rPr>
                <w:rFonts w:cs="Arial"/>
              </w:rPr>
            </w:pPr>
            <w:r w:rsidRPr="002F17B5">
              <w:rPr>
                <w:rFonts w:cs="Arial"/>
              </w:rPr>
              <w:t>Prior year comparative</w:t>
            </w:r>
          </w:p>
        </w:tc>
        <w:tc>
          <w:tcPr>
            <w:tcW w:w="141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p>
        </w:tc>
        <w:tc>
          <w:tcPr>
            <w:tcW w:w="1559"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p>
        </w:tc>
      </w:tr>
      <w:tr w:rsidR="00274914" w:rsidRPr="002F17B5" w:rsidTr="00274914">
        <w:trPr>
          <w:trHeight w:val="236"/>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274914" w:rsidRPr="002F17B5" w:rsidRDefault="00274914" w:rsidP="004A4CFF">
            <w:pPr>
              <w:spacing w:after="40"/>
              <w:rPr>
                <w:rFonts w:cs="Arial"/>
              </w:rPr>
            </w:pPr>
            <w:r w:rsidRPr="002F17B5">
              <w:rPr>
                <w:rFonts w:cs="Arial"/>
                <w:b w:val="0"/>
              </w:rPr>
              <w:t>Open forward currency contracts at 31 March 2013</w:t>
            </w:r>
          </w:p>
        </w:tc>
        <w:tc>
          <w:tcPr>
            <w:tcW w:w="1418" w:type="dxa"/>
            <w:shd w:val="clear" w:color="auto" w:fill="auto"/>
            <w:vAlign w:val="center"/>
          </w:tcPr>
          <w:p w:rsidR="00274914" w:rsidRPr="002F17B5" w:rsidRDefault="00274914"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121.3</w:t>
            </w:r>
          </w:p>
        </w:tc>
        <w:tc>
          <w:tcPr>
            <w:tcW w:w="1559" w:type="dxa"/>
            <w:shd w:val="clear" w:color="auto" w:fill="auto"/>
            <w:vAlign w:val="center"/>
          </w:tcPr>
          <w:p w:rsidR="00274914" w:rsidRPr="002F17B5" w:rsidRDefault="002E1F62"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r w:rsidRPr="002F17B5">
              <w:rPr>
                <w:rFonts w:cs="Arial"/>
              </w:rPr>
              <w:t>(</w:t>
            </w:r>
            <w:r w:rsidR="00274914" w:rsidRPr="002F17B5">
              <w:rPr>
                <w:rFonts w:cs="Arial"/>
              </w:rPr>
              <w:t>118.4</w:t>
            </w:r>
            <w:r w:rsidRPr="002F17B5">
              <w:rPr>
                <w:rFonts w:cs="Arial"/>
              </w:rPr>
              <w:t>)</w:t>
            </w:r>
          </w:p>
        </w:tc>
      </w:tr>
      <w:tr w:rsidR="00274914" w:rsidRPr="002F17B5" w:rsidTr="0027491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274914" w:rsidRPr="002F17B5" w:rsidRDefault="00274914" w:rsidP="004A4CFF">
            <w:pPr>
              <w:spacing w:after="40"/>
              <w:rPr>
                <w:rFonts w:cs="Arial"/>
              </w:rPr>
            </w:pPr>
            <w:r w:rsidRPr="002F17B5">
              <w:rPr>
                <w:rFonts w:cs="Arial"/>
                <w:b w:val="0"/>
              </w:rPr>
              <w:t>Net forward currency contracts at 31 March 2013</w:t>
            </w:r>
          </w:p>
        </w:tc>
        <w:tc>
          <w:tcPr>
            <w:tcW w:w="1418"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p>
        </w:tc>
        <w:tc>
          <w:tcPr>
            <w:tcW w:w="1559" w:type="dxa"/>
            <w:shd w:val="clear" w:color="auto" w:fill="auto"/>
            <w:vAlign w:val="center"/>
          </w:tcPr>
          <w:p w:rsidR="00274914" w:rsidRPr="002F17B5" w:rsidRDefault="00274914" w:rsidP="004A4CFF">
            <w:pPr>
              <w:spacing w:after="40"/>
              <w:jc w:val="right"/>
              <w:cnfStyle w:val="000000100000" w:firstRow="0" w:lastRow="0" w:firstColumn="0" w:lastColumn="0" w:oddVBand="0" w:evenVBand="0" w:oddHBand="1" w:evenHBand="0" w:firstRowFirstColumn="0" w:firstRowLastColumn="0" w:lastRowFirstColumn="0" w:lastRowLastColumn="0"/>
              <w:rPr>
                <w:rFonts w:cs="Arial"/>
              </w:rPr>
            </w:pPr>
            <w:r w:rsidRPr="002F17B5">
              <w:rPr>
                <w:rFonts w:cs="Arial"/>
              </w:rPr>
              <w:t>2.9</w:t>
            </w:r>
          </w:p>
        </w:tc>
      </w:tr>
      <w:tr w:rsidR="00E8261B" w:rsidRPr="002F17B5" w:rsidTr="00274914">
        <w:trPr>
          <w:trHeight w:val="415"/>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E8261B" w:rsidRPr="002F17B5" w:rsidRDefault="00E8261B" w:rsidP="004A4CFF">
            <w:pPr>
              <w:spacing w:after="40"/>
              <w:rPr>
                <w:rFonts w:cs="Arial"/>
                <w:b w:val="0"/>
              </w:rPr>
            </w:pPr>
          </w:p>
        </w:tc>
        <w:tc>
          <w:tcPr>
            <w:tcW w:w="1418" w:type="dxa"/>
            <w:shd w:val="clear" w:color="auto" w:fill="auto"/>
            <w:vAlign w:val="center"/>
          </w:tcPr>
          <w:p w:rsidR="00E8261B" w:rsidRPr="002F17B5" w:rsidRDefault="00E8261B"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p>
        </w:tc>
        <w:tc>
          <w:tcPr>
            <w:tcW w:w="1559" w:type="dxa"/>
            <w:shd w:val="clear" w:color="auto" w:fill="auto"/>
            <w:vAlign w:val="center"/>
          </w:tcPr>
          <w:p w:rsidR="00E8261B" w:rsidRPr="002F17B5" w:rsidRDefault="00E8261B" w:rsidP="004A4CFF">
            <w:pPr>
              <w:spacing w:after="40"/>
              <w:jc w:val="right"/>
              <w:cnfStyle w:val="000000000000" w:firstRow="0" w:lastRow="0" w:firstColumn="0" w:lastColumn="0" w:oddVBand="0" w:evenVBand="0" w:oddHBand="0" w:evenHBand="0" w:firstRowFirstColumn="0" w:firstRowLastColumn="0" w:lastRowFirstColumn="0" w:lastRowLastColumn="0"/>
              <w:rPr>
                <w:rFonts w:cs="Arial"/>
              </w:rPr>
            </w:pPr>
          </w:p>
        </w:tc>
      </w:tr>
    </w:tbl>
    <w:p w:rsidR="00274914" w:rsidRDefault="00274914" w:rsidP="00274914">
      <w:pPr>
        <w:spacing w:after="240"/>
        <w:ind w:left="720"/>
      </w:pPr>
      <w:r w:rsidRPr="002F17B5">
        <w:t>Forward Foreign currency contracts are used to hedge against foreign currency movements.</w:t>
      </w:r>
    </w:p>
    <w:p w:rsidR="00E8261B" w:rsidRPr="002F17B5" w:rsidRDefault="00E8261B" w:rsidP="00274914">
      <w:pPr>
        <w:spacing w:after="240"/>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341FA8">
        <w:trPr>
          <w:trHeight w:val="741"/>
        </w:trPr>
        <w:tc>
          <w:tcPr>
            <w:tcW w:w="5058" w:type="dxa"/>
          </w:tcPr>
          <w:p w:rsidR="00274914" w:rsidRDefault="00274914" w:rsidP="00274914">
            <w:pPr>
              <w:rPr>
                <w:b/>
              </w:rPr>
            </w:pPr>
          </w:p>
          <w:p w:rsidR="00E8261B" w:rsidRPr="002F17B5" w:rsidRDefault="00E8261B" w:rsidP="00274914">
            <w:pPr>
              <w:rPr>
                <w:b/>
              </w:rPr>
            </w:pPr>
          </w:p>
        </w:tc>
        <w:tc>
          <w:tcPr>
            <w:tcW w:w="1559" w:type="dxa"/>
          </w:tcPr>
          <w:p w:rsidR="00274914" w:rsidRPr="002F17B5" w:rsidRDefault="00A13302" w:rsidP="00274914">
            <w:pPr>
              <w:jc w:val="right"/>
              <w:rPr>
                <w:b/>
              </w:rPr>
            </w:pPr>
            <w:r w:rsidRPr="002F17B5">
              <w:rPr>
                <w:b/>
              </w:rPr>
              <w:t>31/03/14</w:t>
            </w:r>
          </w:p>
          <w:p w:rsidR="00274914" w:rsidRPr="002F17B5" w:rsidRDefault="00274914" w:rsidP="00274914">
            <w:pPr>
              <w:jc w:val="right"/>
              <w:rPr>
                <w:b/>
              </w:rPr>
            </w:pPr>
            <w:r w:rsidRPr="002F17B5">
              <w:rPr>
                <w:b/>
              </w:rPr>
              <w:t>£m</w:t>
            </w:r>
          </w:p>
        </w:tc>
        <w:tc>
          <w:tcPr>
            <w:tcW w:w="430" w:type="dxa"/>
            <w:tcBorders>
              <w:right w:val="single" w:sz="4" w:space="0" w:color="FFFFFF" w:themeColor="background1"/>
            </w:tcBorders>
          </w:tcPr>
          <w:p w:rsidR="00274914" w:rsidRPr="002F17B5" w:rsidRDefault="00274914" w:rsidP="00274914">
            <w:pPr>
              <w:jc w:val="right"/>
              <w:rPr>
                <w:b/>
              </w:rPr>
            </w:pPr>
          </w:p>
          <w:p w:rsidR="00274914" w:rsidRPr="002F17B5" w:rsidRDefault="00274914" w:rsidP="00274914">
            <w:pPr>
              <w:jc w:val="right"/>
              <w:rPr>
                <w:b/>
              </w:rPr>
            </w:pPr>
          </w:p>
        </w:tc>
        <w:tc>
          <w:tcPr>
            <w:tcW w:w="1696" w:type="dxa"/>
            <w:tcBorders>
              <w:left w:val="single" w:sz="4" w:space="0" w:color="FFFFFF" w:themeColor="background1"/>
            </w:tcBorders>
          </w:tcPr>
          <w:p w:rsidR="00274914" w:rsidRPr="002F17B5" w:rsidRDefault="00A13302" w:rsidP="00274914">
            <w:pPr>
              <w:jc w:val="right"/>
              <w:rPr>
                <w:b/>
              </w:rPr>
            </w:pPr>
            <w:r w:rsidRPr="002F17B5">
              <w:rPr>
                <w:b/>
              </w:rPr>
              <w:t>31/03/13</w:t>
            </w:r>
          </w:p>
          <w:p w:rsidR="00274914" w:rsidRPr="002F17B5" w:rsidRDefault="00341FA8" w:rsidP="00341FA8">
            <w:pPr>
              <w:jc w:val="right"/>
              <w:rPr>
                <w:b/>
              </w:rPr>
            </w:pPr>
            <w:r w:rsidRPr="002F17B5">
              <w:rPr>
                <w:b/>
              </w:rPr>
              <w:t>£m</w:t>
            </w:r>
          </w:p>
        </w:tc>
      </w:tr>
      <w:tr w:rsidR="00274914" w:rsidRPr="002F17B5" w:rsidTr="00274914">
        <w:tc>
          <w:tcPr>
            <w:tcW w:w="5058" w:type="dxa"/>
          </w:tcPr>
          <w:p w:rsidR="00274914" w:rsidRPr="002F17B5" w:rsidRDefault="00274914" w:rsidP="00341FA8">
            <w:pPr>
              <w:spacing w:after="60"/>
              <w:rPr>
                <w:b/>
              </w:rPr>
            </w:pPr>
            <w:r w:rsidRPr="002F17B5">
              <w:rPr>
                <w:b/>
              </w:rPr>
              <w:t>Cash Deposits</w:t>
            </w:r>
          </w:p>
        </w:tc>
        <w:tc>
          <w:tcPr>
            <w:tcW w:w="1559" w:type="dxa"/>
          </w:tcPr>
          <w:p w:rsidR="00274914" w:rsidRPr="002F17B5" w:rsidRDefault="00274914" w:rsidP="00341FA8">
            <w:pPr>
              <w:spacing w:after="60"/>
              <w:jc w:val="right"/>
            </w:pPr>
          </w:p>
        </w:tc>
        <w:tc>
          <w:tcPr>
            <w:tcW w:w="430" w:type="dxa"/>
            <w:tcBorders>
              <w:right w:val="single" w:sz="4" w:space="0" w:color="FFFFFF" w:themeColor="background1"/>
            </w:tcBorders>
          </w:tcPr>
          <w:p w:rsidR="00274914" w:rsidRPr="002F17B5" w:rsidRDefault="00274914" w:rsidP="00341FA8">
            <w:pPr>
              <w:spacing w:after="60"/>
              <w:jc w:val="right"/>
            </w:pPr>
          </w:p>
        </w:tc>
        <w:tc>
          <w:tcPr>
            <w:tcW w:w="1696" w:type="dxa"/>
            <w:tcBorders>
              <w:left w:val="single" w:sz="4" w:space="0" w:color="FFFFFF" w:themeColor="background1"/>
            </w:tcBorders>
          </w:tcPr>
          <w:p w:rsidR="00274914" w:rsidRPr="002F17B5" w:rsidRDefault="00274914" w:rsidP="00341FA8">
            <w:pPr>
              <w:spacing w:after="60"/>
              <w:jc w:val="right"/>
            </w:pPr>
          </w:p>
        </w:tc>
      </w:tr>
      <w:tr w:rsidR="00274914" w:rsidRPr="002F17B5" w:rsidTr="00274914">
        <w:tc>
          <w:tcPr>
            <w:tcW w:w="5058" w:type="dxa"/>
          </w:tcPr>
          <w:p w:rsidR="00274914" w:rsidRPr="002F17B5" w:rsidRDefault="00274914" w:rsidP="00341FA8">
            <w:pPr>
              <w:spacing w:after="60"/>
            </w:pPr>
            <w:r w:rsidRPr="002F17B5">
              <w:t>Sterling</w:t>
            </w:r>
          </w:p>
        </w:tc>
        <w:tc>
          <w:tcPr>
            <w:tcW w:w="1559" w:type="dxa"/>
          </w:tcPr>
          <w:p w:rsidR="00274914" w:rsidRPr="002F17B5" w:rsidRDefault="00274914" w:rsidP="00341FA8">
            <w:pPr>
              <w:spacing w:after="60"/>
              <w:jc w:val="right"/>
            </w:pPr>
            <w:r w:rsidRPr="002F17B5">
              <w:t>148.0</w:t>
            </w:r>
          </w:p>
        </w:tc>
        <w:tc>
          <w:tcPr>
            <w:tcW w:w="430" w:type="dxa"/>
            <w:tcBorders>
              <w:right w:val="single" w:sz="4" w:space="0" w:color="FFFFFF" w:themeColor="background1"/>
            </w:tcBorders>
          </w:tcPr>
          <w:p w:rsidR="00274914" w:rsidRPr="002F17B5" w:rsidRDefault="00274914" w:rsidP="00341FA8">
            <w:pPr>
              <w:spacing w:after="60"/>
              <w:jc w:val="right"/>
            </w:pPr>
          </w:p>
        </w:tc>
        <w:tc>
          <w:tcPr>
            <w:tcW w:w="1696" w:type="dxa"/>
            <w:tcBorders>
              <w:left w:val="single" w:sz="4" w:space="0" w:color="FFFFFF" w:themeColor="background1"/>
            </w:tcBorders>
          </w:tcPr>
          <w:p w:rsidR="00274914" w:rsidRPr="002F17B5" w:rsidRDefault="00274914" w:rsidP="00341FA8">
            <w:pPr>
              <w:spacing w:after="60"/>
              <w:jc w:val="right"/>
            </w:pPr>
            <w:r w:rsidRPr="002F17B5">
              <w:t>116.6</w:t>
            </w:r>
          </w:p>
        </w:tc>
      </w:tr>
      <w:tr w:rsidR="00274914" w:rsidRPr="002F17B5" w:rsidTr="00274914">
        <w:tc>
          <w:tcPr>
            <w:tcW w:w="5058" w:type="dxa"/>
          </w:tcPr>
          <w:p w:rsidR="00274914" w:rsidRPr="002F17B5" w:rsidRDefault="00274914" w:rsidP="00341FA8">
            <w:pPr>
              <w:spacing w:after="60"/>
            </w:pPr>
            <w:r w:rsidRPr="002F17B5">
              <w:t>Foreign currency</w:t>
            </w:r>
          </w:p>
        </w:tc>
        <w:tc>
          <w:tcPr>
            <w:tcW w:w="1559" w:type="dxa"/>
            <w:tcBorders>
              <w:bottom w:val="single" w:sz="18" w:space="0" w:color="auto"/>
            </w:tcBorders>
          </w:tcPr>
          <w:p w:rsidR="00274914" w:rsidRPr="002F17B5" w:rsidRDefault="00274914" w:rsidP="00341FA8">
            <w:pPr>
              <w:spacing w:after="60"/>
              <w:jc w:val="right"/>
            </w:pPr>
            <w:r w:rsidRPr="002F17B5">
              <w:t>167.5</w:t>
            </w:r>
          </w:p>
        </w:tc>
        <w:tc>
          <w:tcPr>
            <w:tcW w:w="430" w:type="dxa"/>
            <w:tcBorders>
              <w:right w:val="single" w:sz="4" w:space="0" w:color="FFFFFF" w:themeColor="background1"/>
            </w:tcBorders>
          </w:tcPr>
          <w:p w:rsidR="00274914" w:rsidRPr="002F17B5" w:rsidRDefault="00274914" w:rsidP="00341FA8">
            <w:pPr>
              <w:spacing w:after="60"/>
              <w:jc w:val="right"/>
            </w:pPr>
          </w:p>
        </w:tc>
        <w:tc>
          <w:tcPr>
            <w:tcW w:w="1696" w:type="dxa"/>
            <w:tcBorders>
              <w:left w:val="single" w:sz="4" w:space="0" w:color="FFFFFF" w:themeColor="background1"/>
              <w:bottom w:val="single" w:sz="18" w:space="0" w:color="auto"/>
            </w:tcBorders>
          </w:tcPr>
          <w:p w:rsidR="00274914" w:rsidRPr="002F17B5" w:rsidRDefault="00274914" w:rsidP="00341FA8">
            <w:pPr>
              <w:spacing w:after="60"/>
              <w:jc w:val="right"/>
            </w:pPr>
            <w:r w:rsidRPr="002F17B5">
              <w:t>53.9</w:t>
            </w:r>
          </w:p>
        </w:tc>
      </w:tr>
      <w:tr w:rsidR="00274914" w:rsidRPr="002F17B5" w:rsidTr="00274914">
        <w:tc>
          <w:tcPr>
            <w:tcW w:w="5058" w:type="dxa"/>
          </w:tcPr>
          <w:p w:rsidR="00274914" w:rsidRPr="002F17B5" w:rsidRDefault="00274914" w:rsidP="00341FA8">
            <w:pPr>
              <w:spacing w:after="60"/>
            </w:pPr>
          </w:p>
        </w:tc>
        <w:tc>
          <w:tcPr>
            <w:tcW w:w="1559" w:type="dxa"/>
            <w:tcBorders>
              <w:top w:val="single" w:sz="18" w:space="0" w:color="auto"/>
              <w:bottom w:val="single" w:sz="18" w:space="0" w:color="auto"/>
            </w:tcBorders>
          </w:tcPr>
          <w:p w:rsidR="00274914" w:rsidRPr="002F17B5" w:rsidRDefault="00274914" w:rsidP="00341FA8">
            <w:pPr>
              <w:spacing w:after="60"/>
              <w:jc w:val="right"/>
            </w:pPr>
            <w:r w:rsidRPr="002F17B5">
              <w:t>315.5</w:t>
            </w:r>
          </w:p>
        </w:tc>
        <w:tc>
          <w:tcPr>
            <w:tcW w:w="430" w:type="dxa"/>
            <w:tcBorders>
              <w:right w:val="single" w:sz="4" w:space="0" w:color="FFFFFF" w:themeColor="background1"/>
            </w:tcBorders>
          </w:tcPr>
          <w:p w:rsidR="00274914" w:rsidRPr="002F17B5" w:rsidRDefault="00274914" w:rsidP="00341FA8">
            <w:pPr>
              <w:spacing w:after="6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341FA8">
            <w:pPr>
              <w:spacing w:after="60"/>
              <w:jc w:val="right"/>
            </w:pPr>
            <w:r w:rsidRPr="002F17B5">
              <w:t>170.5</w:t>
            </w:r>
          </w:p>
        </w:tc>
      </w:tr>
    </w:tbl>
    <w:p w:rsidR="00274914" w:rsidRDefault="00274914" w:rsidP="008C0AEC">
      <w:pPr>
        <w:rPr>
          <w:b/>
          <w:sz w:val="34"/>
        </w:rPr>
      </w:pPr>
    </w:p>
    <w:p w:rsidR="00E8261B" w:rsidRDefault="00E8261B" w:rsidP="008C0AEC">
      <w:pPr>
        <w:rPr>
          <w:b/>
          <w:sz w:val="34"/>
        </w:rPr>
      </w:pPr>
    </w:p>
    <w:p w:rsidR="00E8261B" w:rsidRDefault="00E8261B" w:rsidP="008C0AEC">
      <w:pPr>
        <w:rPr>
          <w:b/>
          <w:sz w:val="34"/>
        </w:rPr>
      </w:pPr>
    </w:p>
    <w:p w:rsidR="00E8261B" w:rsidRPr="008C0AEC" w:rsidRDefault="00E8261B" w:rsidP="008C0AEC">
      <w:pPr>
        <w:rPr>
          <w:b/>
          <w:sz w:val="34"/>
        </w:rPr>
      </w:pPr>
    </w:p>
    <w:p w:rsidR="00274914" w:rsidRPr="002F17B5" w:rsidRDefault="00274914" w:rsidP="009A4C35">
      <w:pPr>
        <w:pStyle w:val="ListParagraph"/>
        <w:numPr>
          <w:ilvl w:val="0"/>
          <w:numId w:val="75"/>
        </w:numPr>
        <w:autoSpaceDE/>
        <w:autoSpaceDN/>
        <w:adjustRightInd/>
        <w:spacing w:before="0"/>
        <w:rPr>
          <w:b/>
        </w:rPr>
      </w:pPr>
      <w:r w:rsidRPr="002F17B5">
        <w:rPr>
          <w:b/>
        </w:rPr>
        <w:t>Financial Instruments classification</w:t>
      </w:r>
    </w:p>
    <w:p w:rsidR="00274914" w:rsidRPr="002F17B5" w:rsidRDefault="00274914" w:rsidP="00274914">
      <w:pPr>
        <w:pStyle w:val="ListParagraph"/>
        <w:rPr>
          <w:b/>
        </w:rPr>
      </w:pPr>
    </w:p>
    <w:p w:rsidR="00274914" w:rsidRPr="002F17B5" w:rsidRDefault="00231F92" w:rsidP="00274914">
      <w:pPr>
        <w:pStyle w:val="ListParagraph"/>
        <w:rPr>
          <w:sz w:val="20"/>
        </w:rPr>
      </w:pPr>
      <w:r>
        <w:t xml:space="preserve">The </w:t>
      </w:r>
      <w:r w:rsidR="00E8261B">
        <w:t>a</w:t>
      </w:r>
      <w:r w:rsidR="00274914" w:rsidRPr="002F17B5">
        <w:t>ccounting policy</w:t>
      </w:r>
      <w:r>
        <w:t xml:space="preserve"> on financial instruments</w:t>
      </w:r>
      <w:r w:rsidR="00274914" w:rsidRPr="002F17B5">
        <w:t xml:space="preserve"> describes how different asset classes of financial instruments are measured, and how income and expenses, including fair value gains and losses are recognised.  The following table analyses the carrying amounts of financial assets and liabilities by category and net asset statement heading.</w:t>
      </w:r>
      <w:r w:rsidR="00274914" w:rsidRPr="002F17B5">
        <w:rPr>
          <w:sz w:val="20"/>
        </w:rPr>
        <w:t xml:space="preserve"> </w:t>
      </w:r>
    </w:p>
    <w:p w:rsidR="008E1C37" w:rsidRPr="002F17B5" w:rsidRDefault="008E1C37" w:rsidP="00274914">
      <w:pPr>
        <w:pStyle w:val="ListParagraph"/>
        <w:rPr>
          <w:sz w:val="20"/>
        </w:rPr>
      </w:pPr>
    </w:p>
    <w:tbl>
      <w:tblPr>
        <w:tblStyle w:val="TableGrid"/>
        <w:tblW w:w="1074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7"/>
        <w:gridCol w:w="172"/>
        <w:gridCol w:w="845"/>
        <w:gridCol w:w="6"/>
        <w:gridCol w:w="1275"/>
        <w:gridCol w:w="62"/>
        <w:gridCol w:w="817"/>
        <w:gridCol w:w="114"/>
        <w:gridCol w:w="1134"/>
        <w:gridCol w:w="707"/>
        <w:gridCol w:w="143"/>
        <w:gridCol w:w="709"/>
        <w:gridCol w:w="968"/>
      </w:tblGrid>
      <w:tr w:rsidR="00274914" w:rsidRPr="002F17B5" w:rsidTr="008E1C37">
        <w:trPr>
          <w:gridAfter w:val="1"/>
          <w:wAfter w:w="968" w:type="dxa"/>
        </w:trPr>
        <w:tc>
          <w:tcPr>
            <w:tcW w:w="3797" w:type="dxa"/>
          </w:tcPr>
          <w:p w:rsidR="00274914" w:rsidRPr="002F17B5" w:rsidRDefault="00A13302" w:rsidP="00A13302">
            <w:pPr>
              <w:spacing w:after="60"/>
              <w:rPr>
                <w:b/>
              </w:rPr>
            </w:pPr>
            <w:r w:rsidRPr="002F17B5">
              <w:rPr>
                <w:b/>
              </w:rPr>
              <w:t>31/03/14</w:t>
            </w:r>
          </w:p>
        </w:tc>
        <w:tc>
          <w:tcPr>
            <w:tcW w:w="2360" w:type="dxa"/>
            <w:gridSpan w:val="5"/>
          </w:tcPr>
          <w:p w:rsidR="00274914" w:rsidRPr="002F17B5" w:rsidRDefault="00AA0B95" w:rsidP="00341FA8">
            <w:pPr>
              <w:spacing w:after="0"/>
              <w:jc w:val="right"/>
              <w:rPr>
                <w:b/>
              </w:rPr>
            </w:pPr>
            <w:r>
              <w:rPr>
                <w:b/>
              </w:rPr>
              <w:t>F</w:t>
            </w:r>
            <w:r w:rsidR="00274914" w:rsidRPr="002F17B5">
              <w:rPr>
                <w:b/>
              </w:rPr>
              <w:t>air value through profit or loss</w:t>
            </w:r>
          </w:p>
        </w:tc>
        <w:tc>
          <w:tcPr>
            <w:tcW w:w="2065" w:type="dxa"/>
            <w:gridSpan w:val="3"/>
          </w:tcPr>
          <w:p w:rsidR="00274914" w:rsidRPr="002F17B5" w:rsidRDefault="00274914" w:rsidP="00341FA8">
            <w:pPr>
              <w:spacing w:after="0"/>
              <w:jc w:val="right"/>
              <w:rPr>
                <w:b/>
              </w:rPr>
            </w:pPr>
            <w:r w:rsidRPr="002F17B5">
              <w:rPr>
                <w:b/>
              </w:rPr>
              <w:t>Loans and receivables</w:t>
            </w:r>
          </w:p>
        </w:tc>
        <w:tc>
          <w:tcPr>
            <w:tcW w:w="1559" w:type="dxa"/>
            <w:gridSpan w:val="3"/>
          </w:tcPr>
          <w:p w:rsidR="00274914" w:rsidRPr="002F17B5" w:rsidRDefault="00274914" w:rsidP="00341FA8">
            <w:pPr>
              <w:spacing w:after="0"/>
              <w:jc w:val="right"/>
              <w:rPr>
                <w:b/>
              </w:rPr>
            </w:pPr>
            <w:r w:rsidRPr="002F17B5">
              <w:rPr>
                <w:b/>
              </w:rPr>
              <w:t>Financial liabilities at amortised cost</w:t>
            </w:r>
          </w:p>
        </w:tc>
      </w:tr>
      <w:tr w:rsidR="00274914" w:rsidRPr="002F17B5" w:rsidTr="008E1C37">
        <w:trPr>
          <w:gridAfter w:val="1"/>
          <w:wAfter w:w="968" w:type="dxa"/>
        </w:trPr>
        <w:tc>
          <w:tcPr>
            <w:tcW w:w="3797" w:type="dxa"/>
          </w:tcPr>
          <w:p w:rsidR="00274914" w:rsidRPr="002F17B5" w:rsidRDefault="00274914" w:rsidP="00341FA8">
            <w:pPr>
              <w:spacing w:after="60"/>
              <w:rPr>
                <w:b/>
              </w:rPr>
            </w:pPr>
          </w:p>
        </w:tc>
        <w:tc>
          <w:tcPr>
            <w:tcW w:w="2360" w:type="dxa"/>
            <w:gridSpan w:val="5"/>
          </w:tcPr>
          <w:p w:rsidR="00274914" w:rsidRPr="002F17B5" w:rsidRDefault="00274914" w:rsidP="00341FA8">
            <w:pPr>
              <w:spacing w:after="0"/>
              <w:jc w:val="right"/>
              <w:rPr>
                <w:b/>
              </w:rPr>
            </w:pPr>
            <w:r w:rsidRPr="002F17B5">
              <w:rPr>
                <w:b/>
              </w:rPr>
              <w:t>£m</w:t>
            </w:r>
          </w:p>
        </w:tc>
        <w:tc>
          <w:tcPr>
            <w:tcW w:w="2065" w:type="dxa"/>
            <w:gridSpan w:val="3"/>
          </w:tcPr>
          <w:p w:rsidR="00274914" w:rsidRPr="002F17B5" w:rsidRDefault="00274914" w:rsidP="00341FA8">
            <w:pPr>
              <w:spacing w:after="0"/>
              <w:jc w:val="right"/>
              <w:rPr>
                <w:b/>
              </w:rPr>
            </w:pPr>
            <w:r w:rsidRPr="002F17B5">
              <w:rPr>
                <w:b/>
              </w:rPr>
              <w:t>£m</w:t>
            </w:r>
          </w:p>
        </w:tc>
        <w:tc>
          <w:tcPr>
            <w:tcW w:w="1559" w:type="dxa"/>
            <w:gridSpan w:val="3"/>
          </w:tcPr>
          <w:p w:rsidR="00274914" w:rsidRPr="002F17B5" w:rsidRDefault="00274914" w:rsidP="00341FA8">
            <w:pPr>
              <w:spacing w:after="0"/>
              <w:jc w:val="right"/>
              <w:rPr>
                <w:b/>
              </w:rPr>
            </w:pPr>
            <w:r w:rsidRPr="002F17B5">
              <w:rPr>
                <w:b/>
              </w:rPr>
              <w:t>£m</w:t>
            </w:r>
          </w:p>
        </w:tc>
      </w:tr>
      <w:tr w:rsidR="00274914" w:rsidRPr="002F17B5" w:rsidTr="008E1C37">
        <w:trPr>
          <w:gridAfter w:val="1"/>
          <w:wAfter w:w="968" w:type="dxa"/>
        </w:trPr>
        <w:tc>
          <w:tcPr>
            <w:tcW w:w="3797" w:type="dxa"/>
          </w:tcPr>
          <w:p w:rsidR="00274914" w:rsidRPr="002F17B5" w:rsidRDefault="00274914" w:rsidP="00341FA8">
            <w:pPr>
              <w:spacing w:after="60"/>
              <w:rPr>
                <w:b/>
              </w:rPr>
            </w:pPr>
            <w:r w:rsidRPr="002F17B5">
              <w:rPr>
                <w:b/>
              </w:rPr>
              <w:t>Financial assets</w:t>
            </w:r>
          </w:p>
        </w:tc>
        <w:tc>
          <w:tcPr>
            <w:tcW w:w="1017" w:type="dxa"/>
            <w:gridSpan w:val="2"/>
            <w:tcBorders>
              <w:right w:val="single" w:sz="18" w:space="0" w:color="FFFFFF" w:themeColor="background1"/>
            </w:tcBorders>
          </w:tcPr>
          <w:p w:rsidR="00274914" w:rsidRPr="002F17B5" w:rsidRDefault="00274914" w:rsidP="00341FA8">
            <w:pPr>
              <w:spacing w:after="60"/>
              <w:jc w:val="right"/>
            </w:pPr>
          </w:p>
        </w:tc>
        <w:tc>
          <w:tcPr>
            <w:tcW w:w="1343" w:type="dxa"/>
            <w:gridSpan w:val="3"/>
            <w:tcBorders>
              <w:left w:val="single" w:sz="18" w:space="0" w:color="FFFFFF" w:themeColor="background1"/>
            </w:tcBorders>
          </w:tcPr>
          <w:p w:rsidR="00274914" w:rsidRPr="002F17B5" w:rsidRDefault="00274914" w:rsidP="00341FA8">
            <w:pPr>
              <w:spacing w:after="60"/>
              <w:jc w:val="right"/>
            </w:pPr>
          </w:p>
        </w:tc>
        <w:tc>
          <w:tcPr>
            <w:tcW w:w="817" w:type="dxa"/>
            <w:tcBorders>
              <w:right w:val="single" w:sz="18" w:space="0" w:color="FFFFFF" w:themeColor="background1"/>
            </w:tcBorders>
          </w:tcPr>
          <w:p w:rsidR="00274914" w:rsidRPr="002F17B5" w:rsidRDefault="00274914" w:rsidP="00341FA8">
            <w:pPr>
              <w:spacing w:after="60"/>
              <w:jc w:val="right"/>
            </w:pPr>
          </w:p>
        </w:tc>
        <w:tc>
          <w:tcPr>
            <w:tcW w:w="1248" w:type="dxa"/>
            <w:gridSpan w:val="2"/>
            <w:tcBorders>
              <w:left w:val="single" w:sz="18" w:space="0" w:color="FFFFFF" w:themeColor="background1"/>
            </w:tcBorders>
          </w:tcPr>
          <w:p w:rsidR="00274914" w:rsidRPr="002F17B5" w:rsidRDefault="00274914" w:rsidP="00341FA8">
            <w:pPr>
              <w:spacing w:after="60"/>
              <w:jc w:val="right"/>
            </w:pPr>
          </w:p>
        </w:tc>
        <w:tc>
          <w:tcPr>
            <w:tcW w:w="707" w:type="dxa"/>
            <w:tcBorders>
              <w:right w:val="single" w:sz="18" w:space="0" w:color="FFFFFF" w:themeColor="background1"/>
            </w:tcBorders>
          </w:tcPr>
          <w:p w:rsidR="00274914" w:rsidRPr="002F17B5" w:rsidRDefault="00274914" w:rsidP="00341FA8">
            <w:pPr>
              <w:spacing w:after="60"/>
              <w:jc w:val="right"/>
            </w:pPr>
          </w:p>
        </w:tc>
        <w:tc>
          <w:tcPr>
            <w:tcW w:w="852" w:type="dxa"/>
            <w:gridSpan w:val="2"/>
            <w:tcBorders>
              <w:left w:val="single" w:sz="18" w:space="0" w:color="FFFFFF" w:themeColor="background1"/>
            </w:tcBorders>
          </w:tcPr>
          <w:p w:rsidR="00274914" w:rsidRPr="002F17B5" w:rsidRDefault="00274914" w:rsidP="00341FA8">
            <w:pPr>
              <w:spacing w:after="60"/>
              <w:jc w:val="right"/>
            </w:pPr>
          </w:p>
        </w:tc>
      </w:tr>
      <w:tr w:rsidR="00274914" w:rsidRPr="002F17B5" w:rsidTr="008E1C37">
        <w:trPr>
          <w:gridAfter w:val="1"/>
          <w:wAfter w:w="968" w:type="dxa"/>
        </w:trPr>
        <w:tc>
          <w:tcPr>
            <w:tcW w:w="3797" w:type="dxa"/>
          </w:tcPr>
          <w:p w:rsidR="00274914" w:rsidRPr="002F17B5" w:rsidRDefault="00274914" w:rsidP="00341FA8">
            <w:pPr>
              <w:spacing w:after="40"/>
            </w:pPr>
            <w:r w:rsidRPr="002F17B5">
              <w:t>Fixed interest securities</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233.0</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r w:rsidRPr="002F17B5">
              <w:t>-</w:t>
            </w: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r w:rsidRPr="002F17B5">
              <w:t>-</w:t>
            </w:r>
          </w:p>
        </w:tc>
      </w:tr>
      <w:tr w:rsidR="00274914" w:rsidRPr="002F17B5" w:rsidTr="008E1C37">
        <w:trPr>
          <w:gridAfter w:val="1"/>
          <w:wAfter w:w="968" w:type="dxa"/>
        </w:trPr>
        <w:tc>
          <w:tcPr>
            <w:tcW w:w="3797" w:type="dxa"/>
          </w:tcPr>
          <w:p w:rsidR="00274914" w:rsidRPr="002F17B5" w:rsidRDefault="00274914" w:rsidP="00341FA8">
            <w:pPr>
              <w:spacing w:after="40"/>
            </w:pPr>
            <w:r w:rsidRPr="002F17B5">
              <w:t>Equities</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1,921.1</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r w:rsidRPr="002F17B5">
              <w:t>-</w:t>
            </w: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r w:rsidRPr="002F17B5">
              <w:t>-</w:t>
            </w:r>
          </w:p>
        </w:tc>
      </w:tr>
      <w:tr w:rsidR="00274914" w:rsidRPr="002F17B5" w:rsidTr="008E1C37">
        <w:trPr>
          <w:gridAfter w:val="1"/>
          <w:wAfter w:w="968" w:type="dxa"/>
        </w:trPr>
        <w:tc>
          <w:tcPr>
            <w:tcW w:w="3797" w:type="dxa"/>
          </w:tcPr>
          <w:p w:rsidR="00274914" w:rsidRPr="002F17B5" w:rsidRDefault="00274914" w:rsidP="00341FA8">
            <w:pPr>
              <w:spacing w:after="40"/>
            </w:pPr>
            <w:r w:rsidRPr="002F17B5">
              <w:t>Pooled investment vehicles</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1,661.4</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r w:rsidRPr="002F17B5">
              <w:t>-</w:t>
            </w: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r w:rsidRPr="002F17B5">
              <w:t>-</w:t>
            </w:r>
          </w:p>
        </w:tc>
      </w:tr>
      <w:tr w:rsidR="00274914" w:rsidRPr="002F17B5" w:rsidTr="008E1C37">
        <w:trPr>
          <w:gridAfter w:val="1"/>
          <w:wAfter w:w="968" w:type="dxa"/>
        </w:trPr>
        <w:tc>
          <w:tcPr>
            <w:tcW w:w="3797" w:type="dxa"/>
          </w:tcPr>
          <w:p w:rsidR="00274914" w:rsidRPr="002F17B5" w:rsidRDefault="00274914" w:rsidP="00341FA8">
            <w:pPr>
              <w:spacing w:after="40"/>
            </w:pPr>
            <w:r w:rsidRPr="002F17B5">
              <w:t>Pooled property investments</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25.1</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p>
        </w:tc>
      </w:tr>
      <w:tr w:rsidR="00274914" w:rsidRPr="002F17B5" w:rsidTr="008E1C37">
        <w:trPr>
          <w:gridAfter w:val="1"/>
          <w:wAfter w:w="968" w:type="dxa"/>
        </w:trPr>
        <w:tc>
          <w:tcPr>
            <w:tcW w:w="3797" w:type="dxa"/>
          </w:tcPr>
          <w:p w:rsidR="00274914" w:rsidRPr="002F17B5" w:rsidRDefault="00274914" w:rsidP="00341FA8">
            <w:pPr>
              <w:spacing w:after="40"/>
            </w:pPr>
            <w:r w:rsidRPr="002F17B5">
              <w:t>Venture Capital</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552.4</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p>
        </w:tc>
      </w:tr>
      <w:tr w:rsidR="00274914" w:rsidRPr="002F17B5" w:rsidTr="008E1C37">
        <w:trPr>
          <w:gridAfter w:val="1"/>
          <w:wAfter w:w="968" w:type="dxa"/>
        </w:trPr>
        <w:tc>
          <w:tcPr>
            <w:tcW w:w="3797" w:type="dxa"/>
          </w:tcPr>
          <w:p w:rsidR="00274914" w:rsidRPr="002F17B5" w:rsidRDefault="00274914" w:rsidP="00341FA8">
            <w:pPr>
              <w:spacing w:after="40"/>
            </w:pPr>
            <w:r w:rsidRPr="002F17B5">
              <w:t>Derivative Contracts</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21.4</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p>
        </w:tc>
      </w:tr>
      <w:tr w:rsidR="00274914" w:rsidRPr="002F17B5" w:rsidTr="008E1C37">
        <w:trPr>
          <w:gridAfter w:val="1"/>
          <w:wAfter w:w="968" w:type="dxa"/>
        </w:trPr>
        <w:tc>
          <w:tcPr>
            <w:tcW w:w="3797" w:type="dxa"/>
          </w:tcPr>
          <w:p w:rsidR="00274914" w:rsidRPr="002F17B5" w:rsidRDefault="00274914" w:rsidP="00341FA8">
            <w:pPr>
              <w:spacing w:after="40"/>
            </w:pPr>
            <w:r w:rsidRPr="002F17B5">
              <w:t>Cash deposits</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r w:rsidRPr="002F17B5">
              <w:t>315.5</w:t>
            </w: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r w:rsidRPr="002F17B5">
              <w:t>-</w:t>
            </w:r>
          </w:p>
        </w:tc>
      </w:tr>
      <w:tr w:rsidR="00274914" w:rsidRPr="002F17B5" w:rsidTr="008E1C37">
        <w:trPr>
          <w:gridAfter w:val="1"/>
          <w:wAfter w:w="968" w:type="dxa"/>
        </w:trPr>
        <w:tc>
          <w:tcPr>
            <w:tcW w:w="3797" w:type="dxa"/>
          </w:tcPr>
          <w:p w:rsidR="00274914" w:rsidRPr="002F17B5" w:rsidRDefault="00274914" w:rsidP="00341FA8">
            <w:pPr>
              <w:spacing w:after="40"/>
            </w:pPr>
            <w:r w:rsidRPr="002F17B5">
              <w:t>Investment accruals</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12.4</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r w:rsidRPr="002F17B5">
              <w:t>-</w:t>
            </w: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r w:rsidRPr="002F17B5">
              <w:t>-</w:t>
            </w:r>
          </w:p>
        </w:tc>
      </w:tr>
      <w:tr w:rsidR="00274914" w:rsidRPr="002F17B5" w:rsidTr="008E1C37">
        <w:trPr>
          <w:gridAfter w:val="1"/>
          <w:wAfter w:w="968" w:type="dxa"/>
        </w:trPr>
        <w:tc>
          <w:tcPr>
            <w:tcW w:w="3797" w:type="dxa"/>
          </w:tcPr>
          <w:p w:rsidR="00274914" w:rsidRPr="002F17B5" w:rsidRDefault="00274914" w:rsidP="00341FA8">
            <w:pPr>
              <w:spacing w:after="40"/>
            </w:pPr>
            <w:r w:rsidRPr="002F17B5">
              <w:t>Debtors</w:t>
            </w:r>
          </w:p>
        </w:tc>
        <w:tc>
          <w:tcPr>
            <w:tcW w:w="1017" w:type="dxa"/>
            <w:gridSpan w:val="2"/>
            <w:tcBorders>
              <w:right w:val="single" w:sz="18" w:space="0" w:color="FFFFFF" w:themeColor="background1"/>
            </w:tcBorders>
          </w:tcPr>
          <w:p w:rsidR="00274914" w:rsidRPr="002F17B5" w:rsidRDefault="00274914" w:rsidP="00341FA8">
            <w:pPr>
              <w:spacing w:after="40"/>
              <w:jc w:val="right"/>
            </w:pPr>
          </w:p>
        </w:tc>
        <w:tc>
          <w:tcPr>
            <w:tcW w:w="1343" w:type="dxa"/>
            <w:gridSpan w:val="3"/>
            <w:tcBorders>
              <w:left w:val="single" w:sz="18" w:space="0" w:color="FFFFFF" w:themeColor="background1"/>
            </w:tcBorders>
          </w:tcPr>
          <w:p w:rsidR="00274914" w:rsidRPr="002F17B5" w:rsidRDefault="00274914" w:rsidP="00341FA8">
            <w:pPr>
              <w:spacing w:after="40"/>
              <w:jc w:val="right"/>
            </w:pPr>
            <w:r w:rsidRPr="002F17B5">
              <w:t>-</w:t>
            </w:r>
          </w:p>
        </w:tc>
        <w:tc>
          <w:tcPr>
            <w:tcW w:w="817" w:type="dxa"/>
            <w:tcBorders>
              <w:right w:val="single" w:sz="18" w:space="0" w:color="FFFFFF" w:themeColor="background1"/>
            </w:tcBorders>
          </w:tcPr>
          <w:p w:rsidR="00274914" w:rsidRPr="002F17B5" w:rsidRDefault="00274914" w:rsidP="00341FA8">
            <w:pPr>
              <w:spacing w:after="40"/>
              <w:jc w:val="right"/>
            </w:pPr>
          </w:p>
        </w:tc>
        <w:tc>
          <w:tcPr>
            <w:tcW w:w="1248" w:type="dxa"/>
            <w:gridSpan w:val="2"/>
            <w:tcBorders>
              <w:left w:val="single" w:sz="18" w:space="0" w:color="FFFFFF" w:themeColor="background1"/>
            </w:tcBorders>
          </w:tcPr>
          <w:p w:rsidR="00274914" w:rsidRPr="002F17B5" w:rsidRDefault="00274914" w:rsidP="00341FA8">
            <w:pPr>
              <w:spacing w:after="40"/>
              <w:jc w:val="right"/>
            </w:pPr>
            <w:r w:rsidRPr="002F17B5">
              <w:t>28.3</w:t>
            </w:r>
          </w:p>
        </w:tc>
        <w:tc>
          <w:tcPr>
            <w:tcW w:w="707" w:type="dxa"/>
            <w:tcBorders>
              <w:right w:val="single" w:sz="18" w:space="0" w:color="FFFFFF" w:themeColor="background1"/>
            </w:tcBorders>
          </w:tcPr>
          <w:p w:rsidR="00274914" w:rsidRPr="002F17B5" w:rsidRDefault="00274914" w:rsidP="00341FA8">
            <w:pPr>
              <w:spacing w:after="40"/>
              <w:jc w:val="right"/>
            </w:pPr>
          </w:p>
        </w:tc>
        <w:tc>
          <w:tcPr>
            <w:tcW w:w="852" w:type="dxa"/>
            <w:gridSpan w:val="2"/>
            <w:tcBorders>
              <w:left w:val="single" w:sz="18" w:space="0" w:color="FFFFFF" w:themeColor="background1"/>
            </w:tcBorders>
          </w:tcPr>
          <w:p w:rsidR="00274914" w:rsidRPr="002F17B5" w:rsidRDefault="00274914" w:rsidP="00341FA8">
            <w:pPr>
              <w:spacing w:after="40"/>
              <w:jc w:val="right"/>
            </w:pPr>
            <w:r w:rsidRPr="002F17B5">
              <w:t>-</w:t>
            </w:r>
          </w:p>
        </w:tc>
      </w:tr>
      <w:tr w:rsidR="00274914" w:rsidRPr="002F17B5" w:rsidTr="008E1C37">
        <w:trPr>
          <w:gridAfter w:val="1"/>
          <w:wAfter w:w="968" w:type="dxa"/>
        </w:trPr>
        <w:tc>
          <w:tcPr>
            <w:tcW w:w="3797" w:type="dxa"/>
          </w:tcPr>
          <w:p w:rsidR="00274914" w:rsidRPr="002F17B5" w:rsidRDefault="00274914" w:rsidP="00341FA8">
            <w:pPr>
              <w:spacing w:after="60"/>
              <w:rPr>
                <w:b/>
              </w:rPr>
            </w:pPr>
            <w:r w:rsidRPr="002F17B5">
              <w:rPr>
                <w:b/>
              </w:rPr>
              <w:t>Total Financial Assets</w:t>
            </w:r>
          </w:p>
          <w:p w:rsidR="00274914" w:rsidRPr="002F17B5" w:rsidRDefault="00274914" w:rsidP="00341FA8">
            <w:pPr>
              <w:spacing w:after="60"/>
              <w:rPr>
                <w:sz w:val="2"/>
              </w:rPr>
            </w:pPr>
          </w:p>
          <w:p w:rsidR="00274914" w:rsidRPr="002F17B5" w:rsidRDefault="00274914" w:rsidP="00341FA8">
            <w:pPr>
              <w:spacing w:after="60"/>
            </w:pPr>
          </w:p>
        </w:tc>
        <w:tc>
          <w:tcPr>
            <w:tcW w:w="1017" w:type="dxa"/>
            <w:gridSpan w:val="2"/>
            <w:tcBorders>
              <w:right w:val="single" w:sz="18" w:space="0" w:color="FFFFFF" w:themeColor="background1"/>
            </w:tcBorders>
          </w:tcPr>
          <w:p w:rsidR="00274914" w:rsidRPr="002F17B5" w:rsidRDefault="00274914" w:rsidP="00341FA8">
            <w:pPr>
              <w:spacing w:after="60"/>
              <w:jc w:val="right"/>
              <w:rPr>
                <w:b/>
              </w:rPr>
            </w:pPr>
          </w:p>
        </w:tc>
        <w:tc>
          <w:tcPr>
            <w:tcW w:w="1343" w:type="dxa"/>
            <w:gridSpan w:val="3"/>
            <w:tcBorders>
              <w:left w:val="single" w:sz="18" w:space="0" w:color="FFFFFF" w:themeColor="background1"/>
            </w:tcBorders>
          </w:tcPr>
          <w:p w:rsidR="00274914" w:rsidRPr="002F17B5" w:rsidRDefault="00274914" w:rsidP="00341FA8">
            <w:pPr>
              <w:spacing w:after="60"/>
              <w:jc w:val="right"/>
              <w:rPr>
                <w:b/>
              </w:rPr>
            </w:pPr>
            <w:r w:rsidRPr="002F17B5">
              <w:rPr>
                <w:b/>
              </w:rPr>
              <w:t>4,426.8</w:t>
            </w:r>
          </w:p>
        </w:tc>
        <w:tc>
          <w:tcPr>
            <w:tcW w:w="817" w:type="dxa"/>
            <w:tcBorders>
              <w:right w:val="single" w:sz="18" w:space="0" w:color="FFFFFF" w:themeColor="background1"/>
            </w:tcBorders>
          </w:tcPr>
          <w:p w:rsidR="00274914" w:rsidRPr="002F17B5" w:rsidRDefault="00274914" w:rsidP="00341FA8">
            <w:pPr>
              <w:spacing w:after="60"/>
              <w:jc w:val="right"/>
              <w:rPr>
                <w:b/>
              </w:rPr>
            </w:pPr>
          </w:p>
        </w:tc>
        <w:tc>
          <w:tcPr>
            <w:tcW w:w="1248" w:type="dxa"/>
            <w:gridSpan w:val="2"/>
            <w:tcBorders>
              <w:left w:val="single" w:sz="18" w:space="0" w:color="FFFFFF" w:themeColor="background1"/>
            </w:tcBorders>
          </w:tcPr>
          <w:p w:rsidR="00274914" w:rsidRPr="002F17B5" w:rsidRDefault="00274914" w:rsidP="00341FA8">
            <w:pPr>
              <w:spacing w:after="60"/>
              <w:jc w:val="right"/>
              <w:rPr>
                <w:b/>
              </w:rPr>
            </w:pPr>
            <w:r w:rsidRPr="002F17B5">
              <w:rPr>
                <w:b/>
              </w:rPr>
              <w:t>343.8</w:t>
            </w:r>
          </w:p>
        </w:tc>
        <w:tc>
          <w:tcPr>
            <w:tcW w:w="707" w:type="dxa"/>
            <w:tcBorders>
              <w:right w:val="single" w:sz="18" w:space="0" w:color="FFFFFF" w:themeColor="background1"/>
            </w:tcBorders>
          </w:tcPr>
          <w:p w:rsidR="00274914" w:rsidRPr="002F17B5" w:rsidRDefault="00274914" w:rsidP="00341FA8">
            <w:pPr>
              <w:spacing w:after="60"/>
              <w:jc w:val="right"/>
              <w:rPr>
                <w:b/>
              </w:rPr>
            </w:pPr>
          </w:p>
        </w:tc>
        <w:tc>
          <w:tcPr>
            <w:tcW w:w="852" w:type="dxa"/>
            <w:gridSpan w:val="2"/>
            <w:tcBorders>
              <w:left w:val="single" w:sz="18" w:space="0" w:color="FFFFFF" w:themeColor="background1"/>
            </w:tcBorders>
          </w:tcPr>
          <w:p w:rsidR="00274914" w:rsidRPr="002F17B5" w:rsidRDefault="00274914" w:rsidP="00341FA8">
            <w:pPr>
              <w:spacing w:after="60"/>
              <w:jc w:val="right"/>
              <w:rPr>
                <w:b/>
              </w:rPr>
            </w:pPr>
            <w:r w:rsidRPr="002F17B5">
              <w:rPr>
                <w:b/>
              </w:rPr>
              <w:t>-</w:t>
            </w:r>
          </w:p>
        </w:tc>
      </w:tr>
      <w:tr w:rsidR="00274914" w:rsidRPr="002F17B5" w:rsidTr="008E1C37">
        <w:trPr>
          <w:gridAfter w:val="1"/>
          <w:wAfter w:w="968" w:type="dxa"/>
        </w:trPr>
        <w:tc>
          <w:tcPr>
            <w:tcW w:w="3797" w:type="dxa"/>
          </w:tcPr>
          <w:p w:rsidR="00274914" w:rsidRPr="002F17B5" w:rsidRDefault="00274914" w:rsidP="00341FA8">
            <w:pPr>
              <w:spacing w:after="60"/>
            </w:pPr>
            <w:r w:rsidRPr="002F17B5">
              <w:rPr>
                <w:b/>
              </w:rPr>
              <w:t>Financial liabilities</w:t>
            </w:r>
          </w:p>
        </w:tc>
        <w:tc>
          <w:tcPr>
            <w:tcW w:w="1017" w:type="dxa"/>
            <w:gridSpan w:val="2"/>
            <w:tcBorders>
              <w:right w:val="single" w:sz="18" w:space="0" w:color="FFFFFF" w:themeColor="background1"/>
            </w:tcBorders>
          </w:tcPr>
          <w:p w:rsidR="00274914" w:rsidRPr="002F17B5" w:rsidRDefault="00274914" w:rsidP="00341FA8">
            <w:pPr>
              <w:spacing w:after="60"/>
              <w:jc w:val="right"/>
            </w:pPr>
          </w:p>
        </w:tc>
        <w:tc>
          <w:tcPr>
            <w:tcW w:w="1343" w:type="dxa"/>
            <w:gridSpan w:val="3"/>
            <w:tcBorders>
              <w:left w:val="single" w:sz="18" w:space="0" w:color="FFFFFF" w:themeColor="background1"/>
            </w:tcBorders>
          </w:tcPr>
          <w:p w:rsidR="00274914" w:rsidRPr="002F17B5" w:rsidRDefault="00274914" w:rsidP="00341FA8">
            <w:pPr>
              <w:spacing w:after="60"/>
              <w:jc w:val="right"/>
            </w:pPr>
          </w:p>
        </w:tc>
        <w:tc>
          <w:tcPr>
            <w:tcW w:w="817" w:type="dxa"/>
            <w:tcBorders>
              <w:right w:val="single" w:sz="18" w:space="0" w:color="FFFFFF" w:themeColor="background1"/>
            </w:tcBorders>
          </w:tcPr>
          <w:p w:rsidR="00274914" w:rsidRPr="002F17B5" w:rsidRDefault="00274914" w:rsidP="00341FA8">
            <w:pPr>
              <w:spacing w:after="60"/>
              <w:jc w:val="right"/>
            </w:pPr>
          </w:p>
        </w:tc>
        <w:tc>
          <w:tcPr>
            <w:tcW w:w="1248" w:type="dxa"/>
            <w:gridSpan w:val="2"/>
            <w:tcBorders>
              <w:left w:val="single" w:sz="18" w:space="0" w:color="FFFFFF" w:themeColor="background1"/>
            </w:tcBorders>
          </w:tcPr>
          <w:p w:rsidR="00274914" w:rsidRPr="002F17B5" w:rsidRDefault="00274914" w:rsidP="00341FA8">
            <w:pPr>
              <w:spacing w:after="60"/>
              <w:jc w:val="right"/>
            </w:pPr>
          </w:p>
        </w:tc>
        <w:tc>
          <w:tcPr>
            <w:tcW w:w="707" w:type="dxa"/>
            <w:tcBorders>
              <w:right w:val="single" w:sz="18" w:space="0" w:color="FFFFFF" w:themeColor="background1"/>
            </w:tcBorders>
          </w:tcPr>
          <w:p w:rsidR="00274914" w:rsidRPr="002F17B5" w:rsidRDefault="00274914" w:rsidP="00341FA8">
            <w:pPr>
              <w:spacing w:after="60"/>
              <w:jc w:val="right"/>
            </w:pPr>
          </w:p>
        </w:tc>
        <w:tc>
          <w:tcPr>
            <w:tcW w:w="852" w:type="dxa"/>
            <w:gridSpan w:val="2"/>
            <w:tcBorders>
              <w:left w:val="single" w:sz="18" w:space="0" w:color="FFFFFF" w:themeColor="background1"/>
            </w:tcBorders>
          </w:tcPr>
          <w:p w:rsidR="00274914" w:rsidRPr="002F17B5" w:rsidRDefault="00274914" w:rsidP="00341FA8">
            <w:pPr>
              <w:spacing w:after="60"/>
              <w:jc w:val="right"/>
            </w:pPr>
          </w:p>
        </w:tc>
      </w:tr>
      <w:tr w:rsidR="00274914" w:rsidRPr="002F17B5" w:rsidTr="008E1C37">
        <w:trPr>
          <w:gridAfter w:val="1"/>
          <w:wAfter w:w="968" w:type="dxa"/>
        </w:trPr>
        <w:tc>
          <w:tcPr>
            <w:tcW w:w="3797" w:type="dxa"/>
          </w:tcPr>
          <w:p w:rsidR="00274914" w:rsidRPr="002F17B5" w:rsidRDefault="00274914" w:rsidP="00341FA8">
            <w:pPr>
              <w:spacing w:after="60"/>
              <w:rPr>
                <w:b/>
              </w:rPr>
            </w:pPr>
            <w:r w:rsidRPr="002F17B5">
              <w:t>Derivative contracts</w:t>
            </w:r>
          </w:p>
        </w:tc>
        <w:tc>
          <w:tcPr>
            <w:tcW w:w="1017" w:type="dxa"/>
            <w:gridSpan w:val="2"/>
            <w:tcBorders>
              <w:right w:val="single" w:sz="18" w:space="0" w:color="FFFFFF" w:themeColor="background1"/>
            </w:tcBorders>
          </w:tcPr>
          <w:p w:rsidR="00274914" w:rsidRPr="002F17B5" w:rsidRDefault="00274914" w:rsidP="00341FA8">
            <w:pPr>
              <w:spacing w:after="60"/>
              <w:jc w:val="right"/>
            </w:pPr>
          </w:p>
        </w:tc>
        <w:tc>
          <w:tcPr>
            <w:tcW w:w="1343" w:type="dxa"/>
            <w:gridSpan w:val="3"/>
            <w:tcBorders>
              <w:left w:val="single" w:sz="18" w:space="0" w:color="FFFFFF" w:themeColor="background1"/>
            </w:tcBorders>
          </w:tcPr>
          <w:p w:rsidR="00274914" w:rsidRPr="002F17B5" w:rsidRDefault="00274914" w:rsidP="00341FA8">
            <w:pPr>
              <w:spacing w:after="60"/>
              <w:jc w:val="right"/>
            </w:pPr>
            <w:r w:rsidRPr="002F17B5">
              <w:t>21.3</w:t>
            </w:r>
          </w:p>
        </w:tc>
        <w:tc>
          <w:tcPr>
            <w:tcW w:w="817" w:type="dxa"/>
            <w:tcBorders>
              <w:right w:val="single" w:sz="18" w:space="0" w:color="FFFFFF" w:themeColor="background1"/>
            </w:tcBorders>
          </w:tcPr>
          <w:p w:rsidR="00274914" w:rsidRPr="002F17B5" w:rsidRDefault="00274914" w:rsidP="00341FA8">
            <w:pPr>
              <w:spacing w:after="60"/>
              <w:jc w:val="right"/>
            </w:pPr>
          </w:p>
        </w:tc>
        <w:tc>
          <w:tcPr>
            <w:tcW w:w="1248" w:type="dxa"/>
            <w:gridSpan w:val="2"/>
            <w:tcBorders>
              <w:left w:val="single" w:sz="18" w:space="0" w:color="FFFFFF" w:themeColor="background1"/>
            </w:tcBorders>
          </w:tcPr>
          <w:p w:rsidR="00274914" w:rsidRPr="002F17B5" w:rsidRDefault="00274914" w:rsidP="00341FA8">
            <w:pPr>
              <w:spacing w:after="60"/>
              <w:jc w:val="right"/>
            </w:pPr>
            <w:r w:rsidRPr="002F17B5">
              <w:t>-</w:t>
            </w:r>
          </w:p>
        </w:tc>
        <w:tc>
          <w:tcPr>
            <w:tcW w:w="707" w:type="dxa"/>
            <w:tcBorders>
              <w:right w:val="single" w:sz="18" w:space="0" w:color="FFFFFF" w:themeColor="background1"/>
            </w:tcBorders>
          </w:tcPr>
          <w:p w:rsidR="00274914" w:rsidRPr="002F17B5" w:rsidRDefault="00274914" w:rsidP="00341FA8">
            <w:pPr>
              <w:spacing w:after="60"/>
              <w:jc w:val="right"/>
            </w:pPr>
          </w:p>
        </w:tc>
        <w:tc>
          <w:tcPr>
            <w:tcW w:w="852" w:type="dxa"/>
            <w:gridSpan w:val="2"/>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797" w:type="dxa"/>
          </w:tcPr>
          <w:p w:rsidR="00274914" w:rsidRPr="002F17B5" w:rsidRDefault="00274914" w:rsidP="00341FA8">
            <w:pPr>
              <w:spacing w:after="60"/>
            </w:pPr>
            <w:r w:rsidRPr="002F17B5">
              <w:t>Creditors</w:t>
            </w:r>
          </w:p>
        </w:tc>
        <w:tc>
          <w:tcPr>
            <w:tcW w:w="1017" w:type="dxa"/>
            <w:gridSpan w:val="2"/>
            <w:tcBorders>
              <w:right w:val="single" w:sz="18" w:space="0" w:color="FFFFFF" w:themeColor="background1"/>
            </w:tcBorders>
          </w:tcPr>
          <w:p w:rsidR="00274914" w:rsidRPr="002F17B5" w:rsidRDefault="00274914" w:rsidP="00341FA8">
            <w:pPr>
              <w:spacing w:after="60"/>
              <w:jc w:val="right"/>
            </w:pPr>
          </w:p>
        </w:tc>
        <w:tc>
          <w:tcPr>
            <w:tcW w:w="1343" w:type="dxa"/>
            <w:gridSpan w:val="3"/>
            <w:tcBorders>
              <w:left w:val="single" w:sz="18" w:space="0" w:color="FFFFFF" w:themeColor="background1"/>
            </w:tcBorders>
          </w:tcPr>
          <w:p w:rsidR="00274914" w:rsidRPr="002F17B5" w:rsidRDefault="00274914" w:rsidP="00341FA8">
            <w:pPr>
              <w:spacing w:after="60"/>
              <w:jc w:val="right"/>
            </w:pPr>
            <w:r w:rsidRPr="002F17B5">
              <w:t>-</w:t>
            </w:r>
          </w:p>
        </w:tc>
        <w:tc>
          <w:tcPr>
            <w:tcW w:w="817" w:type="dxa"/>
            <w:tcBorders>
              <w:right w:val="single" w:sz="18" w:space="0" w:color="FFFFFF" w:themeColor="background1"/>
            </w:tcBorders>
          </w:tcPr>
          <w:p w:rsidR="00274914" w:rsidRPr="002F17B5" w:rsidRDefault="00274914" w:rsidP="00341FA8">
            <w:pPr>
              <w:spacing w:after="60"/>
              <w:jc w:val="right"/>
            </w:pPr>
          </w:p>
        </w:tc>
        <w:tc>
          <w:tcPr>
            <w:tcW w:w="1248" w:type="dxa"/>
            <w:gridSpan w:val="2"/>
            <w:tcBorders>
              <w:left w:val="single" w:sz="18" w:space="0" w:color="FFFFFF" w:themeColor="background1"/>
            </w:tcBorders>
          </w:tcPr>
          <w:p w:rsidR="00274914" w:rsidRPr="002F17B5" w:rsidRDefault="00274914" w:rsidP="00341FA8">
            <w:pPr>
              <w:spacing w:after="60"/>
              <w:jc w:val="right"/>
            </w:pPr>
            <w:r w:rsidRPr="002F17B5">
              <w:t>-</w:t>
            </w:r>
          </w:p>
        </w:tc>
        <w:tc>
          <w:tcPr>
            <w:tcW w:w="707" w:type="dxa"/>
            <w:tcBorders>
              <w:right w:val="single" w:sz="18" w:space="0" w:color="FFFFFF" w:themeColor="background1"/>
            </w:tcBorders>
          </w:tcPr>
          <w:p w:rsidR="00274914" w:rsidRPr="002F17B5" w:rsidRDefault="00274914" w:rsidP="00341FA8">
            <w:pPr>
              <w:spacing w:after="60"/>
              <w:jc w:val="right"/>
            </w:pPr>
          </w:p>
        </w:tc>
        <w:tc>
          <w:tcPr>
            <w:tcW w:w="852" w:type="dxa"/>
            <w:gridSpan w:val="2"/>
            <w:tcBorders>
              <w:left w:val="single" w:sz="18" w:space="0" w:color="FFFFFF" w:themeColor="background1"/>
            </w:tcBorders>
          </w:tcPr>
          <w:p w:rsidR="00274914" w:rsidRPr="002F17B5" w:rsidRDefault="00274914" w:rsidP="00341FA8">
            <w:pPr>
              <w:spacing w:after="60"/>
              <w:jc w:val="right"/>
            </w:pPr>
            <w:r w:rsidRPr="002F17B5">
              <w:t>11.7</w:t>
            </w:r>
          </w:p>
        </w:tc>
      </w:tr>
      <w:tr w:rsidR="00274914" w:rsidRPr="002F17B5" w:rsidTr="008E1C37">
        <w:tc>
          <w:tcPr>
            <w:tcW w:w="4814" w:type="dxa"/>
            <w:gridSpan w:val="3"/>
          </w:tcPr>
          <w:p w:rsidR="00274914" w:rsidRPr="002F17B5" w:rsidRDefault="00274914" w:rsidP="00341FA8">
            <w:pPr>
              <w:spacing w:after="60"/>
              <w:rPr>
                <w:b/>
              </w:rPr>
            </w:pPr>
            <w:r w:rsidRPr="002F17B5">
              <w:rPr>
                <w:b/>
              </w:rPr>
              <w:t>Total Financial Liabilities</w:t>
            </w:r>
          </w:p>
        </w:tc>
        <w:tc>
          <w:tcPr>
            <w:tcW w:w="1343" w:type="dxa"/>
            <w:gridSpan w:val="3"/>
          </w:tcPr>
          <w:p w:rsidR="00274914" w:rsidRPr="002F17B5" w:rsidRDefault="00274914" w:rsidP="00341FA8">
            <w:pPr>
              <w:spacing w:after="60"/>
              <w:jc w:val="right"/>
              <w:rPr>
                <w:b/>
              </w:rPr>
            </w:pPr>
            <w:r w:rsidRPr="002F17B5">
              <w:rPr>
                <w:b/>
              </w:rPr>
              <w:t>21.3</w:t>
            </w:r>
          </w:p>
        </w:tc>
        <w:tc>
          <w:tcPr>
            <w:tcW w:w="817" w:type="dxa"/>
            <w:tcBorders>
              <w:right w:val="single" w:sz="18" w:space="0" w:color="FFFFFF" w:themeColor="background1"/>
            </w:tcBorders>
          </w:tcPr>
          <w:p w:rsidR="00274914" w:rsidRPr="002F17B5" w:rsidRDefault="00274914" w:rsidP="00341FA8">
            <w:pPr>
              <w:spacing w:after="60"/>
              <w:jc w:val="right"/>
              <w:rPr>
                <w:b/>
              </w:rPr>
            </w:pPr>
          </w:p>
        </w:tc>
        <w:tc>
          <w:tcPr>
            <w:tcW w:w="1248" w:type="dxa"/>
            <w:gridSpan w:val="2"/>
            <w:tcBorders>
              <w:left w:val="single" w:sz="18" w:space="0" w:color="FFFFFF" w:themeColor="background1"/>
            </w:tcBorders>
          </w:tcPr>
          <w:p w:rsidR="00274914" w:rsidRPr="002F17B5" w:rsidRDefault="00274914" w:rsidP="00341FA8">
            <w:pPr>
              <w:spacing w:after="60"/>
              <w:jc w:val="right"/>
              <w:rPr>
                <w:b/>
              </w:rPr>
            </w:pPr>
            <w:r w:rsidRPr="002F17B5">
              <w:rPr>
                <w:b/>
              </w:rPr>
              <w:t>-</w:t>
            </w:r>
          </w:p>
        </w:tc>
        <w:tc>
          <w:tcPr>
            <w:tcW w:w="707" w:type="dxa"/>
            <w:tcBorders>
              <w:right w:val="single" w:sz="18" w:space="0" w:color="FFFFFF" w:themeColor="background1"/>
            </w:tcBorders>
          </w:tcPr>
          <w:p w:rsidR="00274914" w:rsidRPr="002F17B5" w:rsidRDefault="00274914" w:rsidP="00341FA8">
            <w:pPr>
              <w:spacing w:after="60"/>
              <w:jc w:val="right"/>
              <w:rPr>
                <w:b/>
              </w:rPr>
            </w:pPr>
          </w:p>
        </w:tc>
        <w:tc>
          <w:tcPr>
            <w:tcW w:w="852" w:type="dxa"/>
            <w:gridSpan w:val="2"/>
            <w:tcBorders>
              <w:left w:val="single" w:sz="18" w:space="0" w:color="FFFFFF" w:themeColor="background1"/>
            </w:tcBorders>
          </w:tcPr>
          <w:p w:rsidR="00274914" w:rsidRPr="002F17B5" w:rsidRDefault="00274914" w:rsidP="00341FA8">
            <w:pPr>
              <w:spacing w:after="60"/>
              <w:jc w:val="right"/>
              <w:rPr>
                <w:b/>
              </w:rPr>
            </w:pPr>
            <w:r w:rsidRPr="002F17B5">
              <w:rPr>
                <w:b/>
              </w:rPr>
              <w:t>11.7</w:t>
            </w:r>
          </w:p>
        </w:tc>
        <w:tc>
          <w:tcPr>
            <w:tcW w:w="968" w:type="dxa"/>
          </w:tcPr>
          <w:p w:rsidR="00274914" w:rsidRPr="002F17B5" w:rsidRDefault="00274914" w:rsidP="00274914">
            <w:pPr>
              <w:jc w:val="right"/>
              <w:rPr>
                <w:b/>
              </w:rPr>
            </w:pPr>
          </w:p>
        </w:tc>
      </w:tr>
      <w:tr w:rsidR="00E8261B" w:rsidRPr="002F17B5" w:rsidTr="008E1C37">
        <w:trPr>
          <w:gridAfter w:val="1"/>
          <w:wAfter w:w="968" w:type="dxa"/>
        </w:trPr>
        <w:tc>
          <w:tcPr>
            <w:tcW w:w="3969" w:type="dxa"/>
            <w:gridSpan w:val="2"/>
          </w:tcPr>
          <w:p w:rsidR="00E8261B" w:rsidRDefault="00E8261B" w:rsidP="00341FA8">
            <w:pPr>
              <w:spacing w:after="60"/>
              <w:rPr>
                <w:b/>
              </w:rPr>
            </w:pPr>
          </w:p>
        </w:tc>
        <w:tc>
          <w:tcPr>
            <w:tcW w:w="2126" w:type="dxa"/>
            <w:gridSpan w:val="3"/>
          </w:tcPr>
          <w:p w:rsidR="00E8261B" w:rsidRDefault="00E8261B" w:rsidP="008C0AEC">
            <w:pPr>
              <w:spacing w:after="60"/>
              <w:rPr>
                <w:b/>
              </w:rPr>
            </w:pPr>
          </w:p>
        </w:tc>
        <w:tc>
          <w:tcPr>
            <w:tcW w:w="2127" w:type="dxa"/>
            <w:gridSpan w:val="4"/>
          </w:tcPr>
          <w:p w:rsidR="00E8261B" w:rsidRDefault="00E8261B" w:rsidP="00341FA8">
            <w:pPr>
              <w:spacing w:after="60"/>
              <w:jc w:val="right"/>
              <w:rPr>
                <w:b/>
              </w:rPr>
            </w:pPr>
          </w:p>
        </w:tc>
        <w:tc>
          <w:tcPr>
            <w:tcW w:w="1559" w:type="dxa"/>
            <w:gridSpan w:val="3"/>
          </w:tcPr>
          <w:p w:rsidR="00E8261B" w:rsidRDefault="00E8261B" w:rsidP="00341FA8">
            <w:pPr>
              <w:spacing w:after="60"/>
              <w:jc w:val="right"/>
              <w:rPr>
                <w:b/>
              </w:rPr>
            </w:pPr>
          </w:p>
        </w:tc>
      </w:tr>
      <w:tr w:rsidR="00274914" w:rsidRPr="002F17B5" w:rsidTr="008E1C37">
        <w:trPr>
          <w:gridAfter w:val="1"/>
          <w:wAfter w:w="968" w:type="dxa"/>
        </w:trPr>
        <w:tc>
          <w:tcPr>
            <w:tcW w:w="3969" w:type="dxa"/>
            <w:gridSpan w:val="2"/>
          </w:tcPr>
          <w:p w:rsidR="00A85B2E" w:rsidRDefault="00A85B2E" w:rsidP="00341FA8">
            <w:pPr>
              <w:spacing w:after="60"/>
              <w:rPr>
                <w:b/>
              </w:rPr>
            </w:pPr>
          </w:p>
          <w:p w:rsidR="00A85B2E" w:rsidRDefault="00A85B2E" w:rsidP="00341FA8">
            <w:pPr>
              <w:spacing w:after="60"/>
              <w:rPr>
                <w:b/>
              </w:rPr>
            </w:pPr>
          </w:p>
          <w:p w:rsidR="00A85B2E" w:rsidRDefault="00A85B2E" w:rsidP="00341FA8">
            <w:pPr>
              <w:spacing w:after="60"/>
              <w:rPr>
                <w:b/>
              </w:rPr>
            </w:pPr>
          </w:p>
          <w:p w:rsidR="00A85B2E" w:rsidRDefault="00A85B2E" w:rsidP="00341FA8">
            <w:pPr>
              <w:spacing w:after="60"/>
              <w:rPr>
                <w:b/>
              </w:rPr>
            </w:pPr>
          </w:p>
          <w:p w:rsidR="00E8261B" w:rsidRDefault="00E8261B" w:rsidP="00341FA8">
            <w:pPr>
              <w:spacing w:after="60"/>
              <w:rPr>
                <w:b/>
              </w:rPr>
            </w:pPr>
          </w:p>
          <w:p w:rsidR="00E8261B" w:rsidRDefault="00E8261B" w:rsidP="00341FA8">
            <w:pPr>
              <w:spacing w:after="60"/>
              <w:rPr>
                <w:b/>
              </w:rPr>
            </w:pPr>
          </w:p>
          <w:p w:rsidR="00E8261B" w:rsidRDefault="00E8261B" w:rsidP="00341FA8">
            <w:pPr>
              <w:spacing w:after="60"/>
              <w:rPr>
                <w:b/>
              </w:rPr>
            </w:pPr>
          </w:p>
          <w:p w:rsidR="00E8261B" w:rsidRDefault="00E8261B" w:rsidP="00341FA8">
            <w:pPr>
              <w:spacing w:after="60"/>
              <w:rPr>
                <w:b/>
              </w:rPr>
            </w:pPr>
          </w:p>
          <w:p w:rsidR="00E8261B" w:rsidRDefault="00E8261B" w:rsidP="00341FA8">
            <w:pPr>
              <w:spacing w:after="60"/>
              <w:rPr>
                <w:b/>
              </w:rPr>
            </w:pPr>
          </w:p>
          <w:p w:rsidR="00E8261B" w:rsidRDefault="00E8261B" w:rsidP="00341FA8">
            <w:pPr>
              <w:spacing w:after="60"/>
              <w:rPr>
                <w:b/>
              </w:rPr>
            </w:pPr>
          </w:p>
          <w:p w:rsidR="00E8261B" w:rsidRDefault="00E8261B" w:rsidP="00341FA8">
            <w:pPr>
              <w:spacing w:after="60"/>
              <w:rPr>
                <w:b/>
              </w:rPr>
            </w:pPr>
          </w:p>
          <w:p w:rsidR="00E8261B" w:rsidRDefault="00E8261B" w:rsidP="00341FA8">
            <w:pPr>
              <w:spacing w:after="60"/>
              <w:rPr>
                <w:b/>
              </w:rPr>
            </w:pPr>
          </w:p>
          <w:p w:rsidR="00E8261B" w:rsidRDefault="00E8261B" w:rsidP="00341FA8">
            <w:pPr>
              <w:spacing w:after="60"/>
              <w:rPr>
                <w:b/>
              </w:rPr>
            </w:pPr>
          </w:p>
          <w:p w:rsidR="00E8261B" w:rsidRDefault="00E8261B" w:rsidP="00341FA8">
            <w:pPr>
              <w:spacing w:after="60"/>
              <w:rPr>
                <w:b/>
              </w:rPr>
            </w:pPr>
          </w:p>
          <w:p w:rsidR="00274914" w:rsidRPr="002F17B5" w:rsidRDefault="00E8261B" w:rsidP="00341FA8">
            <w:pPr>
              <w:spacing w:after="60"/>
              <w:rPr>
                <w:b/>
              </w:rPr>
            </w:pPr>
            <w:r>
              <w:rPr>
                <w:b/>
              </w:rPr>
              <w:t>31</w:t>
            </w:r>
            <w:r w:rsidR="00A13302" w:rsidRPr="002F17B5">
              <w:rPr>
                <w:b/>
              </w:rPr>
              <w:t>/03/13</w:t>
            </w:r>
          </w:p>
        </w:tc>
        <w:tc>
          <w:tcPr>
            <w:tcW w:w="2126" w:type="dxa"/>
            <w:gridSpan w:val="3"/>
          </w:tcPr>
          <w:p w:rsidR="00A85B2E" w:rsidRDefault="00A85B2E" w:rsidP="008C0AEC">
            <w:pPr>
              <w:spacing w:after="60"/>
              <w:rPr>
                <w:b/>
              </w:rPr>
            </w:pPr>
          </w:p>
          <w:p w:rsidR="00A85B2E" w:rsidRDefault="00A85B2E" w:rsidP="008C0AEC">
            <w:pPr>
              <w:spacing w:after="60"/>
              <w:rPr>
                <w:b/>
              </w:rPr>
            </w:pPr>
          </w:p>
          <w:p w:rsidR="00A85B2E" w:rsidRDefault="00A85B2E" w:rsidP="008C0AEC">
            <w:pPr>
              <w:spacing w:after="60"/>
              <w:rPr>
                <w:b/>
              </w:rPr>
            </w:pPr>
          </w:p>
          <w:p w:rsidR="00A85B2E" w:rsidRDefault="00A85B2E" w:rsidP="008C0AEC">
            <w:pPr>
              <w:spacing w:after="60"/>
              <w:rPr>
                <w:b/>
              </w:rPr>
            </w:pPr>
          </w:p>
          <w:p w:rsidR="00A85B2E" w:rsidRDefault="00A85B2E" w:rsidP="008C0AEC">
            <w:pPr>
              <w:spacing w:after="60"/>
              <w:rPr>
                <w:b/>
              </w:rPr>
            </w:pPr>
          </w:p>
          <w:p w:rsidR="00A85B2E" w:rsidRDefault="00A85B2E" w:rsidP="008C0AEC">
            <w:pPr>
              <w:spacing w:after="60"/>
              <w:rPr>
                <w:b/>
              </w:rPr>
            </w:pPr>
          </w:p>
          <w:p w:rsidR="00A85B2E" w:rsidRDefault="00A85B2E" w:rsidP="008C0AEC">
            <w:pPr>
              <w:spacing w:after="60"/>
              <w:rPr>
                <w:b/>
              </w:rPr>
            </w:pPr>
          </w:p>
          <w:p w:rsidR="00A85B2E" w:rsidRDefault="00A85B2E" w:rsidP="008C0AEC">
            <w:pPr>
              <w:spacing w:after="60"/>
              <w:rPr>
                <w:b/>
              </w:rPr>
            </w:pPr>
          </w:p>
          <w:p w:rsidR="00A85B2E" w:rsidRDefault="00A85B2E" w:rsidP="008C0AEC">
            <w:pPr>
              <w:spacing w:after="60"/>
              <w:rPr>
                <w:b/>
              </w:rPr>
            </w:pPr>
          </w:p>
          <w:p w:rsidR="00A85B2E" w:rsidRDefault="00A85B2E" w:rsidP="008C0AEC">
            <w:pPr>
              <w:spacing w:after="60"/>
              <w:rPr>
                <w:b/>
              </w:rPr>
            </w:pPr>
          </w:p>
          <w:p w:rsidR="00274914" w:rsidRPr="002F17B5" w:rsidRDefault="00AA0B95" w:rsidP="008C0AEC">
            <w:pPr>
              <w:spacing w:after="60"/>
              <w:rPr>
                <w:b/>
              </w:rPr>
            </w:pPr>
            <w:r>
              <w:rPr>
                <w:b/>
              </w:rPr>
              <w:lastRenderedPageBreak/>
              <w:t>F</w:t>
            </w:r>
            <w:r w:rsidR="00274914" w:rsidRPr="002F17B5">
              <w:rPr>
                <w:b/>
              </w:rPr>
              <w:t>air</w:t>
            </w:r>
            <w:r>
              <w:rPr>
                <w:b/>
              </w:rPr>
              <w:t xml:space="preserve"> </w:t>
            </w:r>
            <w:r w:rsidR="00274914" w:rsidRPr="002F17B5">
              <w:rPr>
                <w:b/>
              </w:rPr>
              <w:t>value</w:t>
            </w:r>
            <w:r>
              <w:rPr>
                <w:b/>
              </w:rPr>
              <w:t xml:space="preserve"> </w:t>
            </w:r>
            <w:r w:rsidR="00274914" w:rsidRPr="002F17B5">
              <w:rPr>
                <w:b/>
              </w:rPr>
              <w:t>through profit or loss</w:t>
            </w:r>
          </w:p>
        </w:tc>
        <w:tc>
          <w:tcPr>
            <w:tcW w:w="2127" w:type="dxa"/>
            <w:gridSpan w:val="4"/>
          </w:tcPr>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274914" w:rsidRPr="002F17B5" w:rsidRDefault="00274914" w:rsidP="00AA5305">
            <w:pPr>
              <w:spacing w:after="60"/>
              <w:rPr>
                <w:b/>
              </w:rPr>
            </w:pPr>
            <w:r w:rsidRPr="002F17B5">
              <w:rPr>
                <w:b/>
              </w:rPr>
              <w:lastRenderedPageBreak/>
              <w:t>Loans and receivables</w:t>
            </w:r>
          </w:p>
        </w:tc>
        <w:tc>
          <w:tcPr>
            <w:tcW w:w="1559" w:type="dxa"/>
            <w:gridSpan w:val="3"/>
          </w:tcPr>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A85B2E" w:rsidRDefault="00A85B2E" w:rsidP="00341FA8">
            <w:pPr>
              <w:spacing w:after="60"/>
              <w:jc w:val="right"/>
              <w:rPr>
                <w:b/>
              </w:rPr>
            </w:pPr>
          </w:p>
          <w:p w:rsidR="00274914" w:rsidRDefault="00274914" w:rsidP="00341FA8">
            <w:pPr>
              <w:spacing w:after="60"/>
              <w:jc w:val="right"/>
              <w:rPr>
                <w:b/>
              </w:rPr>
            </w:pPr>
            <w:r w:rsidRPr="002F17B5">
              <w:rPr>
                <w:b/>
              </w:rPr>
              <w:lastRenderedPageBreak/>
              <w:t>Financial liabilities at amortised cost</w:t>
            </w:r>
          </w:p>
          <w:p w:rsidR="00E8261B" w:rsidRPr="002F17B5" w:rsidRDefault="00E8261B" w:rsidP="00341FA8">
            <w:pPr>
              <w:spacing w:after="60"/>
              <w:jc w:val="right"/>
              <w:rPr>
                <w:b/>
              </w:rPr>
            </w:pPr>
          </w:p>
        </w:tc>
      </w:tr>
      <w:tr w:rsidR="00274914" w:rsidRPr="002F17B5" w:rsidTr="008E1C37">
        <w:trPr>
          <w:gridAfter w:val="1"/>
          <w:wAfter w:w="968" w:type="dxa"/>
        </w:trPr>
        <w:tc>
          <w:tcPr>
            <w:tcW w:w="3969" w:type="dxa"/>
            <w:gridSpan w:val="2"/>
          </w:tcPr>
          <w:p w:rsidR="00274914" w:rsidRPr="002F17B5" w:rsidRDefault="00274914" w:rsidP="00341FA8">
            <w:pPr>
              <w:spacing w:after="60"/>
              <w:rPr>
                <w:b/>
              </w:rPr>
            </w:pPr>
          </w:p>
        </w:tc>
        <w:tc>
          <w:tcPr>
            <w:tcW w:w="2126" w:type="dxa"/>
            <w:gridSpan w:val="3"/>
          </w:tcPr>
          <w:p w:rsidR="00274914" w:rsidRPr="002F17B5" w:rsidRDefault="00274914" w:rsidP="00341FA8">
            <w:pPr>
              <w:spacing w:after="60"/>
              <w:jc w:val="right"/>
              <w:rPr>
                <w:b/>
              </w:rPr>
            </w:pPr>
            <w:r w:rsidRPr="002F17B5">
              <w:rPr>
                <w:b/>
              </w:rPr>
              <w:t>£m</w:t>
            </w:r>
          </w:p>
          <w:p w:rsidR="00274914" w:rsidRPr="002F17B5" w:rsidRDefault="00274914" w:rsidP="00341FA8">
            <w:pPr>
              <w:spacing w:after="60"/>
              <w:jc w:val="right"/>
              <w:rPr>
                <w:b/>
              </w:rPr>
            </w:pPr>
          </w:p>
        </w:tc>
        <w:tc>
          <w:tcPr>
            <w:tcW w:w="2127" w:type="dxa"/>
            <w:gridSpan w:val="4"/>
          </w:tcPr>
          <w:p w:rsidR="00274914" w:rsidRPr="002F17B5" w:rsidRDefault="00274914" w:rsidP="00341FA8">
            <w:pPr>
              <w:spacing w:after="60"/>
              <w:jc w:val="right"/>
              <w:rPr>
                <w:b/>
              </w:rPr>
            </w:pPr>
            <w:r w:rsidRPr="002F17B5">
              <w:rPr>
                <w:b/>
              </w:rPr>
              <w:t>£m</w:t>
            </w:r>
          </w:p>
        </w:tc>
        <w:tc>
          <w:tcPr>
            <w:tcW w:w="1559" w:type="dxa"/>
            <w:gridSpan w:val="3"/>
          </w:tcPr>
          <w:p w:rsidR="00274914" w:rsidRPr="002F17B5" w:rsidRDefault="00274914" w:rsidP="00341FA8">
            <w:pPr>
              <w:spacing w:after="60"/>
              <w:jc w:val="right"/>
              <w:rPr>
                <w:b/>
              </w:rPr>
            </w:pPr>
            <w:r w:rsidRPr="002F17B5">
              <w:rPr>
                <w:b/>
              </w:rPr>
              <w:t>£m</w:t>
            </w:r>
          </w:p>
        </w:tc>
      </w:tr>
      <w:tr w:rsidR="00274914" w:rsidRPr="002F17B5" w:rsidTr="008E1C37">
        <w:trPr>
          <w:gridAfter w:val="1"/>
          <w:wAfter w:w="968" w:type="dxa"/>
        </w:trPr>
        <w:tc>
          <w:tcPr>
            <w:tcW w:w="3969" w:type="dxa"/>
            <w:gridSpan w:val="2"/>
          </w:tcPr>
          <w:p w:rsidR="00274914" w:rsidRPr="002F17B5" w:rsidRDefault="00274914" w:rsidP="00341FA8">
            <w:pPr>
              <w:spacing w:after="60"/>
              <w:rPr>
                <w:b/>
              </w:rPr>
            </w:pPr>
            <w:r w:rsidRPr="002F17B5">
              <w:rPr>
                <w:b/>
              </w:rPr>
              <w:t>Financial assets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Fixed interest securities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843.6</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bottom w:val="single" w:sz="18" w:space="0" w:color="FFFFFF" w:themeColor="background1"/>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Equities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1,749.3</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top w:val="single" w:sz="18" w:space="0" w:color="FFFFFF" w:themeColor="background1"/>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Index linked securities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164.9</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Pooled investment vehicles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1,601.2</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Derivative contracts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4.9</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Cash deposits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170.5</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Investment accruals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21.6</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Debtors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31.7</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rPr>
                <w:b/>
              </w:rPr>
            </w:pPr>
            <w:r w:rsidRPr="002F17B5">
              <w:rPr>
                <w:b/>
              </w:rPr>
              <w:t>Total Financial Assets</w:t>
            </w:r>
          </w:p>
          <w:p w:rsidR="00274914" w:rsidRPr="002F17B5" w:rsidRDefault="00274914" w:rsidP="00341FA8">
            <w:pPr>
              <w:spacing w:after="60"/>
            </w:pP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rPr>
                <w:b/>
              </w:rPr>
            </w:pPr>
            <w:r w:rsidRPr="002F17B5">
              <w:rPr>
                <w:b/>
              </w:rPr>
              <w:t>4,385.5</w:t>
            </w:r>
          </w:p>
        </w:tc>
        <w:tc>
          <w:tcPr>
            <w:tcW w:w="993" w:type="dxa"/>
            <w:gridSpan w:val="3"/>
            <w:tcBorders>
              <w:right w:val="single" w:sz="18" w:space="0" w:color="FFFFFF" w:themeColor="background1"/>
            </w:tcBorders>
          </w:tcPr>
          <w:p w:rsidR="00274914" w:rsidRPr="002F17B5" w:rsidRDefault="00274914" w:rsidP="00341FA8">
            <w:pPr>
              <w:spacing w:after="60"/>
              <w:jc w:val="right"/>
              <w:rPr>
                <w:b/>
              </w:rPr>
            </w:pPr>
          </w:p>
        </w:tc>
        <w:tc>
          <w:tcPr>
            <w:tcW w:w="1134" w:type="dxa"/>
            <w:tcBorders>
              <w:left w:val="single" w:sz="18" w:space="0" w:color="FFFFFF" w:themeColor="background1"/>
            </w:tcBorders>
          </w:tcPr>
          <w:p w:rsidR="00274914" w:rsidRPr="002F17B5" w:rsidRDefault="00274914" w:rsidP="00341FA8">
            <w:pPr>
              <w:spacing w:after="60"/>
              <w:jc w:val="right"/>
              <w:rPr>
                <w:b/>
              </w:rPr>
            </w:pPr>
            <w:r w:rsidRPr="002F17B5">
              <w:rPr>
                <w:b/>
              </w:rPr>
              <w:t>202.2</w:t>
            </w:r>
          </w:p>
        </w:tc>
        <w:tc>
          <w:tcPr>
            <w:tcW w:w="850" w:type="dxa"/>
            <w:gridSpan w:val="2"/>
            <w:tcBorders>
              <w:right w:val="single" w:sz="18" w:space="0" w:color="FFFFFF" w:themeColor="background1"/>
            </w:tcBorders>
          </w:tcPr>
          <w:p w:rsidR="00274914" w:rsidRPr="002F17B5" w:rsidRDefault="00274914" w:rsidP="00341FA8">
            <w:pPr>
              <w:spacing w:after="60"/>
              <w:jc w:val="right"/>
              <w:rPr>
                <w:b/>
              </w:rPr>
            </w:pPr>
          </w:p>
        </w:tc>
        <w:tc>
          <w:tcPr>
            <w:tcW w:w="709" w:type="dxa"/>
            <w:tcBorders>
              <w:left w:val="single" w:sz="18" w:space="0" w:color="FFFFFF" w:themeColor="background1"/>
            </w:tcBorders>
          </w:tcPr>
          <w:p w:rsidR="00274914" w:rsidRPr="002F17B5" w:rsidRDefault="00274914" w:rsidP="00341FA8">
            <w:pPr>
              <w:spacing w:after="60"/>
              <w:jc w:val="right"/>
              <w:rPr>
                <w:b/>
              </w:rPr>
            </w:pPr>
            <w:r w:rsidRPr="002F17B5">
              <w:rPr>
                <w:b/>
              </w:rPr>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rPr>
                <w:b/>
              </w:rPr>
              <w:t>Financial liabilities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p>
        </w:tc>
      </w:tr>
      <w:tr w:rsidR="00274914" w:rsidRPr="002F17B5" w:rsidTr="008E1C37">
        <w:trPr>
          <w:gridAfter w:val="1"/>
          <w:wAfter w:w="968" w:type="dxa"/>
        </w:trPr>
        <w:tc>
          <w:tcPr>
            <w:tcW w:w="3969" w:type="dxa"/>
            <w:gridSpan w:val="2"/>
          </w:tcPr>
          <w:p w:rsidR="00274914" w:rsidRPr="002F17B5" w:rsidRDefault="00274914" w:rsidP="00341FA8">
            <w:pPr>
              <w:spacing w:after="60"/>
              <w:rPr>
                <w:b/>
              </w:rPr>
            </w:pPr>
            <w:r w:rsidRPr="002F17B5">
              <w:t>Derivative contracts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1.9</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w:t>
            </w:r>
          </w:p>
        </w:tc>
      </w:tr>
      <w:tr w:rsidR="00274914" w:rsidRPr="002F17B5" w:rsidTr="008E1C37">
        <w:trPr>
          <w:gridAfter w:val="1"/>
          <w:wAfter w:w="968" w:type="dxa"/>
        </w:trPr>
        <w:tc>
          <w:tcPr>
            <w:tcW w:w="3969" w:type="dxa"/>
            <w:gridSpan w:val="2"/>
          </w:tcPr>
          <w:p w:rsidR="00274914" w:rsidRPr="002F17B5" w:rsidRDefault="00274914" w:rsidP="00341FA8">
            <w:pPr>
              <w:spacing w:after="60"/>
            </w:pPr>
            <w:r w:rsidRPr="002F17B5">
              <w:t>Creditors</w:t>
            </w:r>
          </w:p>
        </w:tc>
        <w:tc>
          <w:tcPr>
            <w:tcW w:w="851" w:type="dxa"/>
            <w:gridSpan w:val="2"/>
            <w:tcBorders>
              <w:right w:val="single" w:sz="18" w:space="0" w:color="FFFFFF" w:themeColor="background1"/>
            </w:tcBorders>
          </w:tcPr>
          <w:p w:rsidR="00274914" w:rsidRPr="002F17B5" w:rsidRDefault="00274914" w:rsidP="00341FA8">
            <w:pPr>
              <w:spacing w:after="60"/>
              <w:jc w:val="right"/>
            </w:pPr>
          </w:p>
        </w:tc>
        <w:tc>
          <w:tcPr>
            <w:tcW w:w="1275" w:type="dxa"/>
            <w:tcBorders>
              <w:left w:val="single" w:sz="18" w:space="0" w:color="FFFFFF" w:themeColor="background1"/>
            </w:tcBorders>
          </w:tcPr>
          <w:p w:rsidR="00274914" w:rsidRPr="002F17B5" w:rsidRDefault="00274914" w:rsidP="00341FA8">
            <w:pPr>
              <w:spacing w:after="60"/>
              <w:jc w:val="right"/>
            </w:pPr>
            <w:r w:rsidRPr="002F17B5">
              <w:t>-</w:t>
            </w:r>
          </w:p>
        </w:tc>
        <w:tc>
          <w:tcPr>
            <w:tcW w:w="993" w:type="dxa"/>
            <w:gridSpan w:val="3"/>
            <w:tcBorders>
              <w:right w:val="single" w:sz="18" w:space="0" w:color="FFFFFF" w:themeColor="background1"/>
            </w:tcBorders>
          </w:tcPr>
          <w:p w:rsidR="00274914" w:rsidRPr="002F17B5" w:rsidRDefault="00274914" w:rsidP="00341FA8">
            <w:pPr>
              <w:spacing w:after="60"/>
              <w:jc w:val="right"/>
            </w:pPr>
          </w:p>
        </w:tc>
        <w:tc>
          <w:tcPr>
            <w:tcW w:w="1134" w:type="dxa"/>
            <w:tcBorders>
              <w:left w:val="single" w:sz="18" w:space="0" w:color="FFFFFF" w:themeColor="background1"/>
            </w:tcBorders>
          </w:tcPr>
          <w:p w:rsidR="00274914" w:rsidRPr="002F17B5" w:rsidRDefault="00274914" w:rsidP="00341FA8">
            <w:pPr>
              <w:spacing w:after="60"/>
              <w:jc w:val="right"/>
            </w:pPr>
            <w:r w:rsidRPr="002F17B5">
              <w:t>-</w:t>
            </w:r>
          </w:p>
        </w:tc>
        <w:tc>
          <w:tcPr>
            <w:tcW w:w="850" w:type="dxa"/>
            <w:gridSpan w:val="2"/>
            <w:tcBorders>
              <w:right w:val="single" w:sz="18" w:space="0" w:color="FFFFFF" w:themeColor="background1"/>
            </w:tcBorders>
          </w:tcPr>
          <w:p w:rsidR="00274914" w:rsidRPr="002F17B5" w:rsidRDefault="00274914" w:rsidP="00341FA8">
            <w:pPr>
              <w:spacing w:after="60"/>
              <w:jc w:val="right"/>
            </w:pPr>
          </w:p>
        </w:tc>
        <w:tc>
          <w:tcPr>
            <w:tcW w:w="709" w:type="dxa"/>
            <w:tcBorders>
              <w:left w:val="single" w:sz="18" w:space="0" w:color="FFFFFF" w:themeColor="background1"/>
            </w:tcBorders>
          </w:tcPr>
          <w:p w:rsidR="00274914" w:rsidRPr="002F17B5" w:rsidRDefault="00274914" w:rsidP="00341FA8">
            <w:pPr>
              <w:spacing w:after="60"/>
              <w:jc w:val="right"/>
            </w:pPr>
            <w:r w:rsidRPr="002F17B5">
              <w:t>9.7</w:t>
            </w:r>
          </w:p>
        </w:tc>
      </w:tr>
      <w:tr w:rsidR="00274914" w:rsidRPr="002F17B5" w:rsidTr="008E1C37">
        <w:trPr>
          <w:gridAfter w:val="1"/>
          <w:wAfter w:w="968" w:type="dxa"/>
        </w:trPr>
        <w:tc>
          <w:tcPr>
            <w:tcW w:w="3969" w:type="dxa"/>
            <w:gridSpan w:val="2"/>
          </w:tcPr>
          <w:p w:rsidR="00274914" w:rsidRPr="002F17B5" w:rsidRDefault="00274914" w:rsidP="00341FA8">
            <w:pPr>
              <w:spacing w:after="60"/>
              <w:rPr>
                <w:b/>
              </w:rPr>
            </w:pPr>
            <w:r w:rsidRPr="002F17B5">
              <w:rPr>
                <w:b/>
              </w:rPr>
              <w:t>Total Financial Liabilities</w:t>
            </w:r>
          </w:p>
        </w:tc>
        <w:tc>
          <w:tcPr>
            <w:tcW w:w="851" w:type="dxa"/>
            <w:gridSpan w:val="2"/>
            <w:tcBorders>
              <w:right w:val="single" w:sz="18" w:space="0" w:color="FFFFFF" w:themeColor="background1"/>
            </w:tcBorders>
          </w:tcPr>
          <w:p w:rsidR="00274914" w:rsidRPr="002F17B5" w:rsidRDefault="00274914" w:rsidP="00341FA8">
            <w:pPr>
              <w:spacing w:after="60"/>
              <w:jc w:val="right"/>
              <w:rPr>
                <w:b/>
              </w:rPr>
            </w:pPr>
          </w:p>
        </w:tc>
        <w:tc>
          <w:tcPr>
            <w:tcW w:w="1275" w:type="dxa"/>
            <w:tcBorders>
              <w:left w:val="single" w:sz="18" w:space="0" w:color="FFFFFF" w:themeColor="background1"/>
            </w:tcBorders>
          </w:tcPr>
          <w:p w:rsidR="00274914" w:rsidRPr="002F17B5" w:rsidRDefault="00274914" w:rsidP="00341FA8">
            <w:pPr>
              <w:spacing w:after="60"/>
              <w:jc w:val="right"/>
              <w:rPr>
                <w:b/>
              </w:rPr>
            </w:pPr>
            <w:r w:rsidRPr="002F17B5">
              <w:rPr>
                <w:b/>
              </w:rPr>
              <w:t>1.9</w:t>
            </w:r>
          </w:p>
        </w:tc>
        <w:tc>
          <w:tcPr>
            <w:tcW w:w="993" w:type="dxa"/>
            <w:gridSpan w:val="3"/>
            <w:tcBorders>
              <w:right w:val="single" w:sz="18" w:space="0" w:color="FFFFFF" w:themeColor="background1"/>
            </w:tcBorders>
          </w:tcPr>
          <w:p w:rsidR="00274914" w:rsidRPr="002F17B5" w:rsidRDefault="00274914" w:rsidP="00341FA8">
            <w:pPr>
              <w:spacing w:after="60"/>
              <w:jc w:val="right"/>
              <w:rPr>
                <w:b/>
              </w:rPr>
            </w:pPr>
          </w:p>
        </w:tc>
        <w:tc>
          <w:tcPr>
            <w:tcW w:w="1134" w:type="dxa"/>
            <w:tcBorders>
              <w:left w:val="single" w:sz="18" w:space="0" w:color="FFFFFF" w:themeColor="background1"/>
            </w:tcBorders>
          </w:tcPr>
          <w:p w:rsidR="00274914" w:rsidRPr="002F17B5" w:rsidRDefault="00274914" w:rsidP="00341FA8">
            <w:pPr>
              <w:spacing w:after="60"/>
              <w:jc w:val="right"/>
              <w:rPr>
                <w:b/>
              </w:rPr>
            </w:pPr>
            <w:r w:rsidRPr="002F17B5">
              <w:rPr>
                <w:b/>
              </w:rPr>
              <w:t>-</w:t>
            </w:r>
          </w:p>
        </w:tc>
        <w:tc>
          <w:tcPr>
            <w:tcW w:w="850" w:type="dxa"/>
            <w:gridSpan w:val="2"/>
            <w:tcBorders>
              <w:right w:val="single" w:sz="18" w:space="0" w:color="FFFFFF" w:themeColor="background1"/>
            </w:tcBorders>
          </w:tcPr>
          <w:p w:rsidR="00274914" w:rsidRPr="002F17B5" w:rsidRDefault="00274914" w:rsidP="00341FA8">
            <w:pPr>
              <w:spacing w:after="60"/>
              <w:jc w:val="right"/>
              <w:rPr>
                <w:b/>
              </w:rPr>
            </w:pPr>
          </w:p>
        </w:tc>
        <w:tc>
          <w:tcPr>
            <w:tcW w:w="709" w:type="dxa"/>
            <w:tcBorders>
              <w:left w:val="single" w:sz="18" w:space="0" w:color="FFFFFF" w:themeColor="background1"/>
            </w:tcBorders>
          </w:tcPr>
          <w:p w:rsidR="00274914" w:rsidRPr="002F17B5" w:rsidRDefault="00274914" w:rsidP="00341FA8">
            <w:pPr>
              <w:spacing w:after="60"/>
              <w:jc w:val="right"/>
              <w:rPr>
                <w:b/>
              </w:rPr>
            </w:pPr>
            <w:r w:rsidRPr="002F17B5">
              <w:rPr>
                <w:b/>
              </w:rPr>
              <w:t>9.7</w:t>
            </w:r>
          </w:p>
        </w:tc>
      </w:tr>
    </w:tbl>
    <w:p w:rsidR="00274914" w:rsidRPr="002F17B5" w:rsidRDefault="00274914" w:rsidP="00274914">
      <w:pPr>
        <w:rPr>
          <w:b/>
        </w:rPr>
      </w:pPr>
    </w:p>
    <w:p w:rsidR="00274914" w:rsidRPr="002F17B5" w:rsidRDefault="00274914" w:rsidP="00274914">
      <w:pPr>
        <w:rPr>
          <w:b/>
        </w:rPr>
      </w:pPr>
    </w:p>
    <w:p w:rsidR="008E1C37" w:rsidRPr="002F17B5" w:rsidRDefault="008E1C37" w:rsidP="00274914">
      <w:pPr>
        <w:rPr>
          <w:b/>
        </w:rPr>
      </w:pPr>
    </w:p>
    <w:p w:rsidR="00274914" w:rsidRPr="002F17B5" w:rsidRDefault="00274914" w:rsidP="009A4C35">
      <w:pPr>
        <w:pStyle w:val="ListParagraph"/>
        <w:numPr>
          <w:ilvl w:val="0"/>
          <w:numId w:val="75"/>
        </w:numPr>
        <w:autoSpaceDE/>
        <w:autoSpaceDN/>
        <w:adjustRightInd/>
        <w:spacing w:before="0" w:after="0"/>
        <w:jc w:val="left"/>
        <w:rPr>
          <w:rFonts w:cs="Arial"/>
          <w:b/>
          <w:bCs/>
        </w:rPr>
      </w:pPr>
      <w:r w:rsidRPr="002F17B5">
        <w:rPr>
          <w:rFonts w:cs="Arial"/>
          <w:b/>
          <w:bCs/>
        </w:rPr>
        <w:t>Net gains and losses on financial instruments</w:t>
      </w:r>
    </w:p>
    <w:p w:rsidR="00274914" w:rsidRPr="002F17B5" w:rsidRDefault="00274914" w:rsidP="00274914">
      <w:pPr>
        <w:ind w:left="862"/>
        <w:rPr>
          <w:rFonts w:cs="Arial"/>
          <w:b/>
          <w:bCs/>
        </w:rPr>
      </w:pPr>
    </w:p>
    <w:p w:rsidR="00274914" w:rsidRPr="002F17B5" w:rsidRDefault="00274914" w:rsidP="00274914">
      <w:pPr>
        <w:ind w:left="709"/>
        <w:rPr>
          <w:rFonts w:cs="Arial"/>
          <w:bCs/>
        </w:rPr>
      </w:pPr>
      <w:r w:rsidRPr="002F17B5">
        <w:rPr>
          <w:rFonts w:cs="Arial"/>
          <w:b/>
          <w:bCs/>
        </w:rPr>
        <w:t xml:space="preserve"> </w:t>
      </w:r>
      <w:r w:rsidRPr="002F17B5">
        <w:rPr>
          <w:rFonts w:cs="Arial"/>
          <w:bCs/>
        </w:rPr>
        <w:t>The net gain on financial assets at fair value through profit and loss is £59.0m</w:t>
      </w:r>
    </w:p>
    <w:p w:rsidR="00341FA8" w:rsidRPr="008C0AEC" w:rsidRDefault="00274914" w:rsidP="008C0AEC">
      <w:pPr>
        <w:ind w:left="709"/>
        <w:rPr>
          <w:rFonts w:cs="Arial"/>
          <w:b/>
          <w:bCs/>
        </w:rPr>
      </w:pPr>
      <w:r w:rsidRPr="002F17B5">
        <w:rPr>
          <w:rFonts w:cs="Arial"/>
          <w:bCs/>
        </w:rPr>
        <w:t xml:space="preserve"> (</w:t>
      </w:r>
      <w:r w:rsidR="00A13302" w:rsidRPr="002F17B5">
        <w:rPr>
          <w:rFonts w:cs="Arial"/>
          <w:bCs/>
        </w:rPr>
        <w:t>2012/13</w:t>
      </w:r>
      <w:r w:rsidRPr="002F17B5">
        <w:rPr>
          <w:rFonts w:cs="Arial"/>
          <w:bCs/>
        </w:rPr>
        <w:t xml:space="preserve"> £548.4m)</w:t>
      </w:r>
      <w:r w:rsidRPr="002F17B5" w:rsidDel="00227930">
        <w:rPr>
          <w:rFonts w:cs="Arial"/>
          <w:bCs/>
        </w:rPr>
        <w:t xml:space="preserve"> </w:t>
      </w:r>
    </w:p>
    <w:p w:rsidR="00274914" w:rsidRPr="002F17B5" w:rsidRDefault="00274914" w:rsidP="00274914">
      <w:pPr>
        <w:pStyle w:val="ListParagraph"/>
        <w:rPr>
          <w:rFonts w:cs="Arial"/>
          <w:b/>
          <w:bCs/>
        </w:rPr>
      </w:pPr>
    </w:p>
    <w:p w:rsidR="00274914" w:rsidRPr="002F17B5" w:rsidRDefault="00274914" w:rsidP="009A4C35">
      <w:pPr>
        <w:pStyle w:val="ListParagraph"/>
        <w:numPr>
          <w:ilvl w:val="0"/>
          <w:numId w:val="75"/>
        </w:numPr>
        <w:autoSpaceDE/>
        <w:autoSpaceDN/>
        <w:adjustRightInd/>
        <w:spacing w:before="0" w:after="0"/>
        <w:jc w:val="left"/>
        <w:rPr>
          <w:b/>
        </w:rPr>
      </w:pPr>
      <w:r w:rsidRPr="002F17B5">
        <w:rPr>
          <w:b/>
        </w:rPr>
        <w:t xml:space="preserve">Financial Instruments – Valuation </w:t>
      </w:r>
    </w:p>
    <w:p w:rsidR="00274914" w:rsidRPr="002F17B5" w:rsidRDefault="00274914" w:rsidP="00274914">
      <w:pPr>
        <w:pStyle w:val="ListParagraph"/>
        <w:rPr>
          <w:b/>
        </w:rPr>
      </w:pPr>
    </w:p>
    <w:p w:rsidR="00274914" w:rsidRPr="002F17B5" w:rsidRDefault="00274914" w:rsidP="00274914">
      <w:pPr>
        <w:ind w:left="720"/>
        <w:rPr>
          <w:b/>
        </w:rPr>
      </w:pPr>
      <w:r w:rsidRPr="002F17B5">
        <w:rPr>
          <w:b/>
        </w:rPr>
        <w:t>Valuation of financial instruments carried at fair value</w:t>
      </w:r>
    </w:p>
    <w:p w:rsidR="00274914" w:rsidRPr="002F17B5" w:rsidRDefault="00274914" w:rsidP="00274914">
      <w:pPr>
        <w:ind w:left="720"/>
        <w:rPr>
          <w:b/>
        </w:rPr>
      </w:pPr>
    </w:p>
    <w:p w:rsidR="00274914" w:rsidRPr="002F17B5" w:rsidRDefault="00274914" w:rsidP="00274914">
      <w:pPr>
        <w:ind w:left="720"/>
      </w:pPr>
      <w:r w:rsidRPr="002F17B5">
        <w:t>The valuation of financial instruments has been classified into three levels according to quality and reliability of information used to determine fair values.</w:t>
      </w:r>
    </w:p>
    <w:p w:rsidR="00274914" w:rsidRPr="002F17B5" w:rsidRDefault="00274914" w:rsidP="00274914">
      <w:pPr>
        <w:ind w:left="720"/>
      </w:pPr>
    </w:p>
    <w:p w:rsidR="00274914" w:rsidRPr="002F17B5" w:rsidRDefault="00274914" w:rsidP="00274914">
      <w:pPr>
        <w:ind w:left="720"/>
        <w:rPr>
          <w:b/>
          <w:sz w:val="22"/>
          <w:szCs w:val="22"/>
        </w:rPr>
      </w:pPr>
      <w:r w:rsidRPr="002F17B5">
        <w:rPr>
          <w:b/>
          <w:sz w:val="22"/>
          <w:szCs w:val="22"/>
        </w:rPr>
        <w:lastRenderedPageBreak/>
        <w:t>Level 1</w:t>
      </w:r>
    </w:p>
    <w:p w:rsidR="00274914" w:rsidRPr="002F17B5" w:rsidRDefault="00274914" w:rsidP="00274914">
      <w:pPr>
        <w:ind w:left="720"/>
        <w:rPr>
          <w:b/>
          <w:sz w:val="10"/>
          <w:szCs w:val="22"/>
        </w:rPr>
      </w:pPr>
    </w:p>
    <w:p w:rsidR="00274914" w:rsidRPr="002F17B5" w:rsidRDefault="00274914" w:rsidP="008C0AEC">
      <w:pPr>
        <w:ind w:left="720"/>
      </w:pPr>
      <w:r w:rsidRPr="002F17B5">
        <w:t>Level 1 fair value measurements are those derived from unadjusted quoted prices in active markets for identical assets or liabilities.  Examples include quoted equity investments, unit trusts, UK pooled fixed income funds, overseas pooled fixed income funds, UK and overseas quoted fixed interest securities.  Listed investments are shown at bid prices.  The bid value of the investment is based on the bid market quotation of the relevant stock exchange.</w:t>
      </w:r>
    </w:p>
    <w:p w:rsidR="00274914" w:rsidRPr="002F17B5" w:rsidRDefault="00274914" w:rsidP="00274914">
      <w:pPr>
        <w:ind w:left="720"/>
      </w:pPr>
    </w:p>
    <w:p w:rsidR="00274914" w:rsidRPr="002F17B5" w:rsidRDefault="00274914" w:rsidP="00274914">
      <w:pPr>
        <w:ind w:left="720"/>
        <w:rPr>
          <w:b/>
          <w:sz w:val="22"/>
          <w:szCs w:val="22"/>
        </w:rPr>
      </w:pPr>
      <w:r w:rsidRPr="002F17B5">
        <w:rPr>
          <w:b/>
          <w:sz w:val="22"/>
          <w:szCs w:val="22"/>
        </w:rPr>
        <w:t>Level 2</w:t>
      </w:r>
    </w:p>
    <w:p w:rsidR="00274914" w:rsidRPr="002F17B5" w:rsidRDefault="00274914" w:rsidP="00274914">
      <w:pPr>
        <w:ind w:left="720"/>
        <w:rPr>
          <w:b/>
          <w:sz w:val="10"/>
          <w:szCs w:val="22"/>
        </w:rPr>
      </w:pPr>
    </w:p>
    <w:p w:rsidR="00274914" w:rsidRPr="002F17B5" w:rsidRDefault="00274914" w:rsidP="008C0AEC">
      <w:pPr>
        <w:ind w:left="720"/>
      </w:pPr>
      <w:r w:rsidRPr="002F17B5">
        <w:t>Level 2 investments are those where quoted market prices are not available, for example where an instrument is traded in a market that is not considered to be active or valuation techniques are used to determine fair value and where these techniques use inputs that are based significantly on observable market data.  The technique for valuing these assets is independently verified.</w:t>
      </w:r>
    </w:p>
    <w:p w:rsidR="00274914" w:rsidRPr="002F17B5" w:rsidRDefault="00274914" w:rsidP="00274914">
      <w:pPr>
        <w:ind w:left="720"/>
        <w:rPr>
          <w:b/>
          <w:sz w:val="22"/>
          <w:szCs w:val="22"/>
        </w:rPr>
      </w:pPr>
    </w:p>
    <w:p w:rsidR="00274914" w:rsidRPr="002F17B5" w:rsidRDefault="00274914" w:rsidP="00274914">
      <w:pPr>
        <w:ind w:left="720"/>
        <w:rPr>
          <w:b/>
          <w:sz w:val="22"/>
          <w:szCs w:val="22"/>
        </w:rPr>
      </w:pPr>
      <w:r w:rsidRPr="002F17B5">
        <w:rPr>
          <w:b/>
          <w:sz w:val="22"/>
          <w:szCs w:val="22"/>
        </w:rPr>
        <w:t>Level 3</w:t>
      </w:r>
    </w:p>
    <w:p w:rsidR="00274914" w:rsidRPr="002F17B5" w:rsidRDefault="00274914" w:rsidP="00274914">
      <w:pPr>
        <w:ind w:left="720"/>
        <w:rPr>
          <w:b/>
          <w:sz w:val="12"/>
          <w:szCs w:val="22"/>
        </w:rPr>
      </w:pPr>
    </w:p>
    <w:p w:rsidR="00274914" w:rsidRPr="002F17B5" w:rsidRDefault="00274914" w:rsidP="00274914">
      <w:pPr>
        <w:ind w:left="720"/>
      </w:pPr>
      <w:r w:rsidRPr="002F17B5">
        <w:t xml:space="preserve">Level 3 portfolios are those where at least one input which could have a significant effect on the instrument's valuation is not based on observable market data.  Such instruments include internally managed overseas equity funds, overseas quoted fixed income investments, pooled UK fixed income investments, private equity, infrastructure, local authority bonds and indirect overseas property investments, which are valued using various valuation techniques that require significant management judgement in determining appropriate assumptions, including earnings, public market </w:t>
      </w:r>
      <w:proofErr w:type="spellStart"/>
      <w:r w:rsidRPr="002F17B5">
        <w:t>comparables</w:t>
      </w:r>
      <w:proofErr w:type="spellEnd"/>
      <w:r w:rsidRPr="002F17B5">
        <w:t xml:space="preserve"> and estimated future cash flows.</w:t>
      </w:r>
    </w:p>
    <w:p w:rsidR="00274914" w:rsidRPr="002F17B5" w:rsidRDefault="00274914" w:rsidP="00274914">
      <w:pPr>
        <w:ind w:left="720"/>
        <w:rPr>
          <w:sz w:val="22"/>
          <w:szCs w:val="22"/>
        </w:rPr>
      </w:pPr>
    </w:p>
    <w:p w:rsidR="00274914" w:rsidRPr="002F17B5" w:rsidRDefault="00274914" w:rsidP="00274914">
      <w:pPr>
        <w:ind w:left="720"/>
      </w:pPr>
      <w:r w:rsidRPr="002F17B5">
        <w:t>The values of the investment in private equity and infrastructure are based on valuations provided to the private equity and infrastructure funds in which Lancashire County Pension Fund has invested.  These valuations are prepared in accordance with the International Private Equity and Venture Capital Valuation Guidelines or equivalent, which follow the valuation principles of IFRS and US GAAP.  Valuations are performed annually mainly, and at the end of December.  Cash flow adjustments are used to roll forward the valuations to 31 March as appropriate.</w:t>
      </w:r>
    </w:p>
    <w:p w:rsidR="00274914" w:rsidRDefault="00274914" w:rsidP="00274914">
      <w:pPr>
        <w:ind w:left="720"/>
      </w:pPr>
    </w:p>
    <w:p w:rsidR="00E8261B" w:rsidRDefault="00E8261B" w:rsidP="00274914">
      <w:pPr>
        <w:ind w:left="720"/>
      </w:pPr>
      <w:r>
        <w:t>The value of the overseas indirect property fund investment is based on valuations provided to the overseas indirect property fund in which Lancashire County Pension Fund has invested.  These valuations are at the current open market value, as defined by the RICS Appraisal and valuation Standards.  These valuations are performed monthly.</w:t>
      </w:r>
    </w:p>
    <w:p w:rsidR="00E8261B" w:rsidRPr="002F17B5" w:rsidRDefault="00E8261B" w:rsidP="00274914">
      <w:pPr>
        <w:ind w:left="720"/>
      </w:pPr>
    </w:p>
    <w:p w:rsidR="00274914" w:rsidRPr="002F17B5" w:rsidRDefault="00274914" w:rsidP="00274914">
      <w:pPr>
        <w:ind w:left="720"/>
      </w:pPr>
      <w:r w:rsidRPr="002F17B5">
        <w:lastRenderedPageBreak/>
        <w:t xml:space="preserve">The local authority bond value is based on a valuation technique that requires management judgement including </w:t>
      </w:r>
      <w:r w:rsidR="00A85B2E" w:rsidRPr="002F17B5">
        <w:t>earnings</w:t>
      </w:r>
      <w:r w:rsidRPr="002F17B5">
        <w:t xml:space="preserve"> multiples, public market </w:t>
      </w:r>
      <w:proofErr w:type="spellStart"/>
      <w:r w:rsidRPr="002F17B5">
        <w:t>comparables</w:t>
      </w:r>
      <w:proofErr w:type="spellEnd"/>
      <w:r w:rsidRPr="002F17B5">
        <w:t xml:space="preserve"> and estimated future cash flows.</w:t>
      </w:r>
    </w:p>
    <w:p w:rsidR="00274914" w:rsidRPr="002F17B5" w:rsidRDefault="00274914" w:rsidP="00274914">
      <w:pPr>
        <w:ind w:left="720"/>
      </w:pPr>
    </w:p>
    <w:p w:rsidR="00274914" w:rsidRPr="002F17B5" w:rsidRDefault="00274914" w:rsidP="00274914">
      <w:pPr>
        <w:ind w:left="720"/>
      </w:pPr>
      <w:r w:rsidRPr="002F17B5">
        <w:t>The table below provides an analysis of the financial assets and liabilities of the Pension Fund grouped into level 1 to 3 based on the level of which the fair value is observable.</w:t>
      </w:r>
    </w:p>
    <w:p w:rsidR="00274914" w:rsidRPr="002F17B5" w:rsidRDefault="00274914" w:rsidP="00274914">
      <w:pPr>
        <w:ind w:left="720"/>
      </w:pPr>
    </w:p>
    <w:tbl>
      <w:tblPr>
        <w:tblStyle w:val="TableGrid"/>
        <w:tblW w:w="1001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121"/>
        <w:gridCol w:w="1618"/>
        <w:gridCol w:w="672"/>
        <w:gridCol w:w="899"/>
        <w:gridCol w:w="632"/>
        <w:gridCol w:w="940"/>
        <w:gridCol w:w="755"/>
        <w:gridCol w:w="882"/>
        <w:gridCol w:w="181"/>
        <w:gridCol w:w="360"/>
      </w:tblGrid>
      <w:tr w:rsidR="00274914" w:rsidRPr="002F17B5" w:rsidTr="000B2FEA">
        <w:trPr>
          <w:gridAfter w:val="1"/>
          <w:wAfter w:w="360" w:type="dxa"/>
        </w:trPr>
        <w:tc>
          <w:tcPr>
            <w:tcW w:w="3080" w:type="dxa"/>
            <w:gridSpan w:val="2"/>
          </w:tcPr>
          <w:p w:rsidR="00274914" w:rsidRPr="006977BB" w:rsidRDefault="00BD5FF0" w:rsidP="000B2FEA">
            <w:pPr>
              <w:spacing w:after="60"/>
              <w:jc w:val="center"/>
              <w:rPr>
                <w:b/>
              </w:rPr>
            </w:pPr>
            <w:r w:rsidRPr="006977BB">
              <w:rPr>
                <w:b/>
              </w:rPr>
              <w:t>31/03/14</w:t>
            </w:r>
          </w:p>
        </w:tc>
        <w:tc>
          <w:tcPr>
            <w:tcW w:w="1618" w:type="dxa"/>
          </w:tcPr>
          <w:p w:rsidR="00274914" w:rsidRPr="002F17B5" w:rsidRDefault="00274914" w:rsidP="000B2FEA">
            <w:pPr>
              <w:spacing w:after="60"/>
              <w:jc w:val="right"/>
              <w:rPr>
                <w:b/>
              </w:rPr>
            </w:pPr>
            <w:r w:rsidRPr="002F17B5">
              <w:rPr>
                <w:b/>
              </w:rPr>
              <w:t>Level 1</w:t>
            </w:r>
          </w:p>
        </w:tc>
        <w:tc>
          <w:tcPr>
            <w:tcW w:w="1571" w:type="dxa"/>
            <w:gridSpan w:val="2"/>
          </w:tcPr>
          <w:p w:rsidR="00274914" w:rsidRPr="002F17B5" w:rsidRDefault="00274914" w:rsidP="000B2FEA">
            <w:pPr>
              <w:spacing w:after="60"/>
              <w:jc w:val="right"/>
              <w:rPr>
                <w:b/>
              </w:rPr>
            </w:pPr>
            <w:r w:rsidRPr="002F17B5">
              <w:rPr>
                <w:b/>
              </w:rPr>
              <w:t>Level 2</w:t>
            </w:r>
          </w:p>
        </w:tc>
        <w:tc>
          <w:tcPr>
            <w:tcW w:w="1572" w:type="dxa"/>
            <w:gridSpan w:val="2"/>
          </w:tcPr>
          <w:p w:rsidR="00274914" w:rsidRPr="002F17B5" w:rsidRDefault="00274914" w:rsidP="000B2FEA">
            <w:pPr>
              <w:spacing w:after="60"/>
              <w:jc w:val="right"/>
              <w:rPr>
                <w:b/>
              </w:rPr>
            </w:pPr>
            <w:r w:rsidRPr="002F17B5">
              <w:rPr>
                <w:b/>
              </w:rPr>
              <w:t>Level 3</w:t>
            </w:r>
          </w:p>
        </w:tc>
        <w:tc>
          <w:tcPr>
            <w:tcW w:w="1818" w:type="dxa"/>
            <w:gridSpan w:val="3"/>
          </w:tcPr>
          <w:p w:rsidR="00274914" w:rsidRPr="002F17B5" w:rsidRDefault="00274914" w:rsidP="000B2FEA">
            <w:pPr>
              <w:tabs>
                <w:tab w:val="left" w:pos="603"/>
              </w:tabs>
              <w:spacing w:after="60"/>
              <w:jc w:val="right"/>
              <w:rPr>
                <w:b/>
              </w:rPr>
            </w:pPr>
            <w:r w:rsidRPr="002F17B5">
              <w:rPr>
                <w:b/>
              </w:rPr>
              <w:t>Total</w:t>
            </w:r>
          </w:p>
        </w:tc>
      </w:tr>
      <w:tr w:rsidR="00274914" w:rsidRPr="002F17B5" w:rsidTr="000B2FEA">
        <w:trPr>
          <w:gridAfter w:val="1"/>
          <w:wAfter w:w="360" w:type="dxa"/>
        </w:trPr>
        <w:tc>
          <w:tcPr>
            <w:tcW w:w="3080" w:type="dxa"/>
            <w:gridSpan w:val="2"/>
          </w:tcPr>
          <w:p w:rsidR="00274914" w:rsidRPr="002F17B5" w:rsidRDefault="00274914" w:rsidP="000B2FEA">
            <w:pPr>
              <w:spacing w:after="60"/>
              <w:rPr>
                <w:b/>
              </w:rPr>
            </w:pPr>
          </w:p>
        </w:tc>
        <w:tc>
          <w:tcPr>
            <w:tcW w:w="1618" w:type="dxa"/>
          </w:tcPr>
          <w:p w:rsidR="00274914" w:rsidRPr="002F17B5" w:rsidRDefault="00274914" w:rsidP="000B2FEA">
            <w:pPr>
              <w:spacing w:after="60"/>
              <w:jc w:val="right"/>
              <w:rPr>
                <w:b/>
              </w:rPr>
            </w:pPr>
            <w:r w:rsidRPr="002F17B5">
              <w:rPr>
                <w:b/>
              </w:rPr>
              <w:t>£m</w:t>
            </w:r>
          </w:p>
        </w:tc>
        <w:tc>
          <w:tcPr>
            <w:tcW w:w="1571" w:type="dxa"/>
            <w:gridSpan w:val="2"/>
          </w:tcPr>
          <w:p w:rsidR="00274914" w:rsidRPr="002F17B5" w:rsidRDefault="00274914" w:rsidP="000B2FEA">
            <w:pPr>
              <w:spacing w:after="60"/>
              <w:jc w:val="right"/>
              <w:rPr>
                <w:b/>
              </w:rPr>
            </w:pPr>
            <w:r w:rsidRPr="002F17B5">
              <w:rPr>
                <w:b/>
              </w:rPr>
              <w:t>£m</w:t>
            </w:r>
          </w:p>
        </w:tc>
        <w:tc>
          <w:tcPr>
            <w:tcW w:w="1572" w:type="dxa"/>
            <w:gridSpan w:val="2"/>
          </w:tcPr>
          <w:p w:rsidR="00274914" w:rsidRPr="002F17B5" w:rsidRDefault="00274914" w:rsidP="000B2FEA">
            <w:pPr>
              <w:spacing w:after="60"/>
              <w:jc w:val="right"/>
              <w:rPr>
                <w:b/>
              </w:rPr>
            </w:pPr>
            <w:r w:rsidRPr="002F17B5">
              <w:rPr>
                <w:b/>
              </w:rPr>
              <w:t>£m</w:t>
            </w:r>
          </w:p>
        </w:tc>
        <w:tc>
          <w:tcPr>
            <w:tcW w:w="1818" w:type="dxa"/>
            <w:gridSpan w:val="3"/>
          </w:tcPr>
          <w:p w:rsidR="00274914" w:rsidRPr="002F17B5" w:rsidRDefault="00274914" w:rsidP="000B2FEA">
            <w:pPr>
              <w:tabs>
                <w:tab w:val="left" w:pos="603"/>
              </w:tabs>
              <w:spacing w:after="60"/>
              <w:jc w:val="right"/>
              <w:rPr>
                <w:b/>
              </w:rPr>
            </w:pPr>
            <w:r w:rsidRPr="002F17B5">
              <w:rPr>
                <w:b/>
              </w:rPr>
              <w:t>£m</w:t>
            </w:r>
          </w:p>
        </w:tc>
      </w:tr>
      <w:tr w:rsidR="00274914" w:rsidRPr="002F17B5" w:rsidTr="000B2FEA">
        <w:trPr>
          <w:gridAfter w:val="1"/>
          <w:wAfter w:w="360" w:type="dxa"/>
        </w:trPr>
        <w:tc>
          <w:tcPr>
            <w:tcW w:w="3080" w:type="dxa"/>
            <w:gridSpan w:val="2"/>
          </w:tcPr>
          <w:p w:rsidR="00274914" w:rsidRPr="002F17B5" w:rsidRDefault="00274914" w:rsidP="000B2FEA">
            <w:pPr>
              <w:spacing w:after="60"/>
              <w:rPr>
                <w:b/>
              </w:rPr>
            </w:pPr>
            <w:r w:rsidRPr="002F17B5">
              <w:rPr>
                <w:b/>
              </w:rPr>
              <w:t>Financial assets</w:t>
            </w:r>
          </w:p>
        </w:tc>
        <w:tc>
          <w:tcPr>
            <w:tcW w:w="1618" w:type="dxa"/>
          </w:tcPr>
          <w:p w:rsidR="00274914" w:rsidRPr="002F17B5" w:rsidRDefault="00274914" w:rsidP="000B2FEA">
            <w:pPr>
              <w:spacing w:after="60"/>
              <w:jc w:val="right"/>
            </w:pPr>
          </w:p>
        </w:tc>
        <w:tc>
          <w:tcPr>
            <w:tcW w:w="1571" w:type="dxa"/>
            <w:gridSpan w:val="2"/>
          </w:tcPr>
          <w:p w:rsidR="00274914" w:rsidRPr="002F17B5" w:rsidRDefault="00274914" w:rsidP="000B2FEA">
            <w:pPr>
              <w:spacing w:after="60"/>
              <w:jc w:val="right"/>
            </w:pPr>
          </w:p>
        </w:tc>
        <w:tc>
          <w:tcPr>
            <w:tcW w:w="1572" w:type="dxa"/>
            <w:gridSpan w:val="2"/>
          </w:tcPr>
          <w:p w:rsidR="00274914" w:rsidRPr="002F17B5" w:rsidRDefault="00274914" w:rsidP="000B2FEA">
            <w:pPr>
              <w:spacing w:after="60"/>
              <w:jc w:val="right"/>
            </w:pPr>
          </w:p>
        </w:tc>
        <w:tc>
          <w:tcPr>
            <w:tcW w:w="1818" w:type="dxa"/>
            <w:gridSpan w:val="3"/>
          </w:tcPr>
          <w:p w:rsidR="00274914" w:rsidRPr="002F17B5" w:rsidRDefault="00274914" w:rsidP="000B2FEA">
            <w:pPr>
              <w:tabs>
                <w:tab w:val="left" w:pos="603"/>
              </w:tabs>
              <w:spacing w:after="60"/>
              <w:jc w:val="right"/>
            </w:pPr>
          </w:p>
        </w:tc>
      </w:tr>
      <w:tr w:rsidR="00274914" w:rsidRPr="002F17B5" w:rsidTr="000B2FEA">
        <w:trPr>
          <w:gridAfter w:val="1"/>
          <w:wAfter w:w="360" w:type="dxa"/>
        </w:trPr>
        <w:tc>
          <w:tcPr>
            <w:tcW w:w="3080" w:type="dxa"/>
            <w:gridSpan w:val="2"/>
          </w:tcPr>
          <w:p w:rsidR="00274914" w:rsidRPr="002F17B5" w:rsidRDefault="00274914" w:rsidP="00C47C8E">
            <w:pPr>
              <w:spacing w:after="60"/>
              <w:jc w:val="left"/>
            </w:pPr>
            <w:r w:rsidRPr="002F17B5">
              <w:t>Financial assets at fair value through profit and loss</w:t>
            </w:r>
          </w:p>
        </w:tc>
        <w:tc>
          <w:tcPr>
            <w:tcW w:w="1618" w:type="dxa"/>
          </w:tcPr>
          <w:p w:rsidR="00274914" w:rsidRPr="002F17B5" w:rsidRDefault="00274914" w:rsidP="000B2FEA">
            <w:pPr>
              <w:spacing w:after="60"/>
              <w:jc w:val="right"/>
            </w:pPr>
            <w:r w:rsidRPr="002F17B5">
              <w:t>3,314.6</w:t>
            </w:r>
          </w:p>
        </w:tc>
        <w:tc>
          <w:tcPr>
            <w:tcW w:w="1571" w:type="dxa"/>
            <w:gridSpan w:val="2"/>
          </w:tcPr>
          <w:p w:rsidR="00274914" w:rsidRPr="002F17B5" w:rsidRDefault="00274914" w:rsidP="000B2FEA">
            <w:pPr>
              <w:spacing w:after="60"/>
              <w:jc w:val="right"/>
            </w:pPr>
            <w:r w:rsidRPr="002F17B5">
              <w:t>179.9</w:t>
            </w:r>
          </w:p>
        </w:tc>
        <w:tc>
          <w:tcPr>
            <w:tcW w:w="1572" w:type="dxa"/>
            <w:gridSpan w:val="2"/>
          </w:tcPr>
          <w:p w:rsidR="00274914" w:rsidRPr="002F17B5" w:rsidRDefault="00274914" w:rsidP="000B2FEA">
            <w:pPr>
              <w:spacing w:after="60"/>
              <w:jc w:val="right"/>
            </w:pPr>
            <w:r w:rsidRPr="002F17B5">
              <w:t>929.9</w:t>
            </w:r>
          </w:p>
        </w:tc>
        <w:tc>
          <w:tcPr>
            <w:tcW w:w="1818" w:type="dxa"/>
            <w:gridSpan w:val="3"/>
          </w:tcPr>
          <w:p w:rsidR="00274914" w:rsidRPr="002F17B5" w:rsidRDefault="00274914" w:rsidP="000B2FEA">
            <w:pPr>
              <w:tabs>
                <w:tab w:val="left" w:pos="603"/>
              </w:tabs>
              <w:spacing w:after="60"/>
              <w:jc w:val="right"/>
            </w:pPr>
            <w:r w:rsidRPr="002F17B5">
              <w:t>4,424.4</w:t>
            </w:r>
          </w:p>
        </w:tc>
      </w:tr>
      <w:tr w:rsidR="00274914" w:rsidRPr="002F17B5" w:rsidTr="000B2FEA">
        <w:trPr>
          <w:gridAfter w:val="1"/>
          <w:wAfter w:w="360" w:type="dxa"/>
          <w:trHeight w:val="454"/>
        </w:trPr>
        <w:tc>
          <w:tcPr>
            <w:tcW w:w="3080" w:type="dxa"/>
            <w:gridSpan w:val="2"/>
          </w:tcPr>
          <w:p w:rsidR="00274914" w:rsidRPr="002F17B5" w:rsidRDefault="00274914" w:rsidP="00C47C8E">
            <w:pPr>
              <w:spacing w:after="60"/>
              <w:jc w:val="left"/>
              <w:rPr>
                <w:b/>
              </w:rPr>
            </w:pPr>
            <w:r w:rsidRPr="002F17B5">
              <w:rPr>
                <w:b/>
              </w:rPr>
              <w:t>Total Financial assets</w:t>
            </w:r>
          </w:p>
        </w:tc>
        <w:tc>
          <w:tcPr>
            <w:tcW w:w="1618" w:type="dxa"/>
          </w:tcPr>
          <w:p w:rsidR="00274914" w:rsidRPr="002F17B5" w:rsidRDefault="00274914" w:rsidP="000B2FEA">
            <w:pPr>
              <w:spacing w:after="60"/>
              <w:jc w:val="right"/>
              <w:rPr>
                <w:b/>
                <w:sz w:val="22"/>
              </w:rPr>
            </w:pPr>
            <w:r w:rsidRPr="002F17B5">
              <w:rPr>
                <w:b/>
                <w:sz w:val="22"/>
              </w:rPr>
              <w:t>3,314.6</w:t>
            </w:r>
          </w:p>
        </w:tc>
        <w:tc>
          <w:tcPr>
            <w:tcW w:w="1571" w:type="dxa"/>
            <w:gridSpan w:val="2"/>
          </w:tcPr>
          <w:p w:rsidR="00274914" w:rsidRPr="002F17B5" w:rsidRDefault="00274914" w:rsidP="000B2FEA">
            <w:pPr>
              <w:spacing w:after="60"/>
              <w:jc w:val="right"/>
              <w:rPr>
                <w:b/>
              </w:rPr>
            </w:pPr>
            <w:r w:rsidRPr="002F17B5">
              <w:rPr>
                <w:b/>
              </w:rPr>
              <w:t>179.9</w:t>
            </w:r>
          </w:p>
        </w:tc>
        <w:tc>
          <w:tcPr>
            <w:tcW w:w="1572" w:type="dxa"/>
            <w:gridSpan w:val="2"/>
          </w:tcPr>
          <w:p w:rsidR="00274914" w:rsidRPr="002F17B5" w:rsidRDefault="00274914" w:rsidP="000B2FEA">
            <w:pPr>
              <w:spacing w:after="60"/>
              <w:jc w:val="right"/>
              <w:rPr>
                <w:b/>
              </w:rPr>
            </w:pPr>
            <w:r w:rsidRPr="002F17B5">
              <w:rPr>
                <w:b/>
              </w:rPr>
              <w:t>929.9</w:t>
            </w:r>
          </w:p>
        </w:tc>
        <w:tc>
          <w:tcPr>
            <w:tcW w:w="1818" w:type="dxa"/>
            <w:gridSpan w:val="3"/>
          </w:tcPr>
          <w:p w:rsidR="00274914" w:rsidRPr="002F17B5" w:rsidRDefault="00274914" w:rsidP="000B2FEA">
            <w:pPr>
              <w:tabs>
                <w:tab w:val="left" w:pos="603"/>
              </w:tabs>
              <w:spacing w:after="60"/>
              <w:jc w:val="right"/>
              <w:rPr>
                <w:b/>
                <w:sz w:val="22"/>
              </w:rPr>
            </w:pPr>
            <w:r w:rsidRPr="002F17B5">
              <w:rPr>
                <w:b/>
                <w:sz w:val="22"/>
              </w:rPr>
              <w:t>4,424.4</w:t>
            </w:r>
          </w:p>
        </w:tc>
      </w:tr>
      <w:tr w:rsidR="00274914" w:rsidRPr="002F17B5" w:rsidTr="000B2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Pr>
        <w:tc>
          <w:tcPr>
            <w:tcW w:w="3080" w:type="dxa"/>
            <w:gridSpan w:val="2"/>
            <w:tcBorders>
              <w:top w:val="nil"/>
              <w:left w:val="nil"/>
              <w:bottom w:val="nil"/>
              <w:right w:val="nil"/>
            </w:tcBorders>
          </w:tcPr>
          <w:p w:rsidR="00274914" w:rsidRPr="002F17B5" w:rsidRDefault="00274914" w:rsidP="00C47C8E">
            <w:pPr>
              <w:spacing w:after="60"/>
              <w:jc w:val="left"/>
              <w:rPr>
                <w:b/>
              </w:rPr>
            </w:pPr>
            <w:r w:rsidRPr="002F17B5">
              <w:rPr>
                <w:b/>
              </w:rPr>
              <w:t>Financial Liabilities</w:t>
            </w:r>
          </w:p>
        </w:tc>
        <w:tc>
          <w:tcPr>
            <w:tcW w:w="1618" w:type="dxa"/>
            <w:tcBorders>
              <w:top w:val="nil"/>
              <w:left w:val="nil"/>
              <w:bottom w:val="nil"/>
              <w:right w:val="nil"/>
            </w:tcBorders>
          </w:tcPr>
          <w:p w:rsidR="00274914" w:rsidRPr="002F17B5" w:rsidRDefault="00274914" w:rsidP="000B2FEA">
            <w:pPr>
              <w:spacing w:after="60"/>
              <w:jc w:val="right"/>
            </w:pPr>
          </w:p>
        </w:tc>
        <w:tc>
          <w:tcPr>
            <w:tcW w:w="1571" w:type="dxa"/>
            <w:gridSpan w:val="2"/>
            <w:tcBorders>
              <w:top w:val="nil"/>
              <w:left w:val="nil"/>
              <w:bottom w:val="nil"/>
              <w:right w:val="nil"/>
            </w:tcBorders>
          </w:tcPr>
          <w:p w:rsidR="00274914" w:rsidRPr="002F17B5" w:rsidRDefault="00274914" w:rsidP="000B2FEA">
            <w:pPr>
              <w:spacing w:after="60"/>
              <w:jc w:val="right"/>
            </w:pPr>
          </w:p>
        </w:tc>
        <w:tc>
          <w:tcPr>
            <w:tcW w:w="1572" w:type="dxa"/>
            <w:gridSpan w:val="2"/>
            <w:tcBorders>
              <w:top w:val="nil"/>
              <w:left w:val="nil"/>
              <w:bottom w:val="nil"/>
              <w:right w:val="nil"/>
            </w:tcBorders>
          </w:tcPr>
          <w:p w:rsidR="00274914" w:rsidRPr="002F17B5" w:rsidRDefault="00274914" w:rsidP="000B2FEA">
            <w:pPr>
              <w:spacing w:after="60"/>
              <w:jc w:val="right"/>
            </w:pPr>
          </w:p>
        </w:tc>
        <w:tc>
          <w:tcPr>
            <w:tcW w:w="1818" w:type="dxa"/>
            <w:gridSpan w:val="3"/>
            <w:tcBorders>
              <w:top w:val="nil"/>
              <w:left w:val="nil"/>
              <w:bottom w:val="nil"/>
              <w:right w:val="nil"/>
            </w:tcBorders>
          </w:tcPr>
          <w:p w:rsidR="00274914" w:rsidRPr="002F17B5" w:rsidRDefault="00274914" w:rsidP="000B2FEA">
            <w:pPr>
              <w:tabs>
                <w:tab w:val="left" w:pos="603"/>
              </w:tabs>
              <w:spacing w:after="60"/>
              <w:jc w:val="right"/>
            </w:pPr>
          </w:p>
        </w:tc>
      </w:tr>
      <w:tr w:rsidR="00274914" w:rsidRPr="002F17B5" w:rsidTr="000B2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Pr>
        <w:tc>
          <w:tcPr>
            <w:tcW w:w="3080" w:type="dxa"/>
            <w:gridSpan w:val="2"/>
            <w:tcBorders>
              <w:top w:val="nil"/>
              <w:left w:val="nil"/>
              <w:bottom w:val="nil"/>
              <w:right w:val="nil"/>
            </w:tcBorders>
          </w:tcPr>
          <w:p w:rsidR="00274914" w:rsidRPr="002F17B5" w:rsidRDefault="00274914" w:rsidP="00C47C8E">
            <w:pPr>
              <w:spacing w:after="60"/>
              <w:jc w:val="left"/>
            </w:pPr>
            <w:r w:rsidRPr="002F17B5">
              <w:t>Financial liabilities at fair value through profit and loss</w:t>
            </w:r>
          </w:p>
        </w:tc>
        <w:tc>
          <w:tcPr>
            <w:tcW w:w="1618" w:type="dxa"/>
            <w:tcBorders>
              <w:top w:val="nil"/>
              <w:left w:val="nil"/>
              <w:bottom w:val="nil"/>
              <w:right w:val="nil"/>
            </w:tcBorders>
          </w:tcPr>
          <w:p w:rsidR="00274914" w:rsidRPr="002F17B5" w:rsidRDefault="00274914" w:rsidP="000B2FEA">
            <w:pPr>
              <w:spacing w:after="60"/>
              <w:jc w:val="right"/>
            </w:pPr>
            <w:r w:rsidRPr="002F17B5">
              <w:t>21.3</w:t>
            </w:r>
          </w:p>
        </w:tc>
        <w:tc>
          <w:tcPr>
            <w:tcW w:w="1571" w:type="dxa"/>
            <w:gridSpan w:val="2"/>
            <w:tcBorders>
              <w:top w:val="nil"/>
              <w:left w:val="nil"/>
              <w:bottom w:val="nil"/>
              <w:right w:val="nil"/>
            </w:tcBorders>
          </w:tcPr>
          <w:p w:rsidR="00274914" w:rsidRPr="002F17B5" w:rsidRDefault="00274914" w:rsidP="000B2FEA">
            <w:pPr>
              <w:spacing w:after="60"/>
              <w:jc w:val="right"/>
            </w:pPr>
            <w:r w:rsidRPr="002F17B5">
              <w:t>-</w:t>
            </w:r>
          </w:p>
        </w:tc>
        <w:tc>
          <w:tcPr>
            <w:tcW w:w="1572" w:type="dxa"/>
            <w:gridSpan w:val="2"/>
            <w:tcBorders>
              <w:top w:val="nil"/>
              <w:left w:val="nil"/>
              <w:bottom w:val="nil"/>
              <w:right w:val="nil"/>
            </w:tcBorders>
          </w:tcPr>
          <w:p w:rsidR="00274914" w:rsidRPr="002F17B5" w:rsidRDefault="00274914" w:rsidP="000B2FEA">
            <w:pPr>
              <w:spacing w:after="60"/>
              <w:jc w:val="right"/>
            </w:pPr>
            <w:r w:rsidRPr="002F17B5">
              <w:t>-</w:t>
            </w:r>
          </w:p>
        </w:tc>
        <w:tc>
          <w:tcPr>
            <w:tcW w:w="1818" w:type="dxa"/>
            <w:gridSpan w:val="3"/>
            <w:tcBorders>
              <w:top w:val="nil"/>
              <w:left w:val="nil"/>
              <w:bottom w:val="nil"/>
              <w:right w:val="nil"/>
            </w:tcBorders>
          </w:tcPr>
          <w:p w:rsidR="00274914" w:rsidRPr="002F17B5" w:rsidRDefault="00274914" w:rsidP="000B2FEA">
            <w:pPr>
              <w:tabs>
                <w:tab w:val="left" w:pos="603"/>
              </w:tabs>
              <w:spacing w:after="60"/>
              <w:jc w:val="right"/>
            </w:pPr>
            <w:r w:rsidRPr="002F17B5">
              <w:t>21.3</w:t>
            </w:r>
          </w:p>
        </w:tc>
      </w:tr>
      <w:tr w:rsidR="00274914" w:rsidRPr="002F17B5" w:rsidTr="000B2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862"/>
        </w:trPr>
        <w:tc>
          <w:tcPr>
            <w:tcW w:w="3080" w:type="dxa"/>
            <w:gridSpan w:val="2"/>
            <w:tcBorders>
              <w:top w:val="nil"/>
              <w:left w:val="nil"/>
              <w:bottom w:val="nil"/>
              <w:right w:val="nil"/>
            </w:tcBorders>
          </w:tcPr>
          <w:p w:rsidR="00274914" w:rsidRPr="002F17B5" w:rsidRDefault="00274914" w:rsidP="000B2FEA">
            <w:pPr>
              <w:spacing w:after="60"/>
              <w:rPr>
                <w:b/>
              </w:rPr>
            </w:pPr>
            <w:r w:rsidRPr="002F17B5">
              <w:rPr>
                <w:b/>
              </w:rPr>
              <w:t>Total Financial Liabilities</w:t>
            </w:r>
          </w:p>
        </w:tc>
        <w:tc>
          <w:tcPr>
            <w:tcW w:w="1618" w:type="dxa"/>
            <w:tcBorders>
              <w:top w:val="nil"/>
              <w:left w:val="nil"/>
              <w:bottom w:val="nil"/>
              <w:right w:val="nil"/>
            </w:tcBorders>
          </w:tcPr>
          <w:p w:rsidR="00274914" w:rsidRPr="002F17B5" w:rsidRDefault="00274914" w:rsidP="000B2FEA">
            <w:pPr>
              <w:spacing w:after="60"/>
              <w:jc w:val="right"/>
              <w:rPr>
                <w:b/>
              </w:rPr>
            </w:pPr>
            <w:r w:rsidRPr="002F17B5">
              <w:rPr>
                <w:b/>
              </w:rPr>
              <w:t>21.3</w:t>
            </w:r>
          </w:p>
        </w:tc>
        <w:tc>
          <w:tcPr>
            <w:tcW w:w="1571" w:type="dxa"/>
            <w:gridSpan w:val="2"/>
            <w:tcBorders>
              <w:top w:val="nil"/>
              <w:left w:val="nil"/>
              <w:bottom w:val="nil"/>
              <w:right w:val="nil"/>
            </w:tcBorders>
          </w:tcPr>
          <w:p w:rsidR="00274914" w:rsidRPr="002F17B5" w:rsidRDefault="00274914" w:rsidP="000B2FEA">
            <w:pPr>
              <w:spacing w:after="60"/>
              <w:jc w:val="right"/>
              <w:rPr>
                <w:b/>
              </w:rPr>
            </w:pPr>
            <w:r w:rsidRPr="002F17B5">
              <w:rPr>
                <w:b/>
              </w:rPr>
              <w:t>-</w:t>
            </w:r>
          </w:p>
        </w:tc>
        <w:tc>
          <w:tcPr>
            <w:tcW w:w="1572" w:type="dxa"/>
            <w:gridSpan w:val="2"/>
            <w:tcBorders>
              <w:top w:val="nil"/>
              <w:left w:val="nil"/>
              <w:bottom w:val="nil"/>
              <w:right w:val="nil"/>
            </w:tcBorders>
          </w:tcPr>
          <w:p w:rsidR="00274914" w:rsidRPr="002F17B5" w:rsidRDefault="00274914" w:rsidP="000B2FEA">
            <w:pPr>
              <w:spacing w:after="60"/>
              <w:jc w:val="right"/>
              <w:rPr>
                <w:b/>
              </w:rPr>
            </w:pPr>
            <w:r w:rsidRPr="002F17B5">
              <w:rPr>
                <w:b/>
              </w:rPr>
              <w:t>-</w:t>
            </w:r>
          </w:p>
        </w:tc>
        <w:tc>
          <w:tcPr>
            <w:tcW w:w="1818" w:type="dxa"/>
            <w:gridSpan w:val="3"/>
            <w:tcBorders>
              <w:top w:val="nil"/>
              <w:left w:val="nil"/>
              <w:bottom w:val="nil"/>
              <w:right w:val="nil"/>
            </w:tcBorders>
          </w:tcPr>
          <w:p w:rsidR="00274914" w:rsidRPr="002F17B5" w:rsidRDefault="00274914" w:rsidP="000B2FEA">
            <w:pPr>
              <w:tabs>
                <w:tab w:val="left" w:pos="603"/>
              </w:tabs>
              <w:spacing w:after="60"/>
              <w:jc w:val="right"/>
              <w:rPr>
                <w:b/>
              </w:rPr>
            </w:pPr>
            <w:r w:rsidRPr="002F17B5">
              <w:rPr>
                <w:b/>
              </w:rPr>
              <w:t>21.3</w:t>
            </w:r>
          </w:p>
          <w:p w:rsidR="00274914" w:rsidRPr="002F17B5" w:rsidRDefault="00274914" w:rsidP="000B2FEA">
            <w:pPr>
              <w:tabs>
                <w:tab w:val="left" w:pos="603"/>
              </w:tabs>
              <w:spacing w:after="60"/>
              <w:jc w:val="right"/>
              <w:rPr>
                <w:b/>
              </w:rPr>
            </w:pPr>
          </w:p>
        </w:tc>
      </w:tr>
      <w:tr w:rsidR="00274914" w:rsidRPr="002F17B5" w:rsidTr="000B2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376"/>
        </w:trPr>
        <w:tc>
          <w:tcPr>
            <w:tcW w:w="3080" w:type="dxa"/>
            <w:gridSpan w:val="2"/>
            <w:tcBorders>
              <w:top w:val="nil"/>
              <w:left w:val="nil"/>
              <w:bottom w:val="nil"/>
              <w:right w:val="nil"/>
            </w:tcBorders>
          </w:tcPr>
          <w:p w:rsidR="00011F03" w:rsidRDefault="00011F03" w:rsidP="000B2FEA">
            <w:pPr>
              <w:spacing w:after="60"/>
              <w:rPr>
                <w:b/>
              </w:rPr>
            </w:pPr>
          </w:p>
          <w:p w:rsidR="00011F03" w:rsidRPr="002F17B5" w:rsidRDefault="00011F03" w:rsidP="000B2FEA">
            <w:pPr>
              <w:spacing w:after="60"/>
              <w:rPr>
                <w:b/>
              </w:rPr>
            </w:pPr>
          </w:p>
        </w:tc>
        <w:tc>
          <w:tcPr>
            <w:tcW w:w="1618" w:type="dxa"/>
            <w:tcBorders>
              <w:top w:val="nil"/>
              <w:left w:val="nil"/>
              <w:bottom w:val="nil"/>
              <w:right w:val="nil"/>
            </w:tcBorders>
          </w:tcPr>
          <w:p w:rsidR="00274914" w:rsidRPr="002F17B5" w:rsidRDefault="00274914" w:rsidP="000B2FEA">
            <w:pPr>
              <w:spacing w:after="60"/>
              <w:jc w:val="right"/>
              <w:rPr>
                <w:b/>
              </w:rPr>
            </w:pPr>
          </w:p>
        </w:tc>
        <w:tc>
          <w:tcPr>
            <w:tcW w:w="1571" w:type="dxa"/>
            <w:gridSpan w:val="2"/>
            <w:tcBorders>
              <w:top w:val="nil"/>
              <w:left w:val="nil"/>
              <w:bottom w:val="nil"/>
              <w:right w:val="nil"/>
            </w:tcBorders>
          </w:tcPr>
          <w:p w:rsidR="00274914" w:rsidRPr="002F17B5" w:rsidRDefault="00274914" w:rsidP="000B2FEA">
            <w:pPr>
              <w:spacing w:after="60"/>
              <w:jc w:val="right"/>
              <w:rPr>
                <w:b/>
              </w:rPr>
            </w:pPr>
          </w:p>
        </w:tc>
        <w:tc>
          <w:tcPr>
            <w:tcW w:w="1572" w:type="dxa"/>
            <w:gridSpan w:val="2"/>
            <w:tcBorders>
              <w:top w:val="nil"/>
              <w:left w:val="nil"/>
              <w:bottom w:val="nil"/>
              <w:right w:val="nil"/>
            </w:tcBorders>
          </w:tcPr>
          <w:p w:rsidR="00274914" w:rsidRPr="002F17B5" w:rsidRDefault="00274914" w:rsidP="000B2FEA">
            <w:pPr>
              <w:spacing w:after="60"/>
              <w:jc w:val="right"/>
              <w:rPr>
                <w:b/>
              </w:rPr>
            </w:pPr>
          </w:p>
        </w:tc>
        <w:tc>
          <w:tcPr>
            <w:tcW w:w="1818" w:type="dxa"/>
            <w:gridSpan w:val="3"/>
            <w:tcBorders>
              <w:top w:val="nil"/>
              <w:left w:val="nil"/>
              <w:bottom w:val="nil"/>
              <w:right w:val="nil"/>
            </w:tcBorders>
          </w:tcPr>
          <w:p w:rsidR="00274914" w:rsidRPr="002F17B5" w:rsidRDefault="00274914" w:rsidP="000B2FEA">
            <w:pPr>
              <w:tabs>
                <w:tab w:val="left" w:pos="603"/>
              </w:tabs>
              <w:spacing w:after="60"/>
              <w:jc w:val="right"/>
              <w:rPr>
                <w:b/>
              </w:rPr>
            </w:pPr>
          </w:p>
        </w:tc>
      </w:tr>
      <w:tr w:rsidR="00274914" w:rsidRPr="002F17B5" w:rsidTr="000B2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279"/>
        </w:trPr>
        <w:tc>
          <w:tcPr>
            <w:tcW w:w="3080" w:type="dxa"/>
            <w:gridSpan w:val="2"/>
            <w:tcBorders>
              <w:top w:val="nil"/>
              <w:left w:val="nil"/>
              <w:bottom w:val="nil"/>
              <w:right w:val="nil"/>
            </w:tcBorders>
          </w:tcPr>
          <w:p w:rsidR="00274914" w:rsidRPr="006977BB" w:rsidRDefault="00BD5FF0" w:rsidP="000B2FEA">
            <w:pPr>
              <w:spacing w:after="60"/>
              <w:jc w:val="center"/>
              <w:rPr>
                <w:b/>
              </w:rPr>
            </w:pPr>
            <w:r w:rsidRPr="006977BB">
              <w:rPr>
                <w:b/>
              </w:rPr>
              <w:t>31/03/13</w:t>
            </w:r>
          </w:p>
        </w:tc>
        <w:tc>
          <w:tcPr>
            <w:tcW w:w="1618" w:type="dxa"/>
            <w:tcBorders>
              <w:top w:val="nil"/>
              <w:left w:val="nil"/>
              <w:bottom w:val="nil"/>
              <w:right w:val="nil"/>
            </w:tcBorders>
          </w:tcPr>
          <w:p w:rsidR="00274914" w:rsidRPr="002F17B5" w:rsidRDefault="00274914" w:rsidP="000B2FEA">
            <w:pPr>
              <w:spacing w:after="60"/>
              <w:jc w:val="right"/>
              <w:rPr>
                <w:b/>
              </w:rPr>
            </w:pPr>
            <w:r w:rsidRPr="002F17B5">
              <w:rPr>
                <w:b/>
              </w:rPr>
              <w:t>*Level 1</w:t>
            </w:r>
          </w:p>
        </w:tc>
        <w:tc>
          <w:tcPr>
            <w:tcW w:w="1571" w:type="dxa"/>
            <w:gridSpan w:val="2"/>
            <w:tcBorders>
              <w:top w:val="nil"/>
              <w:left w:val="nil"/>
              <w:bottom w:val="nil"/>
              <w:right w:val="nil"/>
            </w:tcBorders>
          </w:tcPr>
          <w:p w:rsidR="00274914" w:rsidRPr="002F17B5" w:rsidRDefault="00274914" w:rsidP="000B2FEA">
            <w:pPr>
              <w:spacing w:after="60"/>
              <w:jc w:val="right"/>
              <w:rPr>
                <w:b/>
              </w:rPr>
            </w:pPr>
            <w:r w:rsidRPr="002F17B5">
              <w:rPr>
                <w:b/>
              </w:rPr>
              <w:t>*Level 2</w:t>
            </w:r>
          </w:p>
        </w:tc>
        <w:tc>
          <w:tcPr>
            <w:tcW w:w="1572" w:type="dxa"/>
            <w:gridSpan w:val="2"/>
            <w:tcBorders>
              <w:top w:val="nil"/>
              <w:left w:val="nil"/>
              <w:bottom w:val="nil"/>
              <w:right w:val="nil"/>
            </w:tcBorders>
          </w:tcPr>
          <w:p w:rsidR="00274914" w:rsidRPr="002F17B5" w:rsidRDefault="00274914" w:rsidP="000B2FEA">
            <w:pPr>
              <w:spacing w:after="60"/>
              <w:jc w:val="right"/>
              <w:rPr>
                <w:b/>
              </w:rPr>
            </w:pPr>
            <w:r w:rsidRPr="002F17B5">
              <w:rPr>
                <w:b/>
              </w:rPr>
              <w:t>*Level 3</w:t>
            </w:r>
          </w:p>
        </w:tc>
        <w:tc>
          <w:tcPr>
            <w:tcW w:w="1818" w:type="dxa"/>
            <w:gridSpan w:val="3"/>
            <w:tcBorders>
              <w:top w:val="nil"/>
              <w:left w:val="nil"/>
              <w:bottom w:val="nil"/>
              <w:right w:val="nil"/>
            </w:tcBorders>
          </w:tcPr>
          <w:p w:rsidR="00274914" w:rsidRPr="002F17B5" w:rsidRDefault="00274914" w:rsidP="000B2FEA">
            <w:pPr>
              <w:tabs>
                <w:tab w:val="left" w:pos="603"/>
              </w:tabs>
              <w:spacing w:after="60"/>
              <w:jc w:val="right"/>
              <w:rPr>
                <w:b/>
              </w:rPr>
            </w:pPr>
            <w:r w:rsidRPr="002F17B5">
              <w:rPr>
                <w:b/>
              </w:rPr>
              <w:t>Total</w:t>
            </w:r>
          </w:p>
        </w:tc>
      </w:tr>
      <w:tr w:rsidR="00274914" w:rsidRPr="002F17B5" w:rsidTr="000B2FEA">
        <w:trPr>
          <w:gridAfter w:val="1"/>
          <w:wAfter w:w="360" w:type="dxa"/>
          <w:trHeight w:val="417"/>
        </w:trPr>
        <w:tc>
          <w:tcPr>
            <w:tcW w:w="3080" w:type="dxa"/>
            <w:gridSpan w:val="2"/>
          </w:tcPr>
          <w:p w:rsidR="00274914" w:rsidRPr="002F17B5" w:rsidRDefault="00274914" w:rsidP="000B2FEA">
            <w:pPr>
              <w:spacing w:after="60"/>
              <w:rPr>
                <w:b/>
              </w:rPr>
            </w:pPr>
          </w:p>
        </w:tc>
        <w:tc>
          <w:tcPr>
            <w:tcW w:w="1618" w:type="dxa"/>
          </w:tcPr>
          <w:p w:rsidR="00274914" w:rsidRPr="002F17B5" w:rsidRDefault="00274914" w:rsidP="000B2FEA">
            <w:pPr>
              <w:spacing w:after="60"/>
              <w:jc w:val="right"/>
              <w:rPr>
                <w:b/>
              </w:rPr>
            </w:pPr>
            <w:r w:rsidRPr="002F17B5">
              <w:rPr>
                <w:b/>
              </w:rPr>
              <w:t>£m</w:t>
            </w:r>
          </w:p>
        </w:tc>
        <w:tc>
          <w:tcPr>
            <w:tcW w:w="1571" w:type="dxa"/>
            <w:gridSpan w:val="2"/>
          </w:tcPr>
          <w:p w:rsidR="00274914" w:rsidRPr="002F17B5" w:rsidRDefault="00274914" w:rsidP="000B2FEA">
            <w:pPr>
              <w:spacing w:after="60"/>
              <w:jc w:val="right"/>
              <w:rPr>
                <w:b/>
              </w:rPr>
            </w:pPr>
            <w:r w:rsidRPr="002F17B5">
              <w:rPr>
                <w:b/>
              </w:rPr>
              <w:t>£m</w:t>
            </w:r>
          </w:p>
        </w:tc>
        <w:tc>
          <w:tcPr>
            <w:tcW w:w="1572" w:type="dxa"/>
            <w:gridSpan w:val="2"/>
          </w:tcPr>
          <w:p w:rsidR="00274914" w:rsidRPr="002F17B5" w:rsidRDefault="00274914" w:rsidP="000B2FEA">
            <w:pPr>
              <w:spacing w:after="60"/>
              <w:jc w:val="right"/>
              <w:rPr>
                <w:b/>
              </w:rPr>
            </w:pPr>
            <w:r w:rsidRPr="002F17B5">
              <w:rPr>
                <w:b/>
              </w:rPr>
              <w:t>£m</w:t>
            </w:r>
          </w:p>
        </w:tc>
        <w:tc>
          <w:tcPr>
            <w:tcW w:w="1818" w:type="dxa"/>
            <w:gridSpan w:val="3"/>
          </w:tcPr>
          <w:p w:rsidR="00274914" w:rsidRPr="002F17B5" w:rsidRDefault="00274914" w:rsidP="000B2FEA">
            <w:pPr>
              <w:tabs>
                <w:tab w:val="left" w:pos="603"/>
              </w:tabs>
              <w:spacing w:after="60"/>
              <w:jc w:val="right"/>
              <w:rPr>
                <w:b/>
              </w:rPr>
            </w:pPr>
            <w:r w:rsidRPr="002F17B5">
              <w:rPr>
                <w:b/>
              </w:rPr>
              <w:t>£m</w:t>
            </w:r>
          </w:p>
        </w:tc>
      </w:tr>
      <w:tr w:rsidR="00274914" w:rsidRPr="002F17B5" w:rsidTr="000B2FEA">
        <w:trPr>
          <w:gridAfter w:val="1"/>
          <w:wAfter w:w="360" w:type="dxa"/>
          <w:trHeight w:val="283"/>
        </w:trPr>
        <w:tc>
          <w:tcPr>
            <w:tcW w:w="3080" w:type="dxa"/>
            <w:gridSpan w:val="2"/>
          </w:tcPr>
          <w:p w:rsidR="00274914" w:rsidRPr="002F17B5" w:rsidRDefault="00274914" w:rsidP="000B2FEA">
            <w:pPr>
              <w:spacing w:after="60"/>
              <w:rPr>
                <w:b/>
              </w:rPr>
            </w:pPr>
            <w:r w:rsidRPr="002F17B5">
              <w:rPr>
                <w:b/>
              </w:rPr>
              <w:t>Financial assets</w:t>
            </w:r>
          </w:p>
        </w:tc>
        <w:tc>
          <w:tcPr>
            <w:tcW w:w="1618" w:type="dxa"/>
          </w:tcPr>
          <w:p w:rsidR="00274914" w:rsidRPr="002F17B5" w:rsidRDefault="00274914" w:rsidP="000B2FEA">
            <w:pPr>
              <w:spacing w:after="60"/>
              <w:jc w:val="right"/>
            </w:pPr>
          </w:p>
        </w:tc>
        <w:tc>
          <w:tcPr>
            <w:tcW w:w="1571" w:type="dxa"/>
            <w:gridSpan w:val="2"/>
          </w:tcPr>
          <w:p w:rsidR="00274914" w:rsidRPr="002F17B5" w:rsidRDefault="00274914" w:rsidP="000B2FEA">
            <w:pPr>
              <w:spacing w:after="60"/>
              <w:jc w:val="right"/>
            </w:pPr>
          </w:p>
        </w:tc>
        <w:tc>
          <w:tcPr>
            <w:tcW w:w="1572" w:type="dxa"/>
            <w:gridSpan w:val="2"/>
          </w:tcPr>
          <w:p w:rsidR="00274914" w:rsidRPr="002F17B5" w:rsidRDefault="00274914" w:rsidP="000B2FEA">
            <w:pPr>
              <w:spacing w:after="60"/>
              <w:jc w:val="right"/>
            </w:pPr>
          </w:p>
        </w:tc>
        <w:tc>
          <w:tcPr>
            <w:tcW w:w="1818" w:type="dxa"/>
            <w:gridSpan w:val="3"/>
          </w:tcPr>
          <w:p w:rsidR="00274914" w:rsidRPr="002F17B5" w:rsidRDefault="00274914" w:rsidP="000B2FEA">
            <w:pPr>
              <w:tabs>
                <w:tab w:val="left" w:pos="603"/>
              </w:tabs>
              <w:spacing w:after="60"/>
              <w:jc w:val="right"/>
            </w:pPr>
          </w:p>
        </w:tc>
      </w:tr>
      <w:tr w:rsidR="00274914" w:rsidRPr="002F17B5" w:rsidTr="000B2FEA">
        <w:trPr>
          <w:gridAfter w:val="1"/>
          <w:wAfter w:w="360" w:type="dxa"/>
          <w:trHeight w:val="417"/>
        </w:trPr>
        <w:tc>
          <w:tcPr>
            <w:tcW w:w="3080" w:type="dxa"/>
            <w:gridSpan w:val="2"/>
          </w:tcPr>
          <w:p w:rsidR="00274914" w:rsidRPr="002F17B5" w:rsidRDefault="00274914" w:rsidP="000B2FEA">
            <w:pPr>
              <w:spacing w:after="60"/>
            </w:pPr>
            <w:r w:rsidRPr="002F17B5">
              <w:t>Financial assets at fair value through profit and loss</w:t>
            </w:r>
          </w:p>
        </w:tc>
        <w:tc>
          <w:tcPr>
            <w:tcW w:w="1618" w:type="dxa"/>
          </w:tcPr>
          <w:p w:rsidR="00274914" w:rsidRPr="002F17B5" w:rsidRDefault="00274914" w:rsidP="000B2FEA">
            <w:pPr>
              <w:spacing w:after="60"/>
              <w:jc w:val="right"/>
            </w:pPr>
            <w:r w:rsidRPr="002F17B5">
              <w:t>*2,881.5</w:t>
            </w:r>
          </w:p>
        </w:tc>
        <w:tc>
          <w:tcPr>
            <w:tcW w:w="1571" w:type="dxa"/>
            <w:gridSpan w:val="2"/>
          </w:tcPr>
          <w:p w:rsidR="00274914" w:rsidRPr="002F17B5" w:rsidRDefault="00274914" w:rsidP="000B2FEA">
            <w:pPr>
              <w:spacing w:after="60"/>
              <w:jc w:val="right"/>
            </w:pPr>
            <w:r w:rsidRPr="002F17B5">
              <w:t>*977.1</w:t>
            </w:r>
          </w:p>
        </w:tc>
        <w:tc>
          <w:tcPr>
            <w:tcW w:w="1572" w:type="dxa"/>
            <w:gridSpan w:val="2"/>
          </w:tcPr>
          <w:p w:rsidR="00274914" w:rsidRPr="002F17B5" w:rsidRDefault="00274914" w:rsidP="000B2FEA">
            <w:pPr>
              <w:spacing w:after="60"/>
              <w:jc w:val="right"/>
            </w:pPr>
            <w:r w:rsidRPr="002F17B5">
              <w:t>*648.3</w:t>
            </w:r>
          </w:p>
        </w:tc>
        <w:tc>
          <w:tcPr>
            <w:tcW w:w="1818" w:type="dxa"/>
            <w:gridSpan w:val="3"/>
          </w:tcPr>
          <w:p w:rsidR="00274914" w:rsidRPr="002F17B5" w:rsidRDefault="00274914" w:rsidP="000B2FEA">
            <w:pPr>
              <w:tabs>
                <w:tab w:val="left" w:pos="603"/>
              </w:tabs>
              <w:spacing w:after="60"/>
              <w:jc w:val="right"/>
            </w:pPr>
            <w:r w:rsidRPr="002F17B5">
              <w:t>4,506.9</w:t>
            </w:r>
          </w:p>
        </w:tc>
      </w:tr>
      <w:tr w:rsidR="00274914" w:rsidRPr="002F17B5" w:rsidTr="000B2FEA">
        <w:trPr>
          <w:gridAfter w:val="1"/>
          <w:wAfter w:w="360" w:type="dxa"/>
        </w:trPr>
        <w:tc>
          <w:tcPr>
            <w:tcW w:w="3080" w:type="dxa"/>
            <w:gridSpan w:val="2"/>
          </w:tcPr>
          <w:p w:rsidR="00274914" w:rsidRPr="002F17B5" w:rsidRDefault="00274914" w:rsidP="000B2FEA">
            <w:pPr>
              <w:spacing w:after="60"/>
              <w:rPr>
                <w:b/>
              </w:rPr>
            </w:pPr>
            <w:r w:rsidRPr="002F17B5">
              <w:rPr>
                <w:b/>
              </w:rPr>
              <w:t>Total Financial assets</w:t>
            </w:r>
          </w:p>
        </w:tc>
        <w:tc>
          <w:tcPr>
            <w:tcW w:w="1618" w:type="dxa"/>
          </w:tcPr>
          <w:p w:rsidR="00274914" w:rsidRPr="002F17B5" w:rsidRDefault="00274914" w:rsidP="000B2FEA">
            <w:pPr>
              <w:spacing w:after="60"/>
              <w:jc w:val="right"/>
              <w:rPr>
                <w:b/>
                <w:sz w:val="22"/>
              </w:rPr>
            </w:pPr>
            <w:r w:rsidRPr="002F17B5">
              <w:rPr>
                <w:b/>
                <w:sz w:val="22"/>
              </w:rPr>
              <w:t>2,881.5</w:t>
            </w:r>
          </w:p>
        </w:tc>
        <w:tc>
          <w:tcPr>
            <w:tcW w:w="1571" w:type="dxa"/>
            <w:gridSpan w:val="2"/>
          </w:tcPr>
          <w:p w:rsidR="00274914" w:rsidRPr="002F17B5" w:rsidRDefault="00274914" w:rsidP="000B2FEA">
            <w:pPr>
              <w:spacing w:after="60"/>
              <w:jc w:val="right"/>
              <w:rPr>
                <w:b/>
              </w:rPr>
            </w:pPr>
            <w:r w:rsidRPr="002F17B5">
              <w:rPr>
                <w:b/>
              </w:rPr>
              <w:t>977.1</w:t>
            </w:r>
          </w:p>
        </w:tc>
        <w:tc>
          <w:tcPr>
            <w:tcW w:w="1572" w:type="dxa"/>
            <w:gridSpan w:val="2"/>
          </w:tcPr>
          <w:p w:rsidR="00274914" w:rsidRPr="002F17B5" w:rsidRDefault="00274914" w:rsidP="000B2FEA">
            <w:pPr>
              <w:spacing w:after="60"/>
              <w:jc w:val="right"/>
              <w:rPr>
                <w:b/>
              </w:rPr>
            </w:pPr>
            <w:r w:rsidRPr="002F17B5">
              <w:rPr>
                <w:b/>
              </w:rPr>
              <w:t>648.3</w:t>
            </w:r>
          </w:p>
        </w:tc>
        <w:tc>
          <w:tcPr>
            <w:tcW w:w="1818" w:type="dxa"/>
            <w:gridSpan w:val="3"/>
          </w:tcPr>
          <w:p w:rsidR="00274914" w:rsidRPr="002F17B5" w:rsidRDefault="00274914" w:rsidP="000B2FEA">
            <w:pPr>
              <w:tabs>
                <w:tab w:val="left" w:pos="603"/>
              </w:tabs>
              <w:spacing w:after="60"/>
              <w:jc w:val="right"/>
              <w:rPr>
                <w:b/>
                <w:sz w:val="22"/>
              </w:rPr>
            </w:pPr>
            <w:r w:rsidRPr="002F17B5">
              <w:rPr>
                <w:b/>
              </w:rPr>
              <w:t>4,506.9</w:t>
            </w:r>
          </w:p>
        </w:tc>
      </w:tr>
      <w:tr w:rsidR="00274914" w:rsidRPr="002F17B5" w:rsidTr="000B2FEA">
        <w:trPr>
          <w:gridAfter w:val="1"/>
          <w:wAfter w:w="360" w:type="dxa"/>
        </w:trPr>
        <w:tc>
          <w:tcPr>
            <w:tcW w:w="3080" w:type="dxa"/>
            <w:gridSpan w:val="2"/>
          </w:tcPr>
          <w:p w:rsidR="00274914" w:rsidRPr="002F17B5" w:rsidRDefault="00274914" w:rsidP="000B2FEA">
            <w:pPr>
              <w:spacing w:after="60"/>
              <w:rPr>
                <w:b/>
              </w:rPr>
            </w:pPr>
            <w:r w:rsidRPr="002F17B5">
              <w:rPr>
                <w:b/>
              </w:rPr>
              <w:t>Financial Liabilities</w:t>
            </w:r>
          </w:p>
        </w:tc>
        <w:tc>
          <w:tcPr>
            <w:tcW w:w="1618" w:type="dxa"/>
          </w:tcPr>
          <w:p w:rsidR="00274914" w:rsidRPr="002F17B5" w:rsidRDefault="00274914" w:rsidP="000B2FEA">
            <w:pPr>
              <w:spacing w:after="60"/>
              <w:jc w:val="right"/>
            </w:pPr>
          </w:p>
        </w:tc>
        <w:tc>
          <w:tcPr>
            <w:tcW w:w="1571" w:type="dxa"/>
            <w:gridSpan w:val="2"/>
          </w:tcPr>
          <w:p w:rsidR="00274914" w:rsidRPr="002F17B5" w:rsidRDefault="00274914" w:rsidP="000B2FEA">
            <w:pPr>
              <w:spacing w:after="60"/>
              <w:jc w:val="right"/>
            </w:pPr>
          </w:p>
        </w:tc>
        <w:tc>
          <w:tcPr>
            <w:tcW w:w="1572" w:type="dxa"/>
            <w:gridSpan w:val="2"/>
          </w:tcPr>
          <w:p w:rsidR="00274914" w:rsidRPr="002F17B5" w:rsidRDefault="00274914" w:rsidP="000B2FEA">
            <w:pPr>
              <w:spacing w:after="60"/>
              <w:jc w:val="right"/>
            </w:pPr>
          </w:p>
        </w:tc>
        <w:tc>
          <w:tcPr>
            <w:tcW w:w="1818" w:type="dxa"/>
            <w:gridSpan w:val="3"/>
          </w:tcPr>
          <w:p w:rsidR="00274914" w:rsidRPr="002F17B5" w:rsidRDefault="00274914" w:rsidP="000B2FEA">
            <w:pPr>
              <w:tabs>
                <w:tab w:val="left" w:pos="603"/>
              </w:tabs>
              <w:spacing w:after="60"/>
              <w:jc w:val="right"/>
            </w:pPr>
          </w:p>
        </w:tc>
      </w:tr>
      <w:tr w:rsidR="00274914" w:rsidRPr="002F17B5" w:rsidTr="000B2FEA">
        <w:trPr>
          <w:gridAfter w:val="1"/>
          <w:wAfter w:w="360" w:type="dxa"/>
        </w:trPr>
        <w:tc>
          <w:tcPr>
            <w:tcW w:w="2959" w:type="dxa"/>
          </w:tcPr>
          <w:p w:rsidR="00274914" w:rsidRPr="002F17B5" w:rsidRDefault="00274914" w:rsidP="000B2FEA">
            <w:pPr>
              <w:spacing w:after="60"/>
            </w:pPr>
            <w:r w:rsidRPr="002F17B5">
              <w:t>Financial liabilities at fair value through profit and loss</w:t>
            </w:r>
          </w:p>
        </w:tc>
        <w:tc>
          <w:tcPr>
            <w:tcW w:w="1739" w:type="dxa"/>
            <w:gridSpan w:val="2"/>
          </w:tcPr>
          <w:p w:rsidR="00274914" w:rsidRPr="002F17B5" w:rsidRDefault="00274914" w:rsidP="000B2FEA">
            <w:pPr>
              <w:spacing w:after="60"/>
              <w:jc w:val="right"/>
            </w:pPr>
            <w:r w:rsidRPr="002F17B5">
              <w:t>*118.4</w:t>
            </w:r>
          </w:p>
        </w:tc>
        <w:tc>
          <w:tcPr>
            <w:tcW w:w="1571" w:type="dxa"/>
            <w:gridSpan w:val="2"/>
          </w:tcPr>
          <w:p w:rsidR="00274914" w:rsidRPr="002F17B5" w:rsidRDefault="00274914" w:rsidP="000B2FEA">
            <w:pPr>
              <w:spacing w:after="60"/>
              <w:jc w:val="right"/>
            </w:pPr>
            <w:r w:rsidRPr="002F17B5">
              <w:t>-</w:t>
            </w:r>
          </w:p>
        </w:tc>
        <w:tc>
          <w:tcPr>
            <w:tcW w:w="1572" w:type="dxa"/>
            <w:gridSpan w:val="2"/>
          </w:tcPr>
          <w:p w:rsidR="00274914" w:rsidRPr="002F17B5" w:rsidRDefault="00274914" w:rsidP="000B2FEA">
            <w:pPr>
              <w:spacing w:after="60"/>
              <w:jc w:val="right"/>
            </w:pPr>
            <w:r w:rsidRPr="002F17B5">
              <w:t>-</w:t>
            </w:r>
          </w:p>
        </w:tc>
        <w:tc>
          <w:tcPr>
            <w:tcW w:w="1818" w:type="dxa"/>
            <w:gridSpan w:val="3"/>
          </w:tcPr>
          <w:p w:rsidR="00274914" w:rsidRPr="002F17B5" w:rsidRDefault="00274914" w:rsidP="000B2FEA">
            <w:pPr>
              <w:tabs>
                <w:tab w:val="left" w:pos="603"/>
              </w:tabs>
              <w:spacing w:after="60"/>
              <w:jc w:val="right"/>
            </w:pPr>
            <w:r w:rsidRPr="002F17B5">
              <w:t>118.4</w:t>
            </w:r>
          </w:p>
        </w:tc>
      </w:tr>
      <w:tr w:rsidR="00274914" w:rsidRPr="002F17B5" w:rsidTr="000B2FEA">
        <w:tc>
          <w:tcPr>
            <w:tcW w:w="3080" w:type="dxa"/>
            <w:gridSpan w:val="2"/>
            <w:tcBorders>
              <w:top w:val="nil"/>
              <w:left w:val="nil"/>
              <w:bottom w:val="nil"/>
              <w:right w:val="nil"/>
            </w:tcBorders>
          </w:tcPr>
          <w:p w:rsidR="00274914" w:rsidRPr="002F17B5" w:rsidRDefault="00274914" w:rsidP="000B2FEA">
            <w:pPr>
              <w:spacing w:after="60"/>
              <w:rPr>
                <w:b/>
              </w:rPr>
            </w:pPr>
            <w:r w:rsidRPr="002F17B5">
              <w:rPr>
                <w:b/>
              </w:rPr>
              <w:t>Total Financial Liabilities</w:t>
            </w:r>
          </w:p>
        </w:tc>
        <w:tc>
          <w:tcPr>
            <w:tcW w:w="2290" w:type="dxa"/>
            <w:gridSpan w:val="2"/>
            <w:tcBorders>
              <w:top w:val="nil"/>
              <w:left w:val="nil"/>
              <w:bottom w:val="nil"/>
              <w:right w:val="nil"/>
            </w:tcBorders>
          </w:tcPr>
          <w:p w:rsidR="00274914" w:rsidRPr="002F17B5" w:rsidRDefault="00274914" w:rsidP="000B2FEA">
            <w:pPr>
              <w:spacing w:after="60"/>
              <w:ind w:right="629"/>
              <w:jc w:val="right"/>
              <w:rPr>
                <w:b/>
              </w:rPr>
            </w:pPr>
            <w:r w:rsidRPr="002F17B5">
              <w:rPr>
                <w:b/>
              </w:rPr>
              <w:t>118.4</w:t>
            </w:r>
          </w:p>
        </w:tc>
        <w:tc>
          <w:tcPr>
            <w:tcW w:w="1531" w:type="dxa"/>
            <w:gridSpan w:val="2"/>
            <w:tcBorders>
              <w:top w:val="nil"/>
              <w:left w:val="nil"/>
              <w:bottom w:val="nil"/>
              <w:right w:val="nil"/>
            </w:tcBorders>
          </w:tcPr>
          <w:p w:rsidR="00274914" w:rsidRPr="002F17B5" w:rsidRDefault="00274914" w:rsidP="000B2FEA">
            <w:pPr>
              <w:tabs>
                <w:tab w:val="left" w:pos="431"/>
              </w:tabs>
              <w:spacing w:after="60"/>
              <w:ind w:left="-136" w:right="601"/>
              <w:jc w:val="right"/>
              <w:rPr>
                <w:b/>
              </w:rPr>
            </w:pPr>
            <w:r w:rsidRPr="002F17B5">
              <w:rPr>
                <w:b/>
              </w:rPr>
              <w:t>-</w:t>
            </w:r>
          </w:p>
        </w:tc>
        <w:tc>
          <w:tcPr>
            <w:tcW w:w="1695" w:type="dxa"/>
            <w:gridSpan w:val="2"/>
            <w:tcBorders>
              <w:top w:val="nil"/>
              <w:left w:val="nil"/>
              <w:bottom w:val="nil"/>
              <w:right w:val="nil"/>
            </w:tcBorders>
          </w:tcPr>
          <w:p w:rsidR="00274914" w:rsidRPr="002F17B5" w:rsidRDefault="00274914" w:rsidP="000B2FEA">
            <w:pPr>
              <w:spacing w:after="60"/>
              <w:ind w:left="-136" w:right="743"/>
              <w:jc w:val="right"/>
              <w:rPr>
                <w:b/>
              </w:rPr>
            </w:pPr>
            <w:r w:rsidRPr="002F17B5">
              <w:rPr>
                <w:b/>
              </w:rPr>
              <w:t>-</w:t>
            </w:r>
          </w:p>
        </w:tc>
        <w:tc>
          <w:tcPr>
            <w:tcW w:w="1423" w:type="dxa"/>
            <w:gridSpan w:val="3"/>
            <w:tcBorders>
              <w:top w:val="nil"/>
              <w:left w:val="nil"/>
              <w:bottom w:val="nil"/>
              <w:right w:val="nil"/>
            </w:tcBorders>
          </w:tcPr>
          <w:p w:rsidR="00274914" w:rsidRPr="002F17B5" w:rsidRDefault="00274914" w:rsidP="000B2FEA">
            <w:pPr>
              <w:tabs>
                <w:tab w:val="left" w:pos="890"/>
              </w:tabs>
              <w:spacing w:after="60"/>
              <w:ind w:left="-136" w:right="317"/>
              <w:jc w:val="right"/>
              <w:rPr>
                <w:b/>
              </w:rPr>
            </w:pPr>
            <w:r w:rsidRPr="002F17B5">
              <w:rPr>
                <w:b/>
              </w:rPr>
              <w:t>118.4</w:t>
            </w:r>
          </w:p>
        </w:tc>
      </w:tr>
      <w:tr w:rsidR="00274914" w:rsidRPr="002F17B5" w:rsidTr="000B2FEA">
        <w:trPr>
          <w:gridAfter w:val="2"/>
          <w:wAfter w:w="541" w:type="dxa"/>
        </w:trPr>
        <w:tc>
          <w:tcPr>
            <w:tcW w:w="9478" w:type="dxa"/>
            <w:gridSpan w:val="9"/>
            <w:tcBorders>
              <w:top w:val="nil"/>
              <w:left w:val="nil"/>
              <w:bottom w:val="nil"/>
              <w:right w:val="nil"/>
            </w:tcBorders>
          </w:tcPr>
          <w:p w:rsidR="000B2FEA" w:rsidRPr="002F17B5" w:rsidRDefault="000B2FEA" w:rsidP="00274914"/>
          <w:p w:rsidR="00274914" w:rsidRPr="002F17B5" w:rsidRDefault="00274914" w:rsidP="00552962">
            <w:r w:rsidRPr="002F17B5">
              <w:t>*Financial instruments at 31</w:t>
            </w:r>
            <w:r w:rsidRPr="002F17B5">
              <w:rPr>
                <w:vertAlign w:val="superscript"/>
              </w:rPr>
              <w:t>st</w:t>
            </w:r>
            <w:r w:rsidRPr="002F17B5">
              <w:t xml:space="preserve"> March 2014 have been categorised </w:t>
            </w:r>
            <w:r w:rsidR="00552962">
              <w:t>into levels1, 2,and 3 based upon a review of individual investments rather than on the basis of investment manager portfolios as was the policy at 31</w:t>
            </w:r>
            <w:r w:rsidR="00552962" w:rsidRPr="00552962">
              <w:rPr>
                <w:vertAlign w:val="superscript"/>
              </w:rPr>
              <w:t>st</w:t>
            </w:r>
            <w:r w:rsidR="00552962">
              <w:t xml:space="preserve"> March 2013.  Comparatives have been restated accordingly.</w:t>
            </w:r>
          </w:p>
        </w:tc>
      </w:tr>
    </w:tbl>
    <w:p w:rsidR="00274914" w:rsidRPr="00D94DF9" w:rsidRDefault="000B2FEA" w:rsidP="009A4C35">
      <w:pPr>
        <w:pStyle w:val="ListParagraph"/>
        <w:numPr>
          <w:ilvl w:val="0"/>
          <w:numId w:val="88"/>
        </w:numPr>
        <w:rPr>
          <w:b/>
        </w:rPr>
      </w:pPr>
      <w:r w:rsidRPr="002F17B5">
        <w:br w:type="page"/>
      </w:r>
      <w:r w:rsidR="00274914" w:rsidRPr="00D94DF9">
        <w:rPr>
          <w:b/>
        </w:rPr>
        <w:lastRenderedPageBreak/>
        <w:t>Nature and extent of risks arising from Financial Instruments</w:t>
      </w:r>
    </w:p>
    <w:p w:rsidR="00274914" w:rsidRPr="002F17B5" w:rsidRDefault="00274914" w:rsidP="00274914">
      <w:pPr>
        <w:ind w:firstLine="720"/>
        <w:rPr>
          <w:sz w:val="2"/>
        </w:rPr>
      </w:pPr>
    </w:p>
    <w:p w:rsidR="00274914" w:rsidRPr="002F17B5" w:rsidRDefault="00274914" w:rsidP="00274914">
      <w:pPr>
        <w:ind w:firstLine="720"/>
        <w:rPr>
          <w:b/>
        </w:rPr>
      </w:pPr>
      <w:r w:rsidRPr="002F17B5">
        <w:rPr>
          <w:b/>
        </w:rPr>
        <w:t xml:space="preserve">Risk and risk management </w:t>
      </w:r>
    </w:p>
    <w:p w:rsidR="00274914" w:rsidRPr="002F17B5" w:rsidRDefault="00274914" w:rsidP="00274914">
      <w:pPr>
        <w:rPr>
          <w:b/>
          <w:sz w:val="8"/>
        </w:rPr>
      </w:pPr>
    </w:p>
    <w:p w:rsidR="00274914" w:rsidRPr="002F17B5" w:rsidRDefault="00274914" w:rsidP="00274914">
      <w:pPr>
        <w:ind w:left="720"/>
      </w:pPr>
      <w:r w:rsidRPr="002F17B5">
        <w:t xml:space="preserve">The Fund's primary long-term risk is that the Fund's assets will fall short of its liabilities (i.e. promised benefits payable to members).  The aim of investment risk management is to balance the minimisation of the risk of an overall reduction in the value of the Fund with maximising the opportunity for gains across the whole Fund portfolio.  The Fund achieves this through asset diversification to reduce exposure to market risk (price risk, currency risk and interest rate risk) and keep credit risk to an acceptable level.  In addition, the Fund manages its liquidity risk to ensure there is sufficient liquidity to meet the Fund's forecast cash flow.  </w:t>
      </w:r>
    </w:p>
    <w:p w:rsidR="00274914" w:rsidRPr="002F17B5" w:rsidRDefault="00274914" w:rsidP="00274914">
      <w:pPr>
        <w:ind w:left="720"/>
        <w:rPr>
          <w:sz w:val="14"/>
        </w:rPr>
      </w:pPr>
    </w:p>
    <w:p w:rsidR="00274914" w:rsidRPr="002F17B5" w:rsidRDefault="00274914" w:rsidP="00274914">
      <w:pPr>
        <w:ind w:left="720"/>
      </w:pPr>
      <w:r w:rsidRPr="002F17B5">
        <w:t>Responsibility for the Fund's risk management strategy rests with the Pension Fund Committee.  Risk management policies are established to identify and analyse the risks faced by the Fund's operations.  Policies are reviewed regularly to reflect change in activity and in market conditions.</w:t>
      </w:r>
    </w:p>
    <w:p w:rsidR="00274914" w:rsidRPr="002F17B5" w:rsidRDefault="00274914" w:rsidP="00274914">
      <w:pPr>
        <w:ind w:left="720"/>
      </w:pPr>
    </w:p>
    <w:p w:rsidR="00274914" w:rsidRPr="002F17B5" w:rsidRDefault="00274914" w:rsidP="00274914">
      <w:pPr>
        <w:ind w:firstLine="709"/>
        <w:rPr>
          <w:b/>
        </w:rPr>
      </w:pPr>
      <w:r w:rsidRPr="002F17B5">
        <w:rPr>
          <w:b/>
        </w:rPr>
        <w:t xml:space="preserve">Market risk </w:t>
      </w:r>
    </w:p>
    <w:p w:rsidR="00274914" w:rsidRPr="002F17B5" w:rsidRDefault="00274914" w:rsidP="00274914">
      <w:pPr>
        <w:rPr>
          <w:sz w:val="8"/>
        </w:rPr>
      </w:pPr>
    </w:p>
    <w:p w:rsidR="00274914" w:rsidRPr="002F17B5" w:rsidRDefault="00274914" w:rsidP="00274914">
      <w:pPr>
        <w:ind w:left="709"/>
      </w:pPr>
      <w:r w:rsidRPr="002F17B5">
        <w:t xml:space="preserve">Market risk is risk of loss from fluctuations in equity and commodity prices, interest and foreign exchange rates and credit spreads.  The Fund is exposed to market risk from its investment activities, particularly through its equity holdings.  </w:t>
      </w:r>
    </w:p>
    <w:p w:rsidR="00274914" w:rsidRPr="002F17B5" w:rsidRDefault="00274914" w:rsidP="00274914">
      <w:pPr>
        <w:ind w:left="709"/>
        <w:rPr>
          <w:sz w:val="10"/>
        </w:rPr>
      </w:pPr>
    </w:p>
    <w:p w:rsidR="00274914" w:rsidRPr="002F17B5" w:rsidRDefault="00274914" w:rsidP="00274914">
      <w:pPr>
        <w:ind w:left="709"/>
      </w:pPr>
      <w:r w:rsidRPr="002F17B5">
        <w:t>The objective of the Fund's risk management strategy is to identify, manage and keep market risk exposure within acceptable parameters, whilst optimising the return on risk.</w:t>
      </w:r>
    </w:p>
    <w:p w:rsidR="00274914" w:rsidRPr="002F17B5" w:rsidRDefault="00274914" w:rsidP="00274914">
      <w:pPr>
        <w:ind w:left="709"/>
        <w:rPr>
          <w:sz w:val="10"/>
        </w:rPr>
      </w:pPr>
    </w:p>
    <w:p w:rsidR="00274914" w:rsidRPr="002F17B5" w:rsidRDefault="00274914" w:rsidP="00274914">
      <w:pPr>
        <w:ind w:left="709"/>
      </w:pPr>
      <w:r w:rsidRPr="002F17B5">
        <w:t xml:space="preserve">In general, excessive volatility in market risk is managed through the diversification of the portfolio in terms of geographical and industry sectors and individual securities.  To mitigate market risk, the Fund and its investment advisors undertake appropriate monitoring of market conditions and benchmarking analysis. </w:t>
      </w:r>
    </w:p>
    <w:p w:rsidR="00274914" w:rsidRPr="002F17B5" w:rsidRDefault="00274914" w:rsidP="00274914">
      <w:pPr>
        <w:ind w:left="709"/>
      </w:pPr>
    </w:p>
    <w:p w:rsidR="00274914" w:rsidRPr="002F17B5" w:rsidRDefault="00274914" w:rsidP="00274914">
      <w:pPr>
        <w:ind w:left="720"/>
      </w:pPr>
      <w:r w:rsidRPr="002F17B5">
        <w:rPr>
          <w:b/>
        </w:rPr>
        <w:t xml:space="preserve">Other price risk </w:t>
      </w:r>
      <w:r w:rsidRPr="002F17B5">
        <w:t xml:space="preserve"> </w:t>
      </w:r>
    </w:p>
    <w:p w:rsidR="00274914" w:rsidRPr="002F17B5" w:rsidRDefault="00274914" w:rsidP="00274914">
      <w:pPr>
        <w:ind w:left="720"/>
        <w:rPr>
          <w:sz w:val="6"/>
        </w:rPr>
      </w:pPr>
    </w:p>
    <w:p w:rsidR="00274914" w:rsidRPr="002F17B5" w:rsidRDefault="00274914" w:rsidP="00274914">
      <w:pPr>
        <w:ind w:left="720"/>
      </w:pPr>
      <w:r w:rsidRPr="002F17B5">
        <w:t xml:space="preserve">Other price risk represents the risk that the value of a financial instrument will fluctuate as a result of changes in market prices (other than those arising from interest rate risk or foreign exchange risk), whether those changes are caused by factors specific to the individual instrument or its issuer or factors affecting all such instruments in the market.     </w:t>
      </w:r>
    </w:p>
    <w:p w:rsidR="00274914" w:rsidRPr="002F17B5" w:rsidRDefault="00274914" w:rsidP="00D371C1">
      <w:pPr>
        <w:ind w:left="720"/>
        <w:rPr>
          <w:sz w:val="8"/>
        </w:rPr>
      </w:pPr>
    </w:p>
    <w:p w:rsidR="00274914" w:rsidRPr="002F17B5" w:rsidRDefault="00274914" w:rsidP="00D371C1">
      <w:pPr>
        <w:ind w:left="720"/>
      </w:pPr>
      <w:r w:rsidRPr="002F17B5">
        <w:t xml:space="preserve">The Fund is exposed to share and derivatives price risk.  This arises from investments held by the Fund for which the future price is uncertain.  All securities investments present a risk of loss of capital.  Except for shares sold short, the maximum risk resulting from financial </w:t>
      </w:r>
    </w:p>
    <w:p w:rsidR="00274914" w:rsidRPr="002F17B5" w:rsidRDefault="00274914" w:rsidP="00D371C1">
      <w:pPr>
        <w:ind w:left="720"/>
      </w:pPr>
      <w:r w:rsidRPr="002F17B5">
        <w:t xml:space="preserve">instruments is determined by the fair value of the financial instruments.  Possible losses from shares sold short is unlimited. </w:t>
      </w:r>
    </w:p>
    <w:p w:rsidR="00274914" w:rsidRPr="002F17B5" w:rsidRDefault="00274914" w:rsidP="00274914">
      <w:pPr>
        <w:ind w:left="720"/>
      </w:pPr>
      <w:r w:rsidRPr="002F17B5">
        <w:lastRenderedPageBreak/>
        <w:t>The Fund's investment managers mitigate this price risk through diversification.  The selection of securities and other financial instruments is monitored by the Fund to ensure it is within limits specified in the fund investment strategy.</w:t>
      </w:r>
    </w:p>
    <w:p w:rsidR="00274914" w:rsidRPr="002F17B5" w:rsidRDefault="00274914" w:rsidP="00274914">
      <w:pPr>
        <w:ind w:left="720"/>
      </w:pPr>
      <w:r w:rsidRPr="002F17B5">
        <w:t xml:space="preserve"> </w:t>
      </w:r>
    </w:p>
    <w:p w:rsidR="00D371C1" w:rsidRPr="002F17B5" w:rsidRDefault="00D371C1" w:rsidP="00274914">
      <w:pPr>
        <w:ind w:left="720"/>
        <w:rPr>
          <w:sz w:val="2"/>
        </w:rPr>
      </w:pPr>
    </w:p>
    <w:p w:rsidR="00274914" w:rsidRPr="002F17B5" w:rsidRDefault="00274914" w:rsidP="00274914">
      <w:pPr>
        <w:ind w:left="720"/>
        <w:rPr>
          <w:b/>
        </w:rPr>
      </w:pPr>
      <w:r w:rsidRPr="002F17B5">
        <w:rPr>
          <w:b/>
        </w:rPr>
        <w:t>Other price risk – sensitivity analysis</w:t>
      </w:r>
    </w:p>
    <w:p w:rsidR="00D371C1" w:rsidRPr="002F17B5" w:rsidRDefault="00D371C1" w:rsidP="00274914">
      <w:pPr>
        <w:ind w:left="720"/>
        <w:rPr>
          <w:b/>
          <w:sz w:val="6"/>
        </w:rPr>
      </w:pPr>
    </w:p>
    <w:p w:rsidR="00274914" w:rsidRPr="002F17B5" w:rsidRDefault="00274914" w:rsidP="00274914">
      <w:pPr>
        <w:ind w:left="720"/>
      </w:pPr>
      <w:r w:rsidRPr="002F17B5">
        <w:t xml:space="preserve">Following analysis of historical data and expected investment return movement during the financial year, in consultation with the Fund's investment advisors, the Fund has determined that the following movements in market price risks are reasonably possible for the 2013/14 reporting period. </w:t>
      </w:r>
    </w:p>
    <w:p w:rsidR="00274914" w:rsidRPr="002F17B5" w:rsidRDefault="00274914" w:rsidP="00274914">
      <w:pPr>
        <w:ind w:left="720"/>
        <w:rPr>
          <w:sz w:val="16"/>
        </w:rPr>
      </w:pPr>
    </w:p>
    <w:tbl>
      <w:tblPr>
        <w:tblStyle w:val="TableGrid"/>
        <w:tblW w:w="0" w:type="auto"/>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4883"/>
        <w:gridCol w:w="4982"/>
      </w:tblGrid>
      <w:tr w:rsidR="00274914" w:rsidRPr="002F17B5" w:rsidTr="00D371C1">
        <w:tc>
          <w:tcPr>
            <w:tcW w:w="4883" w:type="dxa"/>
            <w:tcBorders>
              <w:top w:val="nil"/>
              <w:bottom w:val="nil"/>
            </w:tcBorders>
          </w:tcPr>
          <w:p w:rsidR="00274914" w:rsidRPr="002F17B5" w:rsidRDefault="00274914" w:rsidP="008E1C37">
            <w:pPr>
              <w:spacing w:after="40"/>
              <w:rPr>
                <w:b/>
              </w:rPr>
            </w:pPr>
            <w:r w:rsidRPr="002F17B5">
              <w:rPr>
                <w:b/>
              </w:rPr>
              <w:t xml:space="preserve">Asset Type </w:t>
            </w:r>
          </w:p>
        </w:tc>
        <w:tc>
          <w:tcPr>
            <w:tcW w:w="4982" w:type="dxa"/>
            <w:tcBorders>
              <w:top w:val="nil"/>
              <w:bottom w:val="nil"/>
            </w:tcBorders>
          </w:tcPr>
          <w:p w:rsidR="00274914" w:rsidRPr="002F17B5" w:rsidRDefault="00274914" w:rsidP="008E1C37">
            <w:pPr>
              <w:spacing w:after="40"/>
              <w:jc w:val="right"/>
              <w:rPr>
                <w:b/>
              </w:rPr>
            </w:pPr>
            <w:r w:rsidRPr="002F17B5">
              <w:rPr>
                <w:b/>
              </w:rPr>
              <w:t>Potential market movements (+/</w:t>
            </w:r>
            <w:r w:rsidRPr="002F17B5">
              <w:rPr>
                <w:b/>
              </w:rPr>
              <w:softHyphen/>
              <w:t>-)</w:t>
            </w:r>
          </w:p>
        </w:tc>
      </w:tr>
      <w:tr w:rsidR="00274914" w:rsidRPr="002F17B5" w:rsidTr="00D371C1">
        <w:tc>
          <w:tcPr>
            <w:tcW w:w="4883" w:type="dxa"/>
            <w:tcBorders>
              <w:top w:val="nil"/>
              <w:bottom w:val="nil"/>
            </w:tcBorders>
          </w:tcPr>
          <w:p w:rsidR="00274914" w:rsidRPr="002F17B5" w:rsidRDefault="00274914" w:rsidP="008E1C37">
            <w:pPr>
              <w:spacing w:after="40"/>
            </w:pPr>
            <w:r w:rsidRPr="002F17B5">
              <w:t>UK Bonds</w:t>
            </w:r>
          </w:p>
        </w:tc>
        <w:tc>
          <w:tcPr>
            <w:tcW w:w="4982" w:type="dxa"/>
            <w:tcBorders>
              <w:top w:val="nil"/>
              <w:bottom w:val="nil"/>
            </w:tcBorders>
          </w:tcPr>
          <w:p w:rsidR="00274914" w:rsidRPr="002F17B5" w:rsidRDefault="00274914" w:rsidP="008E1C37">
            <w:pPr>
              <w:spacing w:after="40"/>
              <w:jc w:val="right"/>
              <w:rPr>
                <w:sz w:val="22"/>
              </w:rPr>
            </w:pPr>
            <w:r w:rsidRPr="002F17B5">
              <w:t>4.8%</w:t>
            </w:r>
          </w:p>
        </w:tc>
      </w:tr>
      <w:tr w:rsidR="00274914" w:rsidRPr="002F17B5" w:rsidTr="00D371C1">
        <w:tc>
          <w:tcPr>
            <w:tcW w:w="4883" w:type="dxa"/>
            <w:tcBorders>
              <w:top w:val="nil"/>
              <w:bottom w:val="nil"/>
            </w:tcBorders>
          </w:tcPr>
          <w:p w:rsidR="00274914" w:rsidRPr="002F17B5" w:rsidRDefault="00274914" w:rsidP="008E1C37">
            <w:pPr>
              <w:spacing w:after="40"/>
            </w:pPr>
            <w:r w:rsidRPr="002F17B5">
              <w:t xml:space="preserve">Overseas bonds </w:t>
            </w:r>
          </w:p>
        </w:tc>
        <w:tc>
          <w:tcPr>
            <w:tcW w:w="4982" w:type="dxa"/>
            <w:tcBorders>
              <w:top w:val="nil"/>
              <w:bottom w:val="nil"/>
            </w:tcBorders>
          </w:tcPr>
          <w:p w:rsidR="00274914" w:rsidRPr="002F17B5" w:rsidRDefault="00274914" w:rsidP="008E1C37">
            <w:pPr>
              <w:spacing w:after="40"/>
              <w:jc w:val="right"/>
              <w:rPr>
                <w:sz w:val="22"/>
              </w:rPr>
            </w:pPr>
            <w:r w:rsidRPr="002F17B5">
              <w:t>4.8%</w:t>
            </w:r>
          </w:p>
        </w:tc>
      </w:tr>
      <w:tr w:rsidR="00274914" w:rsidRPr="002F17B5" w:rsidTr="00D371C1">
        <w:tc>
          <w:tcPr>
            <w:tcW w:w="4883" w:type="dxa"/>
            <w:tcBorders>
              <w:top w:val="nil"/>
              <w:bottom w:val="nil"/>
            </w:tcBorders>
          </w:tcPr>
          <w:p w:rsidR="00274914" w:rsidRPr="002F17B5" w:rsidRDefault="00274914" w:rsidP="008E1C37">
            <w:pPr>
              <w:spacing w:after="40"/>
            </w:pPr>
            <w:r w:rsidRPr="002F17B5">
              <w:t xml:space="preserve">UK equities </w:t>
            </w:r>
          </w:p>
        </w:tc>
        <w:tc>
          <w:tcPr>
            <w:tcW w:w="4982" w:type="dxa"/>
            <w:tcBorders>
              <w:top w:val="nil"/>
              <w:bottom w:val="nil"/>
            </w:tcBorders>
          </w:tcPr>
          <w:p w:rsidR="00274914" w:rsidRPr="002F17B5" w:rsidRDefault="00274914" w:rsidP="008E1C37">
            <w:pPr>
              <w:spacing w:after="40"/>
              <w:jc w:val="right"/>
            </w:pPr>
            <w:r w:rsidRPr="002F17B5">
              <w:t>11.9%</w:t>
            </w:r>
          </w:p>
        </w:tc>
      </w:tr>
      <w:tr w:rsidR="00274914" w:rsidRPr="002F17B5" w:rsidTr="00D371C1">
        <w:tc>
          <w:tcPr>
            <w:tcW w:w="4883" w:type="dxa"/>
            <w:tcBorders>
              <w:top w:val="nil"/>
              <w:bottom w:val="nil"/>
            </w:tcBorders>
          </w:tcPr>
          <w:p w:rsidR="00274914" w:rsidRPr="002F17B5" w:rsidRDefault="00274914" w:rsidP="008E1C37">
            <w:pPr>
              <w:spacing w:after="40"/>
            </w:pPr>
            <w:r w:rsidRPr="002F17B5">
              <w:t xml:space="preserve">Overseas equities </w:t>
            </w:r>
          </w:p>
        </w:tc>
        <w:tc>
          <w:tcPr>
            <w:tcW w:w="4982" w:type="dxa"/>
            <w:tcBorders>
              <w:top w:val="nil"/>
              <w:bottom w:val="nil"/>
            </w:tcBorders>
          </w:tcPr>
          <w:p w:rsidR="00274914" w:rsidRPr="002F17B5" w:rsidRDefault="00274914" w:rsidP="008E1C37">
            <w:pPr>
              <w:spacing w:after="40"/>
              <w:jc w:val="right"/>
            </w:pPr>
            <w:r w:rsidRPr="002F17B5">
              <w:t>11.9%</w:t>
            </w:r>
          </w:p>
        </w:tc>
      </w:tr>
      <w:tr w:rsidR="00274914" w:rsidRPr="002F17B5" w:rsidTr="00D371C1">
        <w:tc>
          <w:tcPr>
            <w:tcW w:w="4883" w:type="dxa"/>
            <w:tcBorders>
              <w:top w:val="nil"/>
              <w:bottom w:val="nil"/>
            </w:tcBorders>
          </w:tcPr>
          <w:p w:rsidR="00274914" w:rsidRPr="002F17B5" w:rsidRDefault="00274914" w:rsidP="008E1C37">
            <w:pPr>
              <w:spacing w:after="40"/>
            </w:pPr>
            <w:r w:rsidRPr="002F17B5">
              <w:t xml:space="preserve">Index linked Gilts </w:t>
            </w:r>
          </w:p>
        </w:tc>
        <w:tc>
          <w:tcPr>
            <w:tcW w:w="4982" w:type="dxa"/>
            <w:tcBorders>
              <w:top w:val="nil"/>
              <w:bottom w:val="nil"/>
            </w:tcBorders>
          </w:tcPr>
          <w:p w:rsidR="00274914" w:rsidRPr="002F17B5" w:rsidRDefault="00274914" w:rsidP="008E1C37">
            <w:pPr>
              <w:spacing w:after="40"/>
              <w:jc w:val="right"/>
            </w:pPr>
            <w:r w:rsidRPr="002F17B5">
              <w:t>4.8%</w:t>
            </w:r>
          </w:p>
        </w:tc>
      </w:tr>
      <w:tr w:rsidR="00274914" w:rsidRPr="002F17B5" w:rsidTr="00D371C1">
        <w:tc>
          <w:tcPr>
            <w:tcW w:w="4883" w:type="dxa"/>
            <w:tcBorders>
              <w:top w:val="nil"/>
              <w:bottom w:val="nil"/>
            </w:tcBorders>
          </w:tcPr>
          <w:p w:rsidR="00274914" w:rsidRPr="002F17B5" w:rsidRDefault="00274914" w:rsidP="008E1C37">
            <w:pPr>
              <w:spacing w:after="40"/>
            </w:pPr>
            <w:r w:rsidRPr="002F17B5">
              <w:t xml:space="preserve">Alternatives </w:t>
            </w:r>
          </w:p>
        </w:tc>
        <w:tc>
          <w:tcPr>
            <w:tcW w:w="4982" w:type="dxa"/>
            <w:tcBorders>
              <w:top w:val="nil"/>
              <w:bottom w:val="nil"/>
            </w:tcBorders>
          </w:tcPr>
          <w:p w:rsidR="00274914" w:rsidRPr="002F17B5" w:rsidRDefault="00274914" w:rsidP="008E1C37">
            <w:pPr>
              <w:spacing w:after="40"/>
              <w:jc w:val="right"/>
            </w:pPr>
            <w:r w:rsidRPr="002F17B5">
              <w:t>3.8%</w:t>
            </w:r>
          </w:p>
        </w:tc>
      </w:tr>
      <w:tr w:rsidR="00274914" w:rsidRPr="002F17B5" w:rsidTr="00D371C1">
        <w:tc>
          <w:tcPr>
            <w:tcW w:w="4883" w:type="dxa"/>
            <w:tcBorders>
              <w:top w:val="nil"/>
              <w:bottom w:val="nil"/>
            </w:tcBorders>
          </w:tcPr>
          <w:p w:rsidR="00274914" w:rsidRPr="002F17B5" w:rsidRDefault="00274914" w:rsidP="008E1C37">
            <w:pPr>
              <w:spacing w:after="40"/>
            </w:pPr>
            <w:r w:rsidRPr="002F17B5">
              <w:t>Property</w:t>
            </w:r>
          </w:p>
        </w:tc>
        <w:tc>
          <w:tcPr>
            <w:tcW w:w="4982" w:type="dxa"/>
            <w:tcBorders>
              <w:top w:val="nil"/>
              <w:bottom w:val="nil"/>
            </w:tcBorders>
          </w:tcPr>
          <w:p w:rsidR="00274914" w:rsidRPr="002F17B5" w:rsidRDefault="00274914" w:rsidP="008E1C37">
            <w:pPr>
              <w:spacing w:after="40"/>
              <w:jc w:val="right"/>
            </w:pPr>
            <w:r w:rsidRPr="002F17B5">
              <w:t>2.7%</w:t>
            </w:r>
          </w:p>
        </w:tc>
      </w:tr>
    </w:tbl>
    <w:p w:rsidR="00274914" w:rsidRPr="002F17B5" w:rsidRDefault="00274914" w:rsidP="00274914">
      <w:pPr>
        <w:ind w:left="720"/>
        <w:rPr>
          <w:sz w:val="18"/>
        </w:rPr>
      </w:pPr>
      <w:r w:rsidRPr="002F17B5">
        <w:t xml:space="preserve"> </w:t>
      </w:r>
    </w:p>
    <w:p w:rsidR="00D371C1" w:rsidRPr="002F17B5" w:rsidRDefault="00D371C1" w:rsidP="00274914">
      <w:pPr>
        <w:ind w:left="720"/>
        <w:rPr>
          <w:sz w:val="2"/>
        </w:rPr>
      </w:pPr>
    </w:p>
    <w:p w:rsidR="00274914" w:rsidRPr="002F17B5" w:rsidRDefault="00274914" w:rsidP="00274914">
      <w:pPr>
        <w:ind w:left="720"/>
      </w:pPr>
      <w:r w:rsidRPr="002F17B5">
        <w:t>The potential price changes disclosed above are broadly consistent with a one-standard deviation movement in value of the asset.  The sensitivities are consistent with the assumption contained in the investment advisors' most recent review.  This analysis assumes that all other variables, in particular foreign currency exchange rates and interest rates, remain the same.  Had the market of the Fund's investments increased/decreased in line with the above, the change in the net assets available to pay benefits in the market place would have been as follows (the prior year comparator is shown below):</w:t>
      </w:r>
    </w:p>
    <w:p w:rsidR="00274914" w:rsidRPr="002F17B5" w:rsidRDefault="00274914" w:rsidP="00274914">
      <w:pPr>
        <w:ind w:left="720"/>
        <w:rPr>
          <w:sz w:val="10"/>
        </w:rPr>
      </w:pPr>
    </w:p>
    <w:p w:rsidR="00D371C1" w:rsidRPr="002F17B5" w:rsidRDefault="00D371C1" w:rsidP="008E1C37">
      <w:pPr>
        <w:spacing w:after="40"/>
        <w:ind w:left="720"/>
      </w:pPr>
    </w:p>
    <w:tbl>
      <w:tblPr>
        <w:tblStyle w:val="TableGrid"/>
        <w:tblW w:w="10206" w:type="dxa"/>
        <w:tblInd w:w="534" w:type="dxa"/>
        <w:tblLook w:val="04A0" w:firstRow="1" w:lastRow="0" w:firstColumn="1" w:lastColumn="0" w:noHBand="0" w:noVBand="1"/>
      </w:tblPr>
      <w:tblGrid>
        <w:gridCol w:w="4394"/>
        <w:gridCol w:w="1701"/>
        <w:gridCol w:w="1559"/>
        <w:gridCol w:w="1268"/>
        <w:gridCol w:w="1284"/>
      </w:tblGrid>
      <w:tr w:rsidR="00274914" w:rsidRPr="002F17B5" w:rsidTr="00D371C1">
        <w:tc>
          <w:tcPr>
            <w:tcW w:w="4394" w:type="dxa"/>
            <w:tcBorders>
              <w:top w:val="nil"/>
              <w:left w:val="nil"/>
              <w:bottom w:val="nil"/>
              <w:right w:val="nil"/>
            </w:tcBorders>
          </w:tcPr>
          <w:p w:rsidR="00274914" w:rsidRPr="002F17B5" w:rsidRDefault="00274914" w:rsidP="008E1C37">
            <w:pPr>
              <w:spacing w:after="40"/>
              <w:ind w:left="-108"/>
              <w:rPr>
                <w:b/>
              </w:rPr>
            </w:pPr>
            <w:r w:rsidRPr="002F17B5">
              <w:rPr>
                <w:b/>
              </w:rPr>
              <w:t>Asset Type</w:t>
            </w:r>
          </w:p>
        </w:tc>
        <w:tc>
          <w:tcPr>
            <w:tcW w:w="1701" w:type="dxa"/>
            <w:tcBorders>
              <w:top w:val="nil"/>
              <w:left w:val="nil"/>
              <w:bottom w:val="nil"/>
              <w:right w:val="nil"/>
            </w:tcBorders>
          </w:tcPr>
          <w:p w:rsidR="00274914" w:rsidRPr="002F17B5" w:rsidRDefault="00BD5FF0" w:rsidP="008E1C37">
            <w:pPr>
              <w:spacing w:after="40"/>
              <w:ind w:left="-393" w:right="-83"/>
              <w:jc w:val="right"/>
              <w:rPr>
                <w:b/>
              </w:rPr>
            </w:pPr>
            <w:r w:rsidRPr="002F17B5">
              <w:rPr>
                <w:b/>
              </w:rPr>
              <w:t>31/03/14</w:t>
            </w:r>
          </w:p>
        </w:tc>
        <w:tc>
          <w:tcPr>
            <w:tcW w:w="1559" w:type="dxa"/>
            <w:tcBorders>
              <w:top w:val="nil"/>
              <w:left w:val="nil"/>
              <w:bottom w:val="nil"/>
              <w:right w:val="nil"/>
            </w:tcBorders>
          </w:tcPr>
          <w:p w:rsidR="00274914" w:rsidRPr="002F17B5" w:rsidRDefault="00274914" w:rsidP="008E1C37">
            <w:pPr>
              <w:spacing w:after="40"/>
              <w:jc w:val="right"/>
              <w:rPr>
                <w:b/>
              </w:rPr>
            </w:pPr>
            <w:r w:rsidRPr="002F17B5">
              <w:rPr>
                <w:b/>
              </w:rPr>
              <w:t xml:space="preserve">Percentage Change </w:t>
            </w:r>
          </w:p>
        </w:tc>
        <w:tc>
          <w:tcPr>
            <w:tcW w:w="1268" w:type="dxa"/>
            <w:tcBorders>
              <w:top w:val="nil"/>
              <w:left w:val="nil"/>
              <w:bottom w:val="nil"/>
              <w:right w:val="nil"/>
            </w:tcBorders>
          </w:tcPr>
          <w:p w:rsidR="00274914" w:rsidRPr="002F17B5" w:rsidRDefault="00274914" w:rsidP="008E1C37">
            <w:pPr>
              <w:spacing w:after="40"/>
              <w:jc w:val="right"/>
              <w:rPr>
                <w:b/>
              </w:rPr>
            </w:pPr>
            <w:r w:rsidRPr="002F17B5">
              <w:rPr>
                <w:b/>
              </w:rPr>
              <w:t xml:space="preserve">Value on Increase </w:t>
            </w:r>
          </w:p>
        </w:tc>
        <w:tc>
          <w:tcPr>
            <w:tcW w:w="1284" w:type="dxa"/>
            <w:tcBorders>
              <w:top w:val="nil"/>
              <w:left w:val="nil"/>
              <w:bottom w:val="nil"/>
              <w:right w:val="nil"/>
            </w:tcBorders>
          </w:tcPr>
          <w:p w:rsidR="00274914" w:rsidRPr="002F17B5" w:rsidRDefault="00274914" w:rsidP="008E1C37">
            <w:pPr>
              <w:spacing w:after="40"/>
              <w:jc w:val="right"/>
              <w:rPr>
                <w:b/>
              </w:rPr>
            </w:pPr>
            <w:r w:rsidRPr="002F17B5">
              <w:rPr>
                <w:b/>
              </w:rPr>
              <w:t xml:space="preserve">Value on </w:t>
            </w:r>
          </w:p>
          <w:p w:rsidR="00274914" w:rsidRPr="002F17B5" w:rsidRDefault="00274914" w:rsidP="008E1C37">
            <w:pPr>
              <w:spacing w:after="40"/>
              <w:jc w:val="right"/>
              <w:rPr>
                <w:b/>
              </w:rPr>
            </w:pPr>
            <w:r w:rsidRPr="002F17B5">
              <w:rPr>
                <w:b/>
              </w:rPr>
              <w:t xml:space="preserve">Decrease </w:t>
            </w:r>
          </w:p>
        </w:tc>
      </w:tr>
      <w:tr w:rsidR="00274914" w:rsidRPr="002F17B5" w:rsidTr="00D371C1">
        <w:trPr>
          <w:trHeight w:val="157"/>
        </w:trPr>
        <w:tc>
          <w:tcPr>
            <w:tcW w:w="4394" w:type="dxa"/>
            <w:tcBorders>
              <w:top w:val="nil"/>
              <w:left w:val="nil"/>
              <w:bottom w:val="nil"/>
              <w:right w:val="nil"/>
            </w:tcBorders>
          </w:tcPr>
          <w:p w:rsidR="00274914" w:rsidRPr="002F17B5" w:rsidRDefault="00274914" w:rsidP="008E1C37">
            <w:pPr>
              <w:spacing w:after="40"/>
              <w:ind w:left="-108"/>
              <w:rPr>
                <w:b/>
              </w:rPr>
            </w:pPr>
          </w:p>
        </w:tc>
        <w:tc>
          <w:tcPr>
            <w:tcW w:w="1701" w:type="dxa"/>
            <w:tcBorders>
              <w:top w:val="nil"/>
              <w:left w:val="nil"/>
              <w:bottom w:val="nil"/>
              <w:right w:val="nil"/>
            </w:tcBorders>
          </w:tcPr>
          <w:p w:rsidR="00274914" w:rsidRPr="002F17B5" w:rsidRDefault="00274914" w:rsidP="008E1C37">
            <w:pPr>
              <w:spacing w:after="40"/>
              <w:ind w:left="-393" w:right="-83"/>
              <w:jc w:val="right"/>
              <w:rPr>
                <w:b/>
              </w:rPr>
            </w:pPr>
            <w:r w:rsidRPr="002F17B5">
              <w:rPr>
                <w:b/>
              </w:rPr>
              <w:t>£m</w:t>
            </w:r>
          </w:p>
        </w:tc>
        <w:tc>
          <w:tcPr>
            <w:tcW w:w="1559" w:type="dxa"/>
            <w:tcBorders>
              <w:top w:val="nil"/>
              <w:left w:val="nil"/>
              <w:bottom w:val="nil"/>
              <w:right w:val="nil"/>
            </w:tcBorders>
          </w:tcPr>
          <w:p w:rsidR="00274914" w:rsidRPr="002F17B5" w:rsidRDefault="00274914" w:rsidP="008E1C37">
            <w:pPr>
              <w:spacing w:after="40"/>
              <w:jc w:val="right"/>
              <w:rPr>
                <w:b/>
              </w:rPr>
            </w:pPr>
            <w:r w:rsidRPr="002F17B5">
              <w:rPr>
                <w:b/>
              </w:rPr>
              <w:t>%</w:t>
            </w:r>
          </w:p>
        </w:tc>
        <w:tc>
          <w:tcPr>
            <w:tcW w:w="1268" w:type="dxa"/>
            <w:tcBorders>
              <w:top w:val="nil"/>
              <w:left w:val="nil"/>
              <w:bottom w:val="nil"/>
              <w:right w:val="nil"/>
            </w:tcBorders>
          </w:tcPr>
          <w:p w:rsidR="00274914" w:rsidRPr="002F17B5" w:rsidRDefault="00274914" w:rsidP="008E1C37">
            <w:pPr>
              <w:spacing w:after="40"/>
              <w:jc w:val="right"/>
              <w:rPr>
                <w:b/>
              </w:rPr>
            </w:pPr>
            <w:r w:rsidRPr="002F17B5">
              <w:rPr>
                <w:b/>
              </w:rPr>
              <w:t>£m</w:t>
            </w:r>
          </w:p>
        </w:tc>
        <w:tc>
          <w:tcPr>
            <w:tcW w:w="1284" w:type="dxa"/>
            <w:tcBorders>
              <w:top w:val="nil"/>
              <w:left w:val="nil"/>
              <w:bottom w:val="nil"/>
              <w:right w:val="nil"/>
            </w:tcBorders>
          </w:tcPr>
          <w:p w:rsidR="00274914" w:rsidRPr="002F17B5" w:rsidRDefault="00274914" w:rsidP="008E1C37">
            <w:pPr>
              <w:spacing w:after="40"/>
              <w:jc w:val="right"/>
              <w:rPr>
                <w:b/>
              </w:rPr>
            </w:pPr>
            <w:r w:rsidRPr="002F17B5">
              <w:rPr>
                <w:b/>
              </w:rPr>
              <w:t xml:space="preserve">£m </w:t>
            </w:r>
          </w:p>
        </w:tc>
      </w:tr>
      <w:tr w:rsidR="00274914" w:rsidRPr="002F17B5" w:rsidTr="00D371C1">
        <w:tc>
          <w:tcPr>
            <w:tcW w:w="4394" w:type="dxa"/>
            <w:tcBorders>
              <w:top w:val="nil"/>
              <w:left w:val="nil"/>
              <w:bottom w:val="nil"/>
              <w:right w:val="nil"/>
            </w:tcBorders>
          </w:tcPr>
          <w:p w:rsidR="00274914" w:rsidRPr="002F17B5" w:rsidRDefault="00274914" w:rsidP="008E1C37">
            <w:pPr>
              <w:spacing w:after="40"/>
              <w:ind w:left="-108"/>
              <w:rPr>
                <w:b/>
              </w:rPr>
            </w:pPr>
            <w:r w:rsidRPr="002F17B5">
              <w:rPr>
                <w:b/>
              </w:rPr>
              <w:t>Investment portfolio assets:</w:t>
            </w:r>
          </w:p>
        </w:tc>
        <w:tc>
          <w:tcPr>
            <w:tcW w:w="1701" w:type="dxa"/>
            <w:tcBorders>
              <w:top w:val="nil"/>
              <w:left w:val="nil"/>
              <w:bottom w:val="nil"/>
              <w:right w:val="nil"/>
            </w:tcBorders>
          </w:tcPr>
          <w:p w:rsidR="00274914" w:rsidRPr="002F17B5" w:rsidRDefault="00274914" w:rsidP="008E1C37">
            <w:pPr>
              <w:spacing w:after="40"/>
              <w:ind w:left="-393" w:right="-83"/>
            </w:pPr>
          </w:p>
        </w:tc>
        <w:tc>
          <w:tcPr>
            <w:tcW w:w="1559" w:type="dxa"/>
            <w:tcBorders>
              <w:top w:val="nil"/>
              <w:left w:val="nil"/>
              <w:bottom w:val="nil"/>
              <w:right w:val="nil"/>
            </w:tcBorders>
          </w:tcPr>
          <w:p w:rsidR="00274914" w:rsidRPr="002F17B5" w:rsidRDefault="00274914" w:rsidP="008E1C37">
            <w:pPr>
              <w:spacing w:after="40"/>
            </w:pPr>
          </w:p>
        </w:tc>
        <w:tc>
          <w:tcPr>
            <w:tcW w:w="1268" w:type="dxa"/>
            <w:tcBorders>
              <w:top w:val="nil"/>
              <w:left w:val="nil"/>
              <w:bottom w:val="nil"/>
              <w:right w:val="nil"/>
            </w:tcBorders>
          </w:tcPr>
          <w:p w:rsidR="00274914" w:rsidRPr="002F17B5" w:rsidRDefault="00274914" w:rsidP="008E1C37">
            <w:pPr>
              <w:spacing w:after="40"/>
            </w:pPr>
          </w:p>
        </w:tc>
        <w:tc>
          <w:tcPr>
            <w:tcW w:w="1284" w:type="dxa"/>
            <w:tcBorders>
              <w:top w:val="nil"/>
              <w:left w:val="nil"/>
              <w:bottom w:val="nil"/>
              <w:right w:val="nil"/>
            </w:tcBorders>
          </w:tcPr>
          <w:p w:rsidR="00274914" w:rsidRPr="002F17B5" w:rsidRDefault="00274914" w:rsidP="008E1C37">
            <w:pPr>
              <w:spacing w:after="40"/>
              <w:jc w:val="right"/>
            </w:pPr>
          </w:p>
        </w:tc>
      </w:tr>
      <w:tr w:rsidR="00274914" w:rsidRPr="002F17B5" w:rsidTr="00D371C1">
        <w:tc>
          <w:tcPr>
            <w:tcW w:w="4394" w:type="dxa"/>
            <w:tcBorders>
              <w:top w:val="nil"/>
              <w:left w:val="nil"/>
              <w:bottom w:val="nil"/>
              <w:right w:val="nil"/>
            </w:tcBorders>
          </w:tcPr>
          <w:p w:rsidR="00274914" w:rsidRPr="002F17B5" w:rsidRDefault="00274914" w:rsidP="008E1C37">
            <w:pPr>
              <w:spacing w:after="40"/>
              <w:ind w:left="-108"/>
            </w:pPr>
            <w:r w:rsidRPr="002F17B5">
              <w:t xml:space="preserve">UK bonds </w:t>
            </w:r>
          </w:p>
        </w:tc>
        <w:tc>
          <w:tcPr>
            <w:tcW w:w="1701" w:type="dxa"/>
            <w:tcBorders>
              <w:top w:val="nil"/>
              <w:left w:val="nil"/>
              <w:bottom w:val="nil"/>
              <w:right w:val="nil"/>
            </w:tcBorders>
          </w:tcPr>
          <w:p w:rsidR="00274914" w:rsidRPr="002F17B5" w:rsidRDefault="00274914" w:rsidP="008E1C37">
            <w:pPr>
              <w:spacing w:after="40"/>
              <w:ind w:left="-393" w:right="-83"/>
              <w:jc w:val="right"/>
              <w:rPr>
                <w:sz w:val="22"/>
              </w:rPr>
            </w:pPr>
            <w:r w:rsidRPr="002F17B5">
              <w:t>76.0</w:t>
            </w:r>
          </w:p>
        </w:tc>
        <w:tc>
          <w:tcPr>
            <w:tcW w:w="1559" w:type="dxa"/>
            <w:tcBorders>
              <w:top w:val="nil"/>
              <w:left w:val="nil"/>
              <w:bottom w:val="nil"/>
              <w:right w:val="nil"/>
            </w:tcBorders>
          </w:tcPr>
          <w:p w:rsidR="00274914" w:rsidRPr="002F17B5" w:rsidRDefault="00274914" w:rsidP="008E1C37">
            <w:pPr>
              <w:spacing w:after="40"/>
              <w:jc w:val="right"/>
            </w:pPr>
            <w:r w:rsidRPr="002F17B5">
              <w:t>4.8%</w:t>
            </w:r>
          </w:p>
        </w:tc>
        <w:tc>
          <w:tcPr>
            <w:tcW w:w="1268" w:type="dxa"/>
            <w:tcBorders>
              <w:top w:val="nil"/>
              <w:left w:val="nil"/>
              <w:bottom w:val="nil"/>
              <w:right w:val="nil"/>
            </w:tcBorders>
          </w:tcPr>
          <w:p w:rsidR="00274914" w:rsidRPr="002F17B5" w:rsidRDefault="00274914" w:rsidP="008E1C37">
            <w:pPr>
              <w:spacing w:after="40"/>
              <w:jc w:val="right"/>
              <w:rPr>
                <w:sz w:val="22"/>
              </w:rPr>
            </w:pPr>
            <w:r w:rsidRPr="002F17B5">
              <w:t>79.6</w:t>
            </w:r>
          </w:p>
        </w:tc>
        <w:tc>
          <w:tcPr>
            <w:tcW w:w="1284" w:type="dxa"/>
            <w:tcBorders>
              <w:top w:val="nil"/>
              <w:left w:val="nil"/>
              <w:bottom w:val="nil"/>
              <w:right w:val="nil"/>
            </w:tcBorders>
          </w:tcPr>
          <w:p w:rsidR="00274914" w:rsidRPr="002F17B5" w:rsidRDefault="00274914" w:rsidP="008E1C37">
            <w:pPr>
              <w:spacing w:after="40"/>
              <w:jc w:val="right"/>
              <w:rPr>
                <w:sz w:val="22"/>
              </w:rPr>
            </w:pPr>
            <w:r w:rsidRPr="002F17B5">
              <w:t>72.3</w:t>
            </w:r>
          </w:p>
        </w:tc>
      </w:tr>
      <w:tr w:rsidR="00274914" w:rsidRPr="002F17B5" w:rsidTr="00D371C1">
        <w:tc>
          <w:tcPr>
            <w:tcW w:w="4394" w:type="dxa"/>
            <w:tcBorders>
              <w:top w:val="nil"/>
              <w:left w:val="nil"/>
              <w:bottom w:val="nil"/>
              <w:right w:val="nil"/>
            </w:tcBorders>
          </w:tcPr>
          <w:p w:rsidR="00274914" w:rsidRPr="002F17B5" w:rsidRDefault="00274914" w:rsidP="008E1C37">
            <w:pPr>
              <w:spacing w:after="40"/>
              <w:ind w:left="-108"/>
            </w:pPr>
            <w:r w:rsidRPr="002F17B5">
              <w:t>Overseas bonds</w:t>
            </w:r>
          </w:p>
        </w:tc>
        <w:tc>
          <w:tcPr>
            <w:tcW w:w="1701" w:type="dxa"/>
            <w:tcBorders>
              <w:top w:val="nil"/>
              <w:left w:val="nil"/>
              <w:bottom w:val="nil"/>
              <w:right w:val="nil"/>
            </w:tcBorders>
          </w:tcPr>
          <w:p w:rsidR="00274914" w:rsidRPr="002F17B5" w:rsidRDefault="00274914" w:rsidP="008E1C37">
            <w:pPr>
              <w:spacing w:after="40"/>
              <w:ind w:left="-393" w:right="-83"/>
              <w:jc w:val="right"/>
            </w:pPr>
            <w:r w:rsidRPr="002F17B5">
              <w:t>157.0</w:t>
            </w:r>
          </w:p>
        </w:tc>
        <w:tc>
          <w:tcPr>
            <w:tcW w:w="1559" w:type="dxa"/>
            <w:tcBorders>
              <w:top w:val="nil"/>
              <w:left w:val="nil"/>
              <w:bottom w:val="nil"/>
              <w:right w:val="nil"/>
            </w:tcBorders>
          </w:tcPr>
          <w:p w:rsidR="00274914" w:rsidRPr="002F17B5" w:rsidRDefault="00274914" w:rsidP="008E1C37">
            <w:pPr>
              <w:spacing w:after="40"/>
              <w:jc w:val="right"/>
            </w:pPr>
            <w:r w:rsidRPr="002F17B5">
              <w:t>4.8%</w:t>
            </w:r>
          </w:p>
        </w:tc>
        <w:tc>
          <w:tcPr>
            <w:tcW w:w="1268" w:type="dxa"/>
            <w:tcBorders>
              <w:top w:val="nil"/>
              <w:left w:val="nil"/>
              <w:bottom w:val="nil"/>
              <w:right w:val="nil"/>
            </w:tcBorders>
          </w:tcPr>
          <w:p w:rsidR="00274914" w:rsidRPr="002F17B5" w:rsidRDefault="00274914" w:rsidP="008E1C37">
            <w:pPr>
              <w:spacing w:after="40"/>
              <w:jc w:val="right"/>
            </w:pPr>
            <w:r w:rsidRPr="002F17B5">
              <w:t>164.5</w:t>
            </w:r>
          </w:p>
        </w:tc>
        <w:tc>
          <w:tcPr>
            <w:tcW w:w="1284" w:type="dxa"/>
            <w:tcBorders>
              <w:top w:val="nil"/>
              <w:left w:val="nil"/>
              <w:bottom w:val="nil"/>
              <w:right w:val="nil"/>
            </w:tcBorders>
          </w:tcPr>
          <w:p w:rsidR="00274914" w:rsidRPr="002F17B5" w:rsidRDefault="00274914" w:rsidP="008E1C37">
            <w:pPr>
              <w:spacing w:after="40"/>
              <w:jc w:val="right"/>
            </w:pPr>
            <w:r w:rsidRPr="002F17B5">
              <w:t>149.5</w:t>
            </w:r>
          </w:p>
        </w:tc>
      </w:tr>
      <w:tr w:rsidR="00274914" w:rsidRPr="002F17B5" w:rsidTr="00D371C1">
        <w:tc>
          <w:tcPr>
            <w:tcW w:w="4394" w:type="dxa"/>
            <w:tcBorders>
              <w:top w:val="nil"/>
              <w:left w:val="nil"/>
              <w:bottom w:val="nil"/>
              <w:right w:val="nil"/>
            </w:tcBorders>
          </w:tcPr>
          <w:p w:rsidR="00274914" w:rsidRPr="002F17B5" w:rsidRDefault="00274914" w:rsidP="008E1C37">
            <w:pPr>
              <w:spacing w:after="40"/>
              <w:ind w:left="-108"/>
            </w:pPr>
            <w:r w:rsidRPr="002F17B5">
              <w:t xml:space="preserve">Total equities </w:t>
            </w:r>
          </w:p>
        </w:tc>
        <w:tc>
          <w:tcPr>
            <w:tcW w:w="1701" w:type="dxa"/>
            <w:tcBorders>
              <w:top w:val="nil"/>
              <w:left w:val="nil"/>
              <w:bottom w:val="nil"/>
              <w:right w:val="nil"/>
            </w:tcBorders>
          </w:tcPr>
          <w:p w:rsidR="00274914" w:rsidRPr="002F17B5" w:rsidRDefault="00274914" w:rsidP="008E1C37">
            <w:pPr>
              <w:spacing w:after="40"/>
              <w:ind w:left="-393" w:right="-83"/>
              <w:jc w:val="right"/>
            </w:pPr>
            <w:r w:rsidRPr="002F17B5">
              <w:t>1,921.1</w:t>
            </w:r>
          </w:p>
        </w:tc>
        <w:tc>
          <w:tcPr>
            <w:tcW w:w="1559" w:type="dxa"/>
            <w:tcBorders>
              <w:top w:val="nil"/>
              <w:left w:val="nil"/>
              <w:bottom w:val="nil"/>
              <w:right w:val="nil"/>
            </w:tcBorders>
          </w:tcPr>
          <w:p w:rsidR="00274914" w:rsidRPr="002F17B5" w:rsidRDefault="00274914" w:rsidP="008E1C37">
            <w:pPr>
              <w:spacing w:after="40"/>
              <w:jc w:val="right"/>
            </w:pPr>
            <w:r w:rsidRPr="002F17B5">
              <w:t>11.9%</w:t>
            </w:r>
          </w:p>
        </w:tc>
        <w:tc>
          <w:tcPr>
            <w:tcW w:w="1268" w:type="dxa"/>
            <w:tcBorders>
              <w:top w:val="nil"/>
              <w:left w:val="nil"/>
              <w:bottom w:val="nil"/>
              <w:right w:val="nil"/>
            </w:tcBorders>
          </w:tcPr>
          <w:p w:rsidR="00274914" w:rsidRPr="002F17B5" w:rsidRDefault="00274914" w:rsidP="008E1C37">
            <w:pPr>
              <w:spacing w:after="40"/>
              <w:jc w:val="right"/>
            </w:pPr>
            <w:r w:rsidRPr="002F17B5">
              <w:t>2,149.7</w:t>
            </w:r>
          </w:p>
        </w:tc>
        <w:tc>
          <w:tcPr>
            <w:tcW w:w="1284" w:type="dxa"/>
            <w:tcBorders>
              <w:top w:val="nil"/>
              <w:left w:val="nil"/>
              <w:bottom w:val="nil"/>
              <w:right w:val="nil"/>
            </w:tcBorders>
          </w:tcPr>
          <w:p w:rsidR="00274914" w:rsidRPr="002F17B5" w:rsidRDefault="00274914" w:rsidP="008E1C37">
            <w:pPr>
              <w:spacing w:after="40"/>
              <w:jc w:val="right"/>
            </w:pPr>
            <w:r w:rsidRPr="002F17B5">
              <w:t>1,692.5</w:t>
            </w:r>
          </w:p>
        </w:tc>
      </w:tr>
      <w:tr w:rsidR="00274914" w:rsidRPr="002F17B5" w:rsidTr="00D371C1">
        <w:tc>
          <w:tcPr>
            <w:tcW w:w="4394" w:type="dxa"/>
            <w:tcBorders>
              <w:top w:val="nil"/>
              <w:left w:val="nil"/>
              <w:bottom w:val="nil"/>
              <w:right w:val="nil"/>
            </w:tcBorders>
          </w:tcPr>
          <w:p w:rsidR="00274914" w:rsidRPr="002F17B5" w:rsidRDefault="00274914" w:rsidP="008E1C37">
            <w:pPr>
              <w:spacing w:after="40"/>
              <w:ind w:left="-108" w:right="-83"/>
            </w:pPr>
            <w:r w:rsidRPr="002F17B5">
              <w:t>Alternatives</w:t>
            </w:r>
          </w:p>
        </w:tc>
        <w:tc>
          <w:tcPr>
            <w:tcW w:w="1701" w:type="dxa"/>
            <w:tcBorders>
              <w:top w:val="nil"/>
              <w:left w:val="nil"/>
              <w:bottom w:val="nil"/>
              <w:right w:val="nil"/>
            </w:tcBorders>
          </w:tcPr>
          <w:p w:rsidR="00274914" w:rsidRPr="002F17B5" w:rsidRDefault="00274914" w:rsidP="008E1C37">
            <w:pPr>
              <w:spacing w:after="40"/>
              <w:ind w:left="-393" w:right="-83"/>
              <w:jc w:val="right"/>
            </w:pPr>
            <w:r w:rsidRPr="002F17B5">
              <w:t>2,238.9</w:t>
            </w:r>
          </w:p>
        </w:tc>
        <w:tc>
          <w:tcPr>
            <w:tcW w:w="1559" w:type="dxa"/>
            <w:tcBorders>
              <w:top w:val="nil"/>
              <w:left w:val="nil"/>
              <w:bottom w:val="nil"/>
              <w:right w:val="nil"/>
            </w:tcBorders>
          </w:tcPr>
          <w:p w:rsidR="00274914" w:rsidRPr="002F17B5" w:rsidRDefault="00274914" w:rsidP="008E1C37">
            <w:pPr>
              <w:spacing w:after="40"/>
              <w:jc w:val="right"/>
            </w:pPr>
            <w:r w:rsidRPr="002F17B5">
              <w:t>3.8%</w:t>
            </w:r>
          </w:p>
        </w:tc>
        <w:tc>
          <w:tcPr>
            <w:tcW w:w="1268" w:type="dxa"/>
            <w:tcBorders>
              <w:top w:val="nil"/>
              <w:left w:val="nil"/>
              <w:bottom w:val="nil"/>
              <w:right w:val="nil"/>
            </w:tcBorders>
          </w:tcPr>
          <w:p w:rsidR="00274914" w:rsidRPr="002F17B5" w:rsidRDefault="00274914" w:rsidP="008E1C37">
            <w:pPr>
              <w:spacing w:after="40"/>
              <w:jc w:val="right"/>
              <w:rPr>
                <w:sz w:val="22"/>
              </w:rPr>
            </w:pPr>
            <w:r w:rsidRPr="002F17B5">
              <w:t>2,324.0</w:t>
            </w:r>
          </w:p>
        </w:tc>
        <w:tc>
          <w:tcPr>
            <w:tcW w:w="1284" w:type="dxa"/>
            <w:tcBorders>
              <w:top w:val="nil"/>
              <w:left w:val="nil"/>
              <w:bottom w:val="nil"/>
              <w:right w:val="nil"/>
            </w:tcBorders>
          </w:tcPr>
          <w:p w:rsidR="00274914" w:rsidRPr="002F17B5" w:rsidRDefault="00274914" w:rsidP="008E1C37">
            <w:pPr>
              <w:spacing w:after="40"/>
              <w:jc w:val="right"/>
            </w:pPr>
            <w:r w:rsidRPr="002F17B5">
              <w:t>2,153.8</w:t>
            </w:r>
          </w:p>
        </w:tc>
      </w:tr>
      <w:tr w:rsidR="00274914" w:rsidRPr="002F17B5" w:rsidTr="00D371C1">
        <w:tc>
          <w:tcPr>
            <w:tcW w:w="4394" w:type="dxa"/>
            <w:tcBorders>
              <w:top w:val="nil"/>
              <w:left w:val="nil"/>
              <w:bottom w:val="nil"/>
              <w:right w:val="nil"/>
            </w:tcBorders>
          </w:tcPr>
          <w:p w:rsidR="00274914" w:rsidRPr="002F17B5" w:rsidRDefault="00274914" w:rsidP="008E1C37">
            <w:pPr>
              <w:spacing w:after="40"/>
              <w:ind w:left="-108"/>
            </w:pPr>
            <w:r w:rsidRPr="002F17B5">
              <w:t>Property</w:t>
            </w:r>
          </w:p>
        </w:tc>
        <w:tc>
          <w:tcPr>
            <w:tcW w:w="1701" w:type="dxa"/>
            <w:tcBorders>
              <w:top w:val="nil"/>
              <w:left w:val="nil"/>
              <w:bottom w:val="nil"/>
              <w:right w:val="nil"/>
            </w:tcBorders>
          </w:tcPr>
          <w:p w:rsidR="00274914" w:rsidRPr="002F17B5" w:rsidRDefault="00274914" w:rsidP="008E1C37">
            <w:pPr>
              <w:spacing w:after="40"/>
              <w:ind w:left="-393" w:right="-83"/>
              <w:jc w:val="right"/>
            </w:pPr>
            <w:r w:rsidRPr="002F17B5">
              <w:t>450.5</w:t>
            </w:r>
          </w:p>
        </w:tc>
        <w:tc>
          <w:tcPr>
            <w:tcW w:w="1559" w:type="dxa"/>
            <w:tcBorders>
              <w:top w:val="nil"/>
              <w:left w:val="nil"/>
              <w:bottom w:val="nil"/>
              <w:right w:val="nil"/>
            </w:tcBorders>
          </w:tcPr>
          <w:p w:rsidR="00274914" w:rsidRPr="002F17B5" w:rsidRDefault="00274914" w:rsidP="008E1C37">
            <w:pPr>
              <w:spacing w:after="40"/>
              <w:jc w:val="right"/>
            </w:pPr>
            <w:r w:rsidRPr="002F17B5">
              <w:t>2.7%</w:t>
            </w:r>
          </w:p>
        </w:tc>
        <w:tc>
          <w:tcPr>
            <w:tcW w:w="1268" w:type="dxa"/>
            <w:tcBorders>
              <w:top w:val="nil"/>
              <w:left w:val="nil"/>
              <w:bottom w:val="nil"/>
              <w:right w:val="nil"/>
            </w:tcBorders>
          </w:tcPr>
          <w:p w:rsidR="00274914" w:rsidRPr="002F17B5" w:rsidRDefault="00274914" w:rsidP="008E1C37">
            <w:pPr>
              <w:spacing w:after="40"/>
              <w:jc w:val="right"/>
            </w:pPr>
            <w:r w:rsidRPr="002F17B5">
              <w:t>462.7</w:t>
            </w:r>
          </w:p>
        </w:tc>
        <w:tc>
          <w:tcPr>
            <w:tcW w:w="1284" w:type="dxa"/>
            <w:tcBorders>
              <w:top w:val="nil"/>
              <w:left w:val="nil"/>
              <w:bottom w:val="nil"/>
              <w:right w:val="nil"/>
            </w:tcBorders>
          </w:tcPr>
          <w:p w:rsidR="00274914" w:rsidRPr="002F17B5" w:rsidRDefault="00274914" w:rsidP="008E1C37">
            <w:pPr>
              <w:spacing w:after="40"/>
              <w:jc w:val="right"/>
            </w:pPr>
            <w:r w:rsidRPr="002F17B5">
              <w:t>438.3</w:t>
            </w:r>
          </w:p>
        </w:tc>
      </w:tr>
      <w:tr w:rsidR="00274914" w:rsidRPr="002F17B5" w:rsidTr="00D371C1">
        <w:tc>
          <w:tcPr>
            <w:tcW w:w="4394" w:type="dxa"/>
            <w:tcBorders>
              <w:top w:val="nil"/>
              <w:left w:val="nil"/>
              <w:bottom w:val="nil"/>
              <w:right w:val="nil"/>
            </w:tcBorders>
          </w:tcPr>
          <w:p w:rsidR="00274914" w:rsidRPr="002F17B5" w:rsidRDefault="00274914" w:rsidP="008E1C37">
            <w:pPr>
              <w:spacing w:after="40"/>
              <w:ind w:left="-108"/>
              <w:rPr>
                <w:b/>
              </w:rPr>
            </w:pPr>
            <w:r w:rsidRPr="002F17B5">
              <w:rPr>
                <w:b/>
              </w:rPr>
              <w:t xml:space="preserve">Total asset available to pay  benefits </w:t>
            </w:r>
          </w:p>
        </w:tc>
        <w:tc>
          <w:tcPr>
            <w:tcW w:w="1701" w:type="dxa"/>
            <w:tcBorders>
              <w:top w:val="nil"/>
              <w:left w:val="nil"/>
              <w:bottom w:val="nil"/>
              <w:right w:val="nil"/>
            </w:tcBorders>
          </w:tcPr>
          <w:p w:rsidR="00274914" w:rsidRPr="002F17B5" w:rsidRDefault="00552962" w:rsidP="00552962">
            <w:pPr>
              <w:spacing w:after="40"/>
              <w:ind w:left="-393" w:right="-83"/>
              <w:jc w:val="right"/>
              <w:rPr>
                <w:b/>
                <w:sz w:val="22"/>
              </w:rPr>
            </w:pPr>
            <w:r>
              <w:rPr>
                <w:b/>
              </w:rPr>
              <w:t>4</w:t>
            </w:r>
            <w:r w:rsidR="00274914" w:rsidRPr="002F17B5">
              <w:rPr>
                <w:b/>
              </w:rPr>
              <w:t>,</w:t>
            </w:r>
            <w:r>
              <w:rPr>
                <w:b/>
              </w:rPr>
              <w:t>843.5</w:t>
            </w:r>
          </w:p>
        </w:tc>
        <w:tc>
          <w:tcPr>
            <w:tcW w:w="1559" w:type="dxa"/>
            <w:tcBorders>
              <w:top w:val="nil"/>
              <w:left w:val="nil"/>
              <w:bottom w:val="nil"/>
              <w:right w:val="nil"/>
            </w:tcBorders>
          </w:tcPr>
          <w:p w:rsidR="00274914" w:rsidRPr="002F17B5" w:rsidRDefault="00274914" w:rsidP="008E1C37">
            <w:pPr>
              <w:spacing w:after="40"/>
              <w:rPr>
                <w:b/>
              </w:rPr>
            </w:pPr>
          </w:p>
        </w:tc>
        <w:tc>
          <w:tcPr>
            <w:tcW w:w="1268" w:type="dxa"/>
            <w:tcBorders>
              <w:top w:val="nil"/>
              <w:left w:val="nil"/>
              <w:bottom w:val="nil"/>
              <w:right w:val="nil"/>
            </w:tcBorders>
          </w:tcPr>
          <w:p w:rsidR="00274914" w:rsidRPr="002F17B5" w:rsidRDefault="00552962" w:rsidP="008E1C37">
            <w:pPr>
              <w:spacing w:after="40"/>
              <w:jc w:val="right"/>
              <w:rPr>
                <w:b/>
              </w:rPr>
            </w:pPr>
            <w:r>
              <w:rPr>
                <w:b/>
              </w:rPr>
              <w:t>5,180.5</w:t>
            </w:r>
          </w:p>
        </w:tc>
        <w:tc>
          <w:tcPr>
            <w:tcW w:w="1284" w:type="dxa"/>
            <w:tcBorders>
              <w:top w:val="nil"/>
              <w:left w:val="nil"/>
              <w:bottom w:val="nil"/>
              <w:right w:val="nil"/>
            </w:tcBorders>
          </w:tcPr>
          <w:p w:rsidR="00274914" w:rsidRPr="002F17B5" w:rsidRDefault="00274914" w:rsidP="00552962">
            <w:pPr>
              <w:spacing w:after="40"/>
              <w:jc w:val="right"/>
              <w:rPr>
                <w:b/>
              </w:rPr>
            </w:pPr>
            <w:r w:rsidRPr="002F17B5">
              <w:rPr>
                <w:b/>
              </w:rPr>
              <w:t>4,</w:t>
            </w:r>
            <w:r w:rsidR="00552962">
              <w:rPr>
                <w:b/>
              </w:rPr>
              <w:t>506.4</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003EB0" w:rsidRDefault="00003EB0" w:rsidP="008E1C37">
            <w:pPr>
              <w:spacing w:after="60"/>
              <w:rPr>
                <w:b/>
              </w:rPr>
            </w:pPr>
          </w:p>
          <w:p w:rsidR="00003EB0" w:rsidRDefault="00003EB0" w:rsidP="008E1C37">
            <w:pPr>
              <w:spacing w:after="60"/>
              <w:rPr>
                <w:b/>
              </w:rPr>
            </w:pPr>
          </w:p>
          <w:p w:rsidR="00274914" w:rsidRPr="002F17B5" w:rsidRDefault="00274914" w:rsidP="008E1C37">
            <w:pPr>
              <w:spacing w:after="60"/>
              <w:rPr>
                <w:b/>
              </w:rPr>
            </w:pPr>
            <w:r w:rsidRPr="002F17B5">
              <w:rPr>
                <w:b/>
              </w:rPr>
              <w:lastRenderedPageBreak/>
              <w:t>Asset Type</w:t>
            </w:r>
          </w:p>
        </w:tc>
        <w:tc>
          <w:tcPr>
            <w:tcW w:w="1701" w:type="dxa"/>
          </w:tcPr>
          <w:p w:rsidR="00003EB0" w:rsidRDefault="00003EB0" w:rsidP="008E1C37">
            <w:pPr>
              <w:spacing w:after="60"/>
              <w:ind w:hanging="108"/>
              <w:jc w:val="right"/>
              <w:rPr>
                <w:b/>
              </w:rPr>
            </w:pPr>
          </w:p>
          <w:p w:rsidR="00003EB0" w:rsidRDefault="00003EB0" w:rsidP="008E1C37">
            <w:pPr>
              <w:spacing w:after="60"/>
              <w:ind w:hanging="108"/>
              <w:jc w:val="right"/>
              <w:rPr>
                <w:b/>
              </w:rPr>
            </w:pPr>
          </w:p>
          <w:p w:rsidR="00274914" w:rsidRPr="002F17B5" w:rsidRDefault="00BD5FF0" w:rsidP="008E1C37">
            <w:pPr>
              <w:spacing w:after="60"/>
              <w:ind w:hanging="108"/>
              <w:jc w:val="right"/>
              <w:rPr>
                <w:b/>
              </w:rPr>
            </w:pPr>
            <w:r w:rsidRPr="002F17B5">
              <w:rPr>
                <w:b/>
              </w:rPr>
              <w:lastRenderedPageBreak/>
              <w:t>31/03/13</w:t>
            </w:r>
          </w:p>
        </w:tc>
        <w:tc>
          <w:tcPr>
            <w:tcW w:w="1559" w:type="dxa"/>
          </w:tcPr>
          <w:p w:rsidR="00003EB0" w:rsidRDefault="00003EB0" w:rsidP="008E1C37">
            <w:pPr>
              <w:spacing w:after="60"/>
              <w:jc w:val="right"/>
              <w:rPr>
                <w:b/>
              </w:rPr>
            </w:pPr>
          </w:p>
          <w:p w:rsidR="00003EB0" w:rsidRDefault="00003EB0" w:rsidP="008E1C37">
            <w:pPr>
              <w:spacing w:after="60"/>
              <w:jc w:val="right"/>
              <w:rPr>
                <w:b/>
              </w:rPr>
            </w:pPr>
          </w:p>
          <w:p w:rsidR="00274914" w:rsidRPr="002F17B5" w:rsidRDefault="00274914" w:rsidP="008E1C37">
            <w:pPr>
              <w:spacing w:after="60"/>
              <w:jc w:val="right"/>
              <w:rPr>
                <w:b/>
              </w:rPr>
            </w:pPr>
            <w:r w:rsidRPr="002F17B5">
              <w:rPr>
                <w:b/>
              </w:rPr>
              <w:lastRenderedPageBreak/>
              <w:t xml:space="preserve">Percentage Change </w:t>
            </w:r>
          </w:p>
        </w:tc>
        <w:tc>
          <w:tcPr>
            <w:tcW w:w="1268" w:type="dxa"/>
          </w:tcPr>
          <w:p w:rsidR="00003EB0" w:rsidRDefault="00003EB0" w:rsidP="008E1C37">
            <w:pPr>
              <w:spacing w:after="60"/>
              <w:jc w:val="right"/>
              <w:rPr>
                <w:b/>
              </w:rPr>
            </w:pPr>
          </w:p>
          <w:p w:rsidR="00003EB0" w:rsidRDefault="00003EB0" w:rsidP="008E1C37">
            <w:pPr>
              <w:spacing w:after="60"/>
              <w:jc w:val="right"/>
              <w:rPr>
                <w:b/>
              </w:rPr>
            </w:pPr>
          </w:p>
          <w:p w:rsidR="00274914" w:rsidRPr="002F17B5" w:rsidRDefault="00274914" w:rsidP="008E1C37">
            <w:pPr>
              <w:spacing w:after="60"/>
              <w:jc w:val="right"/>
              <w:rPr>
                <w:b/>
              </w:rPr>
            </w:pPr>
            <w:r w:rsidRPr="002F17B5">
              <w:rPr>
                <w:b/>
              </w:rPr>
              <w:lastRenderedPageBreak/>
              <w:t xml:space="preserve">Value on Increase </w:t>
            </w:r>
          </w:p>
        </w:tc>
        <w:tc>
          <w:tcPr>
            <w:tcW w:w="1284" w:type="dxa"/>
          </w:tcPr>
          <w:p w:rsidR="00003EB0" w:rsidRDefault="00003EB0" w:rsidP="008E1C37">
            <w:pPr>
              <w:spacing w:after="60"/>
              <w:jc w:val="right"/>
              <w:rPr>
                <w:b/>
              </w:rPr>
            </w:pPr>
          </w:p>
          <w:p w:rsidR="00003EB0" w:rsidRDefault="00003EB0" w:rsidP="008E1C37">
            <w:pPr>
              <w:spacing w:after="60"/>
              <w:jc w:val="right"/>
              <w:rPr>
                <w:b/>
              </w:rPr>
            </w:pPr>
          </w:p>
          <w:p w:rsidR="00274914" w:rsidRPr="002F17B5" w:rsidRDefault="00274914" w:rsidP="008E1C37">
            <w:pPr>
              <w:spacing w:after="60"/>
              <w:jc w:val="right"/>
              <w:rPr>
                <w:b/>
              </w:rPr>
            </w:pPr>
            <w:r w:rsidRPr="002F17B5">
              <w:rPr>
                <w:b/>
              </w:rPr>
              <w:lastRenderedPageBreak/>
              <w:t xml:space="preserve">Value on </w:t>
            </w:r>
          </w:p>
          <w:p w:rsidR="00274914" w:rsidRPr="002F17B5" w:rsidRDefault="00274914" w:rsidP="008E1C37">
            <w:pPr>
              <w:spacing w:after="60"/>
              <w:jc w:val="right"/>
              <w:rPr>
                <w:b/>
              </w:rPr>
            </w:pPr>
            <w:r w:rsidRPr="002F17B5">
              <w:rPr>
                <w:b/>
              </w:rPr>
              <w:t xml:space="preserve">Decrease </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274914" w:rsidRPr="002F17B5" w:rsidRDefault="00274914" w:rsidP="008E1C37">
            <w:pPr>
              <w:spacing w:after="60"/>
              <w:rPr>
                <w:b/>
              </w:rPr>
            </w:pPr>
          </w:p>
        </w:tc>
        <w:tc>
          <w:tcPr>
            <w:tcW w:w="1701" w:type="dxa"/>
          </w:tcPr>
          <w:p w:rsidR="00274914" w:rsidRPr="002F17B5" w:rsidRDefault="00274914" w:rsidP="008E1C37">
            <w:pPr>
              <w:spacing w:after="60"/>
              <w:ind w:hanging="108"/>
              <w:jc w:val="right"/>
              <w:rPr>
                <w:b/>
              </w:rPr>
            </w:pPr>
            <w:r w:rsidRPr="002F17B5">
              <w:rPr>
                <w:b/>
              </w:rPr>
              <w:t>£m</w:t>
            </w:r>
          </w:p>
        </w:tc>
        <w:tc>
          <w:tcPr>
            <w:tcW w:w="1559" w:type="dxa"/>
          </w:tcPr>
          <w:p w:rsidR="00274914" w:rsidRPr="002F17B5" w:rsidRDefault="00274914" w:rsidP="008E1C37">
            <w:pPr>
              <w:spacing w:after="60"/>
              <w:jc w:val="right"/>
              <w:rPr>
                <w:b/>
              </w:rPr>
            </w:pPr>
            <w:r w:rsidRPr="002F17B5">
              <w:rPr>
                <w:b/>
              </w:rPr>
              <w:t>%</w:t>
            </w:r>
          </w:p>
        </w:tc>
        <w:tc>
          <w:tcPr>
            <w:tcW w:w="1268" w:type="dxa"/>
          </w:tcPr>
          <w:p w:rsidR="00274914" w:rsidRPr="002F17B5" w:rsidRDefault="00274914" w:rsidP="008E1C37">
            <w:pPr>
              <w:spacing w:after="60"/>
              <w:jc w:val="right"/>
              <w:rPr>
                <w:b/>
              </w:rPr>
            </w:pPr>
            <w:r w:rsidRPr="002F17B5">
              <w:rPr>
                <w:b/>
              </w:rPr>
              <w:t>£m</w:t>
            </w:r>
          </w:p>
        </w:tc>
        <w:tc>
          <w:tcPr>
            <w:tcW w:w="1284" w:type="dxa"/>
          </w:tcPr>
          <w:p w:rsidR="00274914" w:rsidRPr="002F17B5" w:rsidRDefault="00274914" w:rsidP="008E1C37">
            <w:pPr>
              <w:spacing w:after="60"/>
              <w:jc w:val="right"/>
              <w:rPr>
                <w:b/>
              </w:rPr>
            </w:pPr>
            <w:r w:rsidRPr="002F17B5">
              <w:rPr>
                <w:b/>
              </w:rPr>
              <w:t xml:space="preserve">£m </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274914" w:rsidRPr="002F17B5" w:rsidRDefault="00274914" w:rsidP="008E1C37">
            <w:pPr>
              <w:spacing w:after="60"/>
              <w:jc w:val="left"/>
              <w:rPr>
                <w:b/>
              </w:rPr>
            </w:pPr>
            <w:r w:rsidRPr="002F17B5">
              <w:rPr>
                <w:b/>
              </w:rPr>
              <w:t>Investment portfolio assets:</w:t>
            </w:r>
          </w:p>
        </w:tc>
        <w:tc>
          <w:tcPr>
            <w:tcW w:w="1701" w:type="dxa"/>
          </w:tcPr>
          <w:p w:rsidR="00274914" w:rsidRPr="002F17B5" w:rsidRDefault="00274914" w:rsidP="008E1C37">
            <w:pPr>
              <w:spacing w:after="60"/>
              <w:ind w:hanging="108"/>
            </w:pPr>
          </w:p>
        </w:tc>
        <w:tc>
          <w:tcPr>
            <w:tcW w:w="1559" w:type="dxa"/>
          </w:tcPr>
          <w:p w:rsidR="00274914" w:rsidRPr="002F17B5" w:rsidRDefault="00274914" w:rsidP="008E1C37">
            <w:pPr>
              <w:spacing w:after="60"/>
            </w:pPr>
          </w:p>
        </w:tc>
        <w:tc>
          <w:tcPr>
            <w:tcW w:w="1268" w:type="dxa"/>
          </w:tcPr>
          <w:p w:rsidR="00274914" w:rsidRPr="002F17B5" w:rsidRDefault="00274914" w:rsidP="008E1C37">
            <w:pPr>
              <w:spacing w:after="60"/>
            </w:pPr>
          </w:p>
        </w:tc>
        <w:tc>
          <w:tcPr>
            <w:tcW w:w="1284" w:type="dxa"/>
          </w:tcPr>
          <w:p w:rsidR="00274914" w:rsidRPr="002F17B5" w:rsidRDefault="00274914" w:rsidP="008E1C37">
            <w:pPr>
              <w:spacing w:after="60"/>
              <w:jc w:val="right"/>
            </w:pP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274914" w:rsidRPr="002F17B5" w:rsidRDefault="00274914" w:rsidP="008E1C37">
            <w:pPr>
              <w:spacing w:after="60"/>
              <w:jc w:val="left"/>
            </w:pPr>
            <w:r w:rsidRPr="002F17B5">
              <w:t xml:space="preserve">UK bonds </w:t>
            </w:r>
          </w:p>
        </w:tc>
        <w:tc>
          <w:tcPr>
            <w:tcW w:w="1701" w:type="dxa"/>
          </w:tcPr>
          <w:p w:rsidR="00274914" w:rsidRPr="002F17B5" w:rsidRDefault="00274914" w:rsidP="008E1C37">
            <w:pPr>
              <w:spacing w:after="60"/>
              <w:ind w:hanging="108"/>
              <w:jc w:val="right"/>
            </w:pPr>
            <w:r w:rsidRPr="002F17B5">
              <w:t>519.9</w:t>
            </w:r>
          </w:p>
        </w:tc>
        <w:tc>
          <w:tcPr>
            <w:tcW w:w="1559" w:type="dxa"/>
          </w:tcPr>
          <w:p w:rsidR="00274914" w:rsidRPr="002F17B5" w:rsidRDefault="00274914" w:rsidP="008E1C37">
            <w:pPr>
              <w:spacing w:after="60"/>
              <w:jc w:val="right"/>
            </w:pPr>
            <w:r w:rsidRPr="002F17B5">
              <w:t>4.6%</w:t>
            </w:r>
          </w:p>
        </w:tc>
        <w:tc>
          <w:tcPr>
            <w:tcW w:w="1268" w:type="dxa"/>
          </w:tcPr>
          <w:p w:rsidR="00274914" w:rsidRPr="002F17B5" w:rsidRDefault="00274914" w:rsidP="008E1C37">
            <w:pPr>
              <w:spacing w:after="60"/>
              <w:jc w:val="right"/>
            </w:pPr>
            <w:r w:rsidRPr="002F17B5">
              <w:t>543.8</w:t>
            </w:r>
          </w:p>
        </w:tc>
        <w:tc>
          <w:tcPr>
            <w:tcW w:w="1284" w:type="dxa"/>
          </w:tcPr>
          <w:p w:rsidR="00274914" w:rsidRPr="002F17B5" w:rsidRDefault="00274914" w:rsidP="008E1C37">
            <w:pPr>
              <w:spacing w:after="60"/>
              <w:jc w:val="right"/>
            </w:pPr>
            <w:r w:rsidRPr="002F17B5">
              <w:t>496.0</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274914" w:rsidRPr="002F17B5" w:rsidRDefault="00274914" w:rsidP="008E1C37">
            <w:pPr>
              <w:spacing w:after="60"/>
              <w:jc w:val="left"/>
            </w:pPr>
            <w:r w:rsidRPr="002F17B5">
              <w:t>Overseas bonds</w:t>
            </w:r>
          </w:p>
        </w:tc>
        <w:tc>
          <w:tcPr>
            <w:tcW w:w="1701" w:type="dxa"/>
          </w:tcPr>
          <w:p w:rsidR="00274914" w:rsidRPr="002F17B5" w:rsidRDefault="00274914" w:rsidP="008E1C37">
            <w:pPr>
              <w:spacing w:after="60"/>
              <w:ind w:hanging="108"/>
              <w:jc w:val="right"/>
            </w:pPr>
            <w:r w:rsidRPr="002F17B5">
              <w:t>323.7</w:t>
            </w:r>
          </w:p>
        </w:tc>
        <w:tc>
          <w:tcPr>
            <w:tcW w:w="1559" w:type="dxa"/>
          </w:tcPr>
          <w:p w:rsidR="00274914" w:rsidRPr="002F17B5" w:rsidRDefault="00274914" w:rsidP="008E1C37">
            <w:pPr>
              <w:spacing w:after="60"/>
              <w:jc w:val="right"/>
            </w:pPr>
            <w:r w:rsidRPr="002F17B5">
              <w:t>8.7%</w:t>
            </w:r>
          </w:p>
        </w:tc>
        <w:tc>
          <w:tcPr>
            <w:tcW w:w="1268" w:type="dxa"/>
          </w:tcPr>
          <w:p w:rsidR="00274914" w:rsidRPr="002F17B5" w:rsidRDefault="00274914" w:rsidP="008E1C37">
            <w:pPr>
              <w:spacing w:after="60"/>
              <w:jc w:val="right"/>
            </w:pPr>
            <w:r w:rsidRPr="002F17B5">
              <w:t>351.8</w:t>
            </w:r>
          </w:p>
        </w:tc>
        <w:tc>
          <w:tcPr>
            <w:tcW w:w="1284" w:type="dxa"/>
          </w:tcPr>
          <w:p w:rsidR="00274914" w:rsidRPr="002F17B5" w:rsidRDefault="00274914" w:rsidP="008E1C37">
            <w:pPr>
              <w:spacing w:after="60"/>
              <w:jc w:val="right"/>
            </w:pPr>
            <w:r w:rsidRPr="002F17B5">
              <w:t>295.5</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274914" w:rsidRPr="002F17B5" w:rsidRDefault="00274914" w:rsidP="008E1C37">
            <w:pPr>
              <w:spacing w:after="60"/>
              <w:jc w:val="left"/>
            </w:pPr>
            <w:r w:rsidRPr="002F17B5">
              <w:t xml:space="preserve">Total equities </w:t>
            </w:r>
          </w:p>
        </w:tc>
        <w:tc>
          <w:tcPr>
            <w:tcW w:w="1701" w:type="dxa"/>
          </w:tcPr>
          <w:p w:rsidR="00274914" w:rsidRPr="002F17B5" w:rsidRDefault="00274914" w:rsidP="008E1C37">
            <w:pPr>
              <w:spacing w:after="60"/>
              <w:ind w:hanging="108"/>
              <w:jc w:val="right"/>
            </w:pPr>
            <w:r w:rsidRPr="002F17B5">
              <w:t>1,749.3</w:t>
            </w:r>
          </w:p>
        </w:tc>
        <w:tc>
          <w:tcPr>
            <w:tcW w:w="1559" w:type="dxa"/>
          </w:tcPr>
          <w:p w:rsidR="00274914" w:rsidRPr="002F17B5" w:rsidRDefault="00274914" w:rsidP="008E1C37">
            <w:pPr>
              <w:spacing w:after="60"/>
              <w:jc w:val="right"/>
            </w:pPr>
            <w:r w:rsidRPr="002F17B5">
              <w:t>12.8%</w:t>
            </w:r>
          </w:p>
        </w:tc>
        <w:tc>
          <w:tcPr>
            <w:tcW w:w="1268" w:type="dxa"/>
          </w:tcPr>
          <w:p w:rsidR="00274914" w:rsidRPr="002F17B5" w:rsidRDefault="00274914" w:rsidP="008E1C37">
            <w:pPr>
              <w:spacing w:after="60"/>
              <w:jc w:val="right"/>
            </w:pPr>
            <w:r w:rsidRPr="002F17B5">
              <w:t>1,973.2</w:t>
            </w:r>
          </w:p>
        </w:tc>
        <w:tc>
          <w:tcPr>
            <w:tcW w:w="1284" w:type="dxa"/>
          </w:tcPr>
          <w:p w:rsidR="00274914" w:rsidRPr="002F17B5" w:rsidRDefault="00274914" w:rsidP="008E1C37">
            <w:pPr>
              <w:spacing w:after="60"/>
              <w:jc w:val="right"/>
            </w:pPr>
            <w:r w:rsidRPr="002F17B5">
              <w:t>1,525.5</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274914" w:rsidRPr="002F17B5" w:rsidRDefault="00274914" w:rsidP="008E1C37">
            <w:pPr>
              <w:spacing w:after="60"/>
              <w:jc w:val="left"/>
            </w:pPr>
            <w:r w:rsidRPr="002F17B5">
              <w:t>Index linked gilts</w:t>
            </w:r>
          </w:p>
        </w:tc>
        <w:tc>
          <w:tcPr>
            <w:tcW w:w="1701" w:type="dxa"/>
          </w:tcPr>
          <w:p w:rsidR="00274914" w:rsidRPr="002F17B5" w:rsidRDefault="00274914" w:rsidP="008E1C37">
            <w:pPr>
              <w:spacing w:after="60"/>
              <w:ind w:hanging="108"/>
              <w:jc w:val="right"/>
            </w:pPr>
            <w:r w:rsidRPr="002F17B5">
              <w:t>164.9</w:t>
            </w:r>
          </w:p>
        </w:tc>
        <w:tc>
          <w:tcPr>
            <w:tcW w:w="1559" w:type="dxa"/>
          </w:tcPr>
          <w:p w:rsidR="00274914" w:rsidRPr="002F17B5" w:rsidRDefault="00274914" w:rsidP="008E1C37">
            <w:pPr>
              <w:spacing w:after="60"/>
              <w:jc w:val="right"/>
            </w:pPr>
            <w:r w:rsidRPr="002F17B5">
              <w:t>8.1%</w:t>
            </w:r>
          </w:p>
        </w:tc>
        <w:tc>
          <w:tcPr>
            <w:tcW w:w="1268" w:type="dxa"/>
          </w:tcPr>
          <w:p w:rsidR="00274914" w:rsidRPr="002F17B5" w:rsidRDefault="00274914" w:rsidP="008E1C37">
            <w:pPr>
              <w:spacing w:after="60"/>
              <w:jc w:val="right"/>
            </w:pPr>
            <w:r w:rsidRPr="002F17B5">
              <w:t>178.2</w:t>
            </w:r>
          </w:p>
        </w:tc>
        <w:tc>
          <w:tcPr>
            <w:tcW w:w="1284" w:type="dxa"/>
          </w:tcPr>
          <w:p w:rsidR="00274914" w:rsidRPr="002F17B5" w:rsidRDefault="00274914" w:rsidP="008E1C37">
            <w:pPr>
              <w:spacing w:after="60"/>
              <w:jc w:val="right"/>
            </w:pPr>
            <w:r w:rsidRPr="002F17B5">
              <w:t>151.5</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274914" w:rsidRPr="002F17B5" w:rsidRDefault="00274914" w:rsidP="008E1C37">
            <w:pPr>
              <w:spacing w:after="60"/>
              <w:jc w:val="left"/>
            </w:pPr>
            <w:r w:rsidRPr="002F17B5">
              <w:t xml:space="preserve">Alternatives </w:t>
            </w:r>
          </w:p>
        </w:tc>
        <w:tc>
          <w:tcPr>
            <w:tcW w:w="1701" w:type="dxa"/>
          </w:tcPr>
          <w:p w:rsidR="00274914" w:rsidRPr="002F17B5" w:rsidRDefault="00274914" w:rsidP="008E1C37">
            <w:pPr>
              <w:spacing w:after="60"/>
              <w:ind w:hanging="108"/>
              <w:jc w:val="right"/>
            </w:pPr>
            <w:r w:rsidRPr="002F17B5">
              <w:t>1,601.2</w:t>
            </w:r>
          </w:p>
        </w:tc>
        <w:tc>
          <w:tcPr>
            <w:tcW w:w="1559" w:type="dxa"/>
          </w:tcPr>
          <w:p w:rsidR="00274914" w:rsidRPr="002F17B5" w:rsidRDefault="00274914" w:rsidP="008E1C37">
            <w:pPr>
              <w:spacing w:after="60"/>
              <w:jc w:val="right"/>
            </w:pPr>
            <w:r w:rsidRPr="002F17B5">
              <w:t>3.6%</w:t>
            </w:r>
          </w:p>
        </w:tc>
        <w:tc>
          <w:tcPr>
            <w:tcW w:w="1268" w:type="dxa"/>
          </w:tcPr>
          <w:p w:rsidR="00274914" w:rsidRPr="002F17B5" w:rsidRDefault="00274914" w:rsidP="008E1C37">
            <w:pPr>
              <w:spacing w:after="60"/>
              <w:jc w:val="right"/>
            </w:pPr>
            <w:r w:rsidRPr="002F17B5">
              <w:t>1,658.8</w:t>
            </w:r>
          </w:p>
        </w:tc>
        <w:tc>
          <w:tcPr>
            <w:tcW w:w="1284" w:type="dxa"/>
          </w:tcPr>
          <w:p w:rsidR="00274914" w:rsidRPr="002F17B5" w:rsidRDefault="00274914" w:rsidP="008E1C37">
            <w:pPr>
              <w:spacing w:after="60"/>
              <w:jc w:val="right"/>
            </w:pPr>
            <w:r w:rsidRPr="002F17B5">
              <w:t>1,543.6</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4" w:type="dxa"/>
          </w:tcPr>
          <w:p w:rsidR="00274914" w:rsidRPr="002F17B5" w:rsidRDefault="00274914" w:rsidP="008E1C37">
            <w:pPr>
              <w:spacing w:after="60"/>
              <w:jc w:val="left"/>
            </w:pPr>
            <w:r w:rsidRPr="002F17B5">
              <w:t>Property</w:t>
            </w:r>
          </w:p>
        </w:tc>
        <w:tc>
          <w:tcPr>
            <w:tcW w:w="1701" w:type="dxa"/>
          </w:tcPr>
          <w:p w:rsidR="00274914" w:rsidRPr="002F17B5" w:rsidRDefault="00274914" w:rsidP="008E1C37">
            <w:pPr>
              <w:spacing w:after="60"/>
              <w:ind w:hanging="108"/>
              <w:jc w:val="right"/>
            </w:pPr>
            <w:r w:rsidRPr="002F17B5">
              <w:t>434.9</w:t>
            </w:r>
          </w:p>
        </w:tc>
        <w:tc>
          <w:tcPr>
            <w:tcW w:w="1559" w:type="dxa"/>
          </w:tcPr>
          <w:p w:rsidR="00274914" w:rsidRPr="002F17B5" w:rsidRDefault="00274914" w:rsidP="008E1C37">
            <w:pPr>
              <w:spacing w:after="60"/>
              <w:jc w:val="right"/>
            </w:pPr>
            <w:r w:rsidRPr="002F17B5">
              <w:t>1.8%</w:t>
            </w:r>
          </w:p>
        </w:tc>
        <w:tc>
          <w:tcPr>
            <w:tcW w:w="1268" w:type="dxa"/>
          </w:tcPr>
          <w:p w:rsidR="00274914" w:rsidRPr="002F17B5" w:rsidRDefault="00274914" w:rsidP="008E1C37">
            <w:pPr>
              <w:spacing w:after="60"/>
              <w:jc w:val="right"/>
            </w:pPr>
            <w:r w:rsidRPr="002F17B5">
              <w:t>442.7</w:t>
            </w:r>
          </w:p>
        </w:tc>
        <w:tc>
          <w:tcPr>
            <w:tcW w:w="1284" w:type="dxa"/>
          </w:tcPr>
          <w:p w:rsidR="00274914" w:rsidRPr="002F17B5" w:rsidRDefault="00274914" w:rsidP="008E1C37">
            <w:pPr>
              <w:spacing w:after="60"/>
              <w:jc w:val="right"/>
            </w:pPr>
            <w:r w:rsidRPr="002F17B5">
              <w:t>427.1</w:t>
            </w:r>
          </w:p>
        </w:tc>
      </w:tr>
      <w:tr w:rsidR="00274914" w:rsidRPr="002F17B5" w:rsidTr="00D371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trPr>
        <w:tc>
          <w:tcPr>
            <w:tcW w:w="4394" w:type="dxa"/>
          </w:tcPr>
          <w:p w:rsidR="00274914" w:rsidRPr="002F17B5" w:rsidRDefault="00274914" w:rsidP="008E1C37">
            <w:pPr>
              <w:spacing w:after="60"/>
              <w:jc w:val="left"/>
              <w:rPr>
                <w:b/>
              </w:rPr>
            </w:pPr>
            <w:r w:rsidRPr="002F17B5">
              <w:rPr>
                <w:b/>
              </w:rPr>
              <w:t xml:space="preserve">Total asset available to pay benefits </w:t>
            </w:r>
          </w:p>
        </w:tc>
        <w:tc>
          <w:tcPr>
            <w:tcW w:w="1701" w:type="dxa"/>
          </w:tcPr>
          <w:p w:rsidR="00274914" w:rsidRPr="002F17B5" w:rsidRDefault="00274914" w:rsidP="00552962">
            <w:pPr>
              <w:spacing w:after="60"/>
              <w:ind w:hanging="108"/>
              <w:jc w:val="right"/>
              <w:rPr>
                <w:b/>
              </w:rPr>
            </w:pPr>
            <w:r w:rsidRPr="002F17B5">
              <w:rPr>
                <w:b/>
              </w:rPr>
              <w:t>4,</w:t>
            </w:r>
            <w:r w:rsidR="00552962">
              <w:rPr>
                <w:b/>
              </w:rPr>
              <w:t>793.9</w:t>
            </w:r>
          </w:p>
        </w:tc>
        <w:tc>
          <w:tcPr>
            <w:tcW w:w="1559" w:type="dxa"/>
          </w:tcPr>
          <w:p w:rsidR="00274914" w:rsidRPr="002F17B5" w:rsidRDefault="00274914" w:rsidP="008E1C37">
            <w:pPr>
              <w:spacing w:after="60"/>
              <w:rPr>
                <w:b/>
              </w:rPr>
            </w:pPr>
          </w:p>
        </w:tc>
        <w:tc>
          <w:tcPr>
            <w:tcW w:w="1268" w:type="dxa"/>
          </w:tcPr>
          <w:p w:rsidR="00274914" w:rsidRPr="002F17B5" w:rsidRDefault="00274914" w:rsidP="00552962">
            <w:pPr>
              <w:spacing w:after="60"/>
              <w:jc w:val="right"/>
              <w:rPr>
                <w:b/>
              </w:rPr>
            </w:pPr>
            <w:r w:rsidRPr="002F17B5">
              <w:rPr>
                <w:b/>
              </w:rPr>
              <w:t>5,</w:t>
            </w:r>
            <w:r w:rsidR="00552962">
              <w:rPr>
                <w:b/>
              </w:rPr>
              <w:t>148.5</w:t>
            </w:r>
          </w:p>
        </w:tc>
        <w:tc>
          <w:tcPr>
            <w:tcW w:w="1284" w:type="dxa"/>
          </w:tcPr>
          <w:p w:rsidR="00274914" w:rsidRPr="002F17B5" w:rsidRDefault="00552962" w:rsidP="008E1C37">
            <w:pPr>
              <w:spacing w:after="60"/>
              <w:jc w:val="right"/>
              <w:rPr>
                <w:b/>
              </w:rPr>
            </w:pPr>
            <w:r>
              <w:rPr>
                <w:b/>
              </w:rPr>
              <w:t>4,439.2</w:t>
            </w:r>
          </w:p>
          <w:p w:rsidR="00274914" w:rsidRPr="002F17B5" w:rsidRDefault="00274914" w:rsidP="008E1C37">
            <w:pPr>
              <w:spacing w:after="60"/>
              <w:jc w:val="right"/>
              <w:rPr>
                <w:b/>
              </w:rPr>
            </w:pPr>
          </w:p>
        </w:tc>
      </w:tr>
    </w:tbl>
    <w:p w:rsidR="00274914" w:rsidRPr="002F17B5" w:rsidRDefault="00274914" w:rsidP="00274914">
      <w:pPr>
        <w:ind w:firstLine="709"/>
        <w:rPr>
          <w:b/>
          <w:sz w:val="8"/>
        </w:rPr>
      </w:pPr>
    </w:p>
    <w:p w:rsidR="00D371C1" w:rsidRPr="002F17B5" w:rsidRDefault="00D371C1" w:rsidP="00274914">
      <w:pPr>
        <w:ind w:firstLine="709"/>
        <w:rPr>
          <w:b/>
        </w:rPr>
      </w:pPr>
    </w:p>
    <w:p w:rsidR="00274914" w:rsidRPr="002F17B5" w:rsidRDefault="00274914" w:rsidP="00274914">
      <w:pPr>
        <w:ind w:firstLine="709"/>
        <w:rPr>
          <w:b/>
        </w:rPr>
      </w:pPr>
      <w:r w:rsidRPr="002F17B5">
        <w:rPr>
          <w:b/>
        </w:rPr>
        <w:t xml:space="preserve">Interest Rate Risk </w:t>
      </w:r>
    </w:p>
    <w:p w:rsidR="00274914" w:rsidRPr="002F17B5" w:rsidRDefault="00274914" w:rsidP="00274914">
      <w:pPr>
        <w:ind w:left="720"/>
        <w:rPr>
          <w:b/>
          <w:sz w:val="12"/>
        </w:rPr>
      </w:pPr>
    </w:p>
    <w:p w:rsidR="00274914" w:rsidRPr="002F17B5" w:rsidRDefault="00274914" w:rsidP="00274914">
      <w:pPr>
        <w:ind w:left="720"/>
      </w:pPr>
      <w:r w:rsidRPr="002F17B5">
        <w:t xml:space="preserve">The Fund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  </w:t>
      </w:r>
    </w:p>
    <w:p w:rsidR="00274914" w:rsidRPr="002F17B5" w:rsidRDefault="00274914" w:rsidP="00274914">
      <w:pPr>
        <w:ind w:left="720"/>
        <w:rPr>
          <w:sz w:val="10"/>
        </w:rPr>
      </w:pPr>
    </w:p>
    <w:p w:rsidR="00274914" w:rsidRPr="002F17B5" w:rsidRDefault="00274914" w:rsidP="00274914">
      <w:pPr>
        <w:ind w:left="720"/>
      </w:pPr>
      <w:r w:rsidRPr="002F17B5">
        <w:t xml:space="preserve">The Fund's interest rate risk is routinely monitored by the Investment Panel and its investment advisors.  The Fund's direct exposure to interest rate movements as at 31 March 2014 and 31 March 2013 is set out below.  These disclosures present interest rate risk based on the underlying financial assets at fair value.    </w:t>
      </w:r>
    </w:p>
    <w:p w:rsidR="00274914" w:rsidRPr="002F17B5" w:rsidRDefault="00274914" w:rsidP="00274914">
      <w:pPr>
        <w:ind w:left="720"/>
      </w:pPr>
      <w:r w:rsidRPr="002F17B5">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1691"/>
        <w:gridCol w:w="2551"/>
      </w:tblGrid>
      <w:tr w:rsidR="00274914" w:rsidRPr="002F17B5" w:rsidTr="00EC724B">
        <w:trPr>
          <w:trHeight w:val="407"/>
        </w:trPr>
        <w:tc>
          <w:tcPr>
            <w:tcW w:w="4785" w:type="dxa"/>
          </w:tcPr>
          <w:p w:rsidR="00274914" w:rsidRPr="002F17B5" w:rsidRDefault="00274914" w:rsidP="008E1C37">
            <w:pPr>
              <w:spacing w:after="60"/>
              <w:rPr>
                <w:b/>
              </w:rPr>
            </w:pPr>
            <w:r w:rsidRPr="002F17B5">
              <w:rPr>
                <w:b/>
              </w:rPr>
              <w:t xml:space="preserve">Asset Type </w:t>
            </w:r>
          </w:p>
        </w:tc>
        <w:tc>
          <w:tcPr>
            <w:tcW w:w="1691" w:type="dxa"/>
          </w:tcPr>
          <w:p w:rsidR="00274914" w:rsidRPr="002F17B5" w:rsidRDefault="00BD5FF0" w:rsidP="008E1C37">
            <w:pPr>
              <w:spacing w:after="60"/>
              <w:jc w:val="right"/>
              <w:rPr>
                <w:b/>
              </w:rPr>
            </w:pPr>
            <w:r w:rsidRPr="002F17B5">
              <w:rPr>
                <w:b/>
              </w:rPr>
              <w:t>31/03/14</w:t>
            </w:r>
          </w:p>
        </w:tc>
        <w:tc>
          <w:tcPr>
            <w:tcW w:w="2551" w:type="dxa"/>
          </w:tcPr>
          <w:p w:rsidR="00274914" w:rsidRPr="002F17B5" w:rsidRDefault="00BD5FF0" w:rsidP="008E1C37">
            <w:pPr>
              <w:spacing w:after="60"/>
              <w:ind w:right="397"/>
              <w:jc w:val="right"/>
              <w:rPr>
                <w:b/>
              </w:rPr>
            </w:pPr>
            <w:r w:rsidRPr="002F17B5">
              <w:rPr>
                <w:b/>
              </w:rPr>
              <w:t>31/03/13</w:t>
            </w:r>
          </w:p>
        </w:tc>
      </w:tr>
      <w:tr w:rsidR="00274914" w:rsidRPr="002F17B5" w:rsidTr="00EC724B">
        <w:trPr>
          <w:trHeight w:val="393"/>
        </w:trPr>
        <w:tc>
          <w:tcPr>
            <w:tcW w:w="4785" w:type="dxa"/>
          </w:tcPr>
          <w:p w:rsidR="00274914" w:rsidRPr="002F17B5" w:rsidRDefault="00274914" w:rsidP="008E1C37">
            <w:pPr>
              <w:spacing w:after="60"/>
              <w:rPr>
                <w:b/>
              </w:rPr>
            </w:pPr>
          </w:p>
        </w:tc>
        <w:tc>
          <w:tcPr>
            <w:tcW w:w="1691" w:type="dxa"/>
          </w:tcPr>
          <w:p w:rsidR="00274914" w:rsidRPr="002F17B5" w:rsidRDefault="00274914" w:rsidP="008E1C37">
            <w:pPr>
              <w:spacing w:after="60"/>
              <w:jc w:val="right"/>
              <w:rPr>
                <w:b/>
              </w:rPr>
            </w:pPr>
            <w:r w:rsidRPr="002F17B5">
              <w:rPr>
                <w:b/>
              </w:rPr>
              <w:t>£m</w:t>
            </w:r>
          </w:p>
        </w:tc>
        <w:tc>
          <w:tcPr>
            <w:tcW w:w="2551" w:type="dxa"/>
          </w:tcPr>
          <w:p w:rsidR="00274914" w:rsidRPr="002F17B5" w:rsidRDefault="00274914" w:rsidP="008E1C37">
            <w:pPr>
              <w:spacing w:after="60"/>
              <w:ind w:right="397"/>
              <w:jc w:val="right"/>
              <w:rPr>
                <w:b/>
              </w:rPr>
            </w:pPr>
            <w:r w:rsidRPr="002F17B5">
              <w:rPr>
                <w:b/>
              </w:rPr>
              <w:t>£m</w:t>
            </w:r>
          </w:p>
        </w:tc>
      </w:tr>
      <w:tr w:rsidR="00274914" w:rsidRPr="002F17B5" w:rsidTr="00EC724B">
        <w:trPr>
          <w:trHeight w:val="407"/>
        </w:trPr>
        <w:tc>
          <w:tcPr>
            <w:tcW w:w="4785" w:type="dxa"/>
          </w:tcPr>
          <w:p w:rsidR="00274914" w:rsidRPr="002F17B5" w:rsidRDefault="00274914" w:rsidP="008E1C37">
            <w:pPr>
              <w:spacing w:after="60"/>
            </w:pPr>
            <w:r w:rsidRPr="002F17B5">
              <w:t>Cash and cash equivalents</w:t>
            </w:r>
          </w:p>
        </w:tc>
        <w:tc>
          <w:tcPr>
            <w:tcW w:w="1691" w:type="dxa"/>
          </w:tcPr>
          <w:p w:rsidR="00274914" w:rsidRPr="002F17B5" w:rsidRDefault="00274914" w:rsidP="008E1C37">
            <w:pPr>
              <w:spacing w:after="60"/>
              <w:jc w:val="right"/>
            </w:pPr>
            <w:r w:rsidRPr="002F17B5">
              <w:t>315.5</w:t>
            </w:r>
          </w:p>
        </w:tc>
        <w:tc>
          <w:tcPr>
            <w:tcW w:w="2551" w:type="dxa"/>
          </w:tcPr>
          <w:p w:rsidR="00274914" w:rsidRPr="002F17B5" w:rsidRDefault="00274914" w:rsidP="008E1C37">
            <w:pPr>
              <w:spacing w:after="60"/>
              <w:ind w:right="397"/>
              <w:jc w:val="right"/>
            </w:pPr>
            <w:r w:rsidRPr="002F17B5">
              <w:t>170.5</w:t>
            </w:r>
          </w:p>
        </w:tc>
      </w:tr>
      <w:tr w:rsidR="00274914" w:rsidRPr="002F17B5" w:rsidTr="00EC724B">
        <w:trPr>
          <w:trHeight w:val="407"/>
        </w:trPr>
        <w:tc>
          <w:tcPr>
            <w:tcW w:w="4785" w:type="dxa"/>
          </w:tcPr>
          <w:p w:rsidR="00274914" w:rsidRPr="002F17B5" w:rsidRDefault="00274914" w:rsidP="008E1C37">
            <w:pPr>
              <w:spacing w:after="60"/>
            </w:pPr>
            <w:r w:rsidRPr="002F17B5">
              <w:t xml:space="preserve">Fixed interest securities </w:t>
            </w:r>
          </w:p>
        </w:tc>
        <w:tc>
          <w:tcPr>
            <w:tcW w:w="1691" w:type="dxa"/>
          </w:tcPr>
          <w:p w:rsidR="00274914" w:rsidRPr="002F17B5" w:rsidRDefault="00274914" w:rsidP="008E1C37">
            <w:pPr>
              <w:spacing w:after="60"/>
              <w:jc w:val="right"/>
            </w:pPr>
            <w:r w:rsidRPr="002F17B5">
              <w:t>1,250.3</w:t>
            </w:r>
          </w:p>
        </w:tc>
        <w:tc>
          <w:tcPr>
            <w:tcW w:w="2551" w:type="dxa"/>
          </w:tcPr>
          <w:p w:rsidR="00274914" w:rsidRPr="002F17B5" w:rsidRDefault="00274914" w:rsidP="008E1C37">
            <w:pPr>
              <w:spacing w:after="60"/>
              <w:ind w:right="397"/>
              <w:jc w:val="right"/>
            </w:pPr>
            <w:r w:rsidRPr="002F17B5">
              <w:t>1,255.5</w:t>
            </w:r>
          </w:p>
        </w:tc>
      </w:tr>
      <w:tr w:rsidR="00274914" w:rsidRPr="002F17B5" w:rsidTr="00EC724B">
        <w:trPr>
          <w:trHeight w:val="407"/>
        </w:trPr>
        <w:tc>
          <w:tcPr>
            <w:tcW w:w="4785" w:type="dxa"/>
          </w:tcPr>
          <w:p w:rsidR="00274914" w:rsidRPr="002F17B5" w:rsidRDefault="00274914" w:rsidP="008E1C37">
            <w:pPr>
              <w:spacing w:after="60"/>
              <w:rPr>
                <w:b/>
              </w:rPr>
            </w:pPr>
            <w:r w:rsidRPr="002F17B5">
              <w:rPr>
                <w:b/>
              </w:rPr>
              <w:t xml:space="preserve">Total </w:t>
            </w:r>
          </w:p>
        </w:tc>
        <w:tc>
          <w:tcPr>
            <w:tcW w:w="1691" w:type="dxa"/>
          </w:tcPr>
          <w:p w:rsidR="00274914" w:rsidRPr="002F17B5" w:rsidRDefault="00274914" w:rsidP="008E1C37">
            <w:pPr>
              <w:spacing w:after="60"/>
              <w:jc w:val="right"/>
              <w:rPr>
                <w:b/>
              </w:rPr>
            </w:pPr>
            <w:r w:rsidRPr="002F17B5">
              <w:rPr>
                <w:b/>
              </w:rPr>
              <w:t>1,565.8</w:t>
            </w:r>
          </w:p>
        </w:tc>
        <w:tc>
          <w:tcPr>
            <w:tcW w:w="2551" w:type="dxa"/>
          </w:tcPr>
          <w:p w:rsidR="00274914" w:rsidRPr="002F17B5" w:rsidRDefault="00274914" w:rsidP="008E1C37">
            <w:pPr>
              <w:spacing w:after="60"/>
              <w:ind w:right="397"/>
              <w:jc w:val="right"/>
              <w:rPr>
                <w:b/>
              </w:rPr>
            </w:pPr>
            <w:r w:rsidRPr="002F17B5">
              <w:rPr>
                <w:b/>
              </w:rPr>
              <w:t>1,426.0</w:t>
            </w:r>
          </w:p>
        </w:tc>
      </w:tr>
    </w:tbl>
    <w:p w:rsidR="00274914" w:rsidRPr="002F17B5" w:rsidRDefault="00274914" w:rsidP="008E1C37">
      <w:pPr>
        <w:spacing w:after="60"/>
        <w:ind w:left="720"/>
        <w:rPr>
          <w:b/>
          <w:sz w:val="18"/>
        </w:rPr>
      </w:pPr>
    </w:p>
    <w:p w:rsidR="00274914" w:rsidRPr="002F17B5" w:rsidRDefault="00274914" w:rsidP="00274914">
      <w:pPr>
        <w:ind w:left="720"/>
        <w:rPr>
          <w:b/>
        </w:rPr>
      </w:pPr>
    </w:p>
    <w:p w:rsidR="00274914" w:rsidRPr="002F17B5" w:rsidRDefault="00274914" w:rsidP="00274914">
      <w:pPr>
        <w:ind w:left="720"/>
        <w:rPr>
          <w:b/>
        </w:rPr>
      </w:pPr>
      <w:r w:rsidRPr="002F17B5">
        <w:rPr>
          <w:b/>
        </w:rPr>
        <w:t xml:space="preserve">Interest rate risk sensitivity analysis </w:t>
      </w:r>
    </w:p>
    <w:p w:rsidR="00274914" w:rsidRPr="002F17B5" w:rsidRDefault="00274914" w:rsidP="00274914">
      <w:pPr>
        <w:ind w:left="720"/>
        <w:rPr>
          <w:b/>
          <w:sz w:val="14"/>
        </w:rPr>
      </w:pPr>
    </w:p>
    <w:p w:rsidR="008E1C37" w:rsidRPr="002F17B5" w:rsidRDefault="00274914" w:rsidP="00274914">
      <w:pPr>
        <w:ind w:left="720"/>
      </w:pPr>
      <w:r w:rsidRPr="002F17B5">
        <w:t xml:space="preserve">The Fund has recognised that interest rates can vary and can affect both income to the Fund and the value of the net assets available to pay benefits. A 110 basis point (BPS) movement in interest rates is consistent with the level of sensitivity applied as part of the Fund's risk management strategy.  The Fund's investment advisor has advised that </w:t>
      </w:r>
    </w:p>
    <w:p w:rsidR="00274914" w:rsidRPr="002F17B5" w:rsidRDefault="00274914" w:rsidP="00274914">
      <w:pPr>
        <w:ind w:left="720"/>
      </w:pPr>
      <w:r w:rsidRPr="002F17B5">
        <w:lastRenderedPageBreak/>
        <w:t xml:space="preserve">long–term average rates are expected to move less than 110 basis point for one year to the next and experience suggests that such movements are likely. </w:t>
      </w:r>
    </w:p>
    <w:p w:rsidR="00274914" w:rsidRPr="002F17B5" w:rsidRDefault="00274914" w:rsidP="00274914">
      <w:pPr>
        <w:ind w:left="720"/>
      </w:pPr>
    </w:p>
    <w:p w:rsidR="00274914" w:rsidRPr="002F17B5" w:rsidRDefault="00274914" w:rsidP="00274914">
      <w:pPr>
        <w:ind w:left="720"/>
      </w:pPr>
      <w:r w:rsidRPr="002F17B5">
        <w:t xml:space="preserve">The analysis that follows assumes that all other variables, in particular exchange rates, remain constant, and shows the effect in the year on the net assets available to pay benefits of a +/- 100 BPS change in interest rates: </w:t>
      </w:r>
    </w:p>
    <w:p w:rsidR="00274914" w:rsidRPr="002F17B5" w:rsidRDefault="00274914" w:rsidP="00274914">
      <w:pPr>
        <w:ind w:left="720"/>
      </w:pPr>
    </w:p>
    <w:tbl>
      <w:tblPr>
        <w:tblStyle w:val="TableGrid"/>
        <w:tblW w:w="10296" w:type="dxa"/>
        <w:tblInd w:w="7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24"/>
        <w:gridCol w:w="2737"/>
        <w:gridCol w:w="1799"/>
        <w:gridCol w:w="1836"/>
      </w:tblGrid>
      <w:tr w:rsidR="00274914" w:rsidRPr="002F17B5" w:rsidTr="00274914">
        <w:tc>
          <w:tcPr>
            <w:tcW w:w="3924" w:type="dxa"/>
            <w:tcBorders>
              <w:top w:val="nil"/>
              <w:bottom w:val="nil"/>
            </w:tcBorders>
          </w:tcPr>
          <w:p w:rsidR="00274914" w:rsidRPr="002F17B5" w:rsidRDefault="00274914" w:rsidP="008E1C37">
            <w:pPr>
              <w:spacing w:after="60"/>
              <w:ind w:left="-57" w:right="397"/>
              <w:rPr>
                <w:b/>
              </w:rPr>
            </w:pPr>
            <w:r w:rsidRPr="002F17B5">
              <w:rPr>
                <w:b/>
              </w:rPr>
              <w:t xml:space="preserve">Asset Type </w:t>
            </w:r>
          </w:p>
        </w:tc>
        <w:tc>
          <w:tcPr>
            <w:tcW w:w="2737" w:type="dxa"/>
            <w:tcBorders>
              <w:top w:val="nil"/>
              <w:bottom w:val="nil"/>
            </w:tcBorders>
          </w:tcPr>
          <w:p w:rsidR="00BD5FF0" w:rsidRPr="002F17B5" w:rsidRDefault="00BD5FF0" w:rsidP="008E1C37">
            <w:pPr>
              <w:spacing w:after="60"/>
              <w:ind w:left="-57" w:right="397"/>
              <w:jc w:val="right"/>
              <w:rPr>
                <w:b/>
              </w:rPr>
            </w:pPr>
          </w:p>
          <w:p w:rsidR="00274914" w:rsidRPr="002F17B5" w:rsidRDefault="00274914" w:rsidP="008E1C37">
            <w:pPr>
              <w:spacing w:after="60"/>
              <w:ind w:right="397"/>
              <w:rPr>
                <w:b/>
              </w:rPr>
            </w:pPr>
          </w:p>
        </w:tc>
        <w:tc>
          <w:tcPr>
            <w:tcW w:w="3635" w:type="dxa"/>
            <w:gridSpan w:val="2"/>
            <w:tcBorders>
              <w:top w:val="nil"/>
              <w:bottom w:val="nil"/>
            </w:tcBorders>
          </w:tcPr>
          <w:p w:rsidR="00274914" w:rsidRPr="002F17B5" w:rsidRDefault="00274914" w:rsidP="008E1C37">
            <w:pPr>
              <w:spacing w:after="60"/>
              <w:ind w:left="-57" w:right="397"/>
              <w:jc w:val="right"/>
              <w:rPr>
                <w:b/>
              </w:rPr>
            </w:pPr>
            <w:r w:rsidRPr="002F17B5">
              <w:rPr>
                <w:b/>
              </w:rPr>
              <w:t xml:space="preserve">Change in year in net assets available to pay benefits  </w:t>
            </w:r>
          </w:p>
        </w:tc>
      </w:tr>
      <w:tr w:rsidR="00274914" w:rsidRPr="002F17B5" w:rsidTr="00274914">
        <w:tc>
          <w:tcPr>
            <w:tcW w:w="3924" w:type="dxa"/>
            <w:tcBorders>
              <w:top w:val="nil"/>
              <w:bottom w:val="nil"/>
            </w:tcBorders>
          </w:tcPr>
          <w:p w:rsidR="00274914" w:rsidRPr="002F17B5" w:rsidRDefault="00274914" w:rsidP="008E1C37">
            <w:pPr>
              <w:spacing w:after="60"/>
              <w:ind w:left="-57" w:right="397"/>
              <w:rPr>
                <w:b/>
              </w:rPr>
            </w:pPr>
          </w:p>
        </w:tc>
        <w:tc>
          <w:tcPr>
            <w:tcW w:w="2737" w:type="dxa"/>
            <w:tcBorders>
              <w:top w:val="nil"/>
              <w:bottom w:val="nil"/>
            </w:tcBorders>
          </w:tcPr>
          <w:p w:rsidR="00274914" w:rsidRPr="002F17B5" w:rsidRDefault="00BD5FF0" w:rsidP="008E1C37">
            <w:pPr>
              <w:spacing w:after="60"/>
              <w:ind w:left="-57" w:right="397"/>
              <w:jc w:val="right"/>
              <w:rPr>
                <w:b/>
              </w:rPr>
            </w:pPr>
            <w:r w:rsidRPr="002F17B5">
              <w:rPr>
                <w:b/>
              </w:rPr>
              <w:t>31/03/14</w:t>
            </w:r>
          </w:p>
        </w:tc>
        <w:tc>
          <w:tcPr>
            <w:tcW w:w="1799" w:type="dxa"/>
            <w:tcBorders>
              <w:top w:val="nil"/>
              <w:bottom w:val="nil"/>
            </w:tcBorders>
          </w:tcPr>
          <w:p w:rsidR="00274914" w:rsidRPr="002F17B5" w:rsidRDefault="00274914" w:rsidP="008E1C37">
            <w:pPr>
              <w:spacing w:after="60"/>
              <w:ind w:left="-57" w:right="397"/>
              <w:jc w:val="right"/>
              <w:rPr>
                <w:b/>
              </w:rPr>
            </w:pPr>
            <w:r w:rsidRPr="002F17B5">
              <w:rPr>
                <w:b/>
              </w:rPr>
              <w:t xml:space="preserve">+100BPS  </w:t>
            </w:r>
          </w:p>
        </w:tc>
        <w:tc>
          <w:tcPr>
            <w:tcW w:w="1836" w:type="dxa"/>
            <w:tcBorders>
              <w:top w:val="nil"/>
              <w:bottom w:val="nil"/>
            </w:tcBorders>
          </w:tcPr>
          <w:p w:rsidR="00274914" w:rsidRPr="002F17B5" w:rsidRDefault="00274914" w:rsidP="008E1C37">
            <w:pPr>
              <w:spacing w:after="60"/>
              <w:ind w:left="-57" w:right="397"/>
              <w:jc w:val="right"/>
              <w:rPr>
                <w:b/>
              </w:rPr>
            </w:pPr>
            <w:r w:rsidRPr="002F17B5">
              <w:rPr>
                <w:b/>
              </w:rPr>
              <w:t xml:space="preserve">-100BPS </w:t>
            </w:r>
          </w:p>
        </w:tc>
      </w:tr>
      <w:tr w:rsidR="00274914" w:rsidRPr="002F17B5" w:rsidTr="00274914">
        <w:tc>
          <w:tcPr>
            <w:tcW w:w="3924" w:type="dxa"/>
            <w:tcBorders>
              <w:top w:val="nil"/>
              <w:bottom w:val="nil"/>
            </w:tcBorders>
          </w:tcPr>
          <w:p w:rsidR="00274914" w:rsidRPr="002F17B5" w:rsidRDefault="00274914" w:rsidP="008E1C37">
            <w:pPr>
              <w:spacing w:after="60"/>
              <w:ind w:left="-57" w:right="397"/>
              <w:rPr>
                <w:b/>
              </w:rPr>
            </w:pPr>
          </w:p>
        </w:tc>
        <w:tc>
          <w:tcPr>
            <w:tcW w:w="2737" w:type="dxa"/>
            <w:tcBorders>
              <w:top w:val="nil"/>
              <w:bottom w:val="nil"/>
            </w:tcBorders>
          </w:tcPr>
          <w:p w:rsidR="00274914" w:rsidRPr="002F17B5" w:rsidRDefault="00274914" w:rsidP="008E1C37">
            <w:pPr>
              <w:spacing w:after="60"/>
              <w:ind w:left="-57" w:right="397"/>
              <w:jc w:val="right"/>
              <w:rPr>
                <w:b/>
              </w:rPr>
            </w:pPr>
            <w:r w:rsidRPr="002F17B5">
              <w:rPr>
                <w:b/>
              </w:rPr>
              <w:t>£m</w:t>
            </w:r>
          </w:p>
        </w:tc>
        <w:tc>
          <w:tcPr>
            <w:tcW w:w="1799" w:type="dxa"/>
            <w:tcBorders>
              <w:top w:val="nil"/>
              <w:bottom w:val="nil"/>
            </w:tcBorders>
          </w:tcPr>
          <w:p w:rsidR="00274914" w:rsidRPr="002F17B5" w:rsidRDefault="00274914" w:rsidP="008E1C37">
            <w:pPr>
              <w:spacing w:after="60"/>
              <w:ind w:left="-57" w:right="397"/>
              <w:jc w:val="right"/>
              <w:rPr>
                <w:b/>
              </w:rPr>
            </w:pPr>
            <w:r w:rsidRPr="002F17B5">
              <w:rPr>
                <w:b/>
              </w:rPr>
              <w:t>£m</w:t>
            </w:r>
          </w:p>
        </w:tc>
        <w:tc>
          <w:tcPr>
            <w:tcW w:w="1836" w:type="dxa"/>
            <w:tcBorders>
              <w:top w:val="nil"/>
              <w:bottom w:val="nil"/>
            </w:tcBorders>
          </w:tcPr>
          <w:p w:rsidR="00274914" w:rsidRPr="002F17B5" w:rsidRDefault="00274914" w:rsidP="008E1C37">
            <w:pPr>
              <w:spacing w:after="60"/>
              <w:ind w:left="-57" w:right="397"/>
              <w:jc w:val="right"/>
              <w:rPr>
                <w:b/>
              </w:rPr>
            </w:pPr>
            <w:r w:rsidRPr="002F17B5">
              <w:rPr>
                <w:b/>
              </w:rPr>
              <w:t>£m</w:t>
            </w:r>
          </w:p>
        </w:tc>
      </w:tr>
      <w:tr w:rsidR="00274914" w:rsidRPr="002F17B5" w:rsidTr="00274914">
        <w:tc>
          <w:tcPr>
            <w:tcW w:w="3924" w:type="dxa"/>
            <w:tcBorders>
              <w:top w:val="nil"/>
              <w:bottom w:val="nil"/>
            </w:tcBorders>
          </w:tcPr>
          <w:p w:rsidR="00274914" w:rsidRPr="002F17B5" w:rsidRDefault="00274914" w:rsidP="008E1C37">
            <w:pPr>
              <w:spacing w:after="60"/>
              <w:ind w:left="-57" w:right="397"/>
              <w:jc w:val="left"/>
            </w:pPr>
            <w:r w:rsidRPr="002F17B5">
              <w:t xml:space="preserve">Cash and cash equivalents  </w:t>
            </w:r>
          </w:p>
        </w:tc>
        <w:tc>
          <w:tcPr>
            <w:tcW w:w="2737" w:type="dxa"/>
            <w:tcBorders>
              <w:top w:val="nil"/>
              <w:bottom w:val="nil"/>
            </w:tcBorders>
          </w:tcPr>
          <w:p w:rsidR="00274914" w:rsidRPr="002F17B5" w:rsidRDefault="00274914" w:rsidP="008E1C37">
            <w:pPr>
              <w:spacing w:after="60"/>
              <w:ind w:left="-57" w:right="397"/>
              <w:jc w:val="right"/>
            </w:pPr>
            <w:r w:rsidRPr="002F17B5">
              <w:t>315.5</w:t>
            </w:r>
          </w:p>
        </w:tc>
        <w:tc>
          <w:tcPr>
            <w:tcW w:w="1799" w:type="dxa"/>
            <w:tcBorders>
              <w:top w:val="nil"/>
              <w:bottom w:val="nil"/>
            </w:tcBorders>
          </w:tcPr>
          <w:p w:rsidR="00274914" w:rsidRPr="002F17B5" w:rsidRDefault="00274914" w:rsidP="008E1C37">
            <w:pPr>
              <w:spacing w:after="60"/>
              <w:ind w:left="-57" w:right="397"/>
              <w:jc w:val="right"/>
            </w:pPr>
            <w:r w:rsidRPr="002F17B5">
              <w:t>3.1</w:t>
            </w:r>
          </w:p>
        </w:tc>
        <w:tc>
          <w:tcPr>
            <w:tcW w:w="1836" w:type="dxa"/>
            <w:tcBorders>
              <w:top w:val="nil"/>
              <w:bottom w:val="nil"/>
            </w:tcBorders>
          </w:tcPr>
          <w:p w:rsidR="00274914" w:rsidRPr="002F17B5" w:rsidRDefault="00274914" w:rsidP="008E1C37">
            <w:pPr>
              <w:spacing w:after="60"/>
              <w:ind w:left="-57" w:right="397"/>
              <w:jc w:val="right"/>
            </w:pPr>
            <w:r w:rsidRPr="002F17B5">
              <w:t>(3.1)</w:t>
            </w:r>
          </w:p>
        </w:tc>
      </w:tr>
      <w:tr w:rsidR="00274914" w:rsidRPr="002F17B5" w:rsidTr="00274914">
        <w:tc>
          <w:tcPr>
            <w:tcW w:w="3924" w:type="dxa"/>
            <w:tcBorders>
              <w:top w:val="nil"/>
              <w:bottom w:val="nil"/>
            </w:tcBorders>
          </w:tcPr>
          <w:p w:rsidR="00274914" w:rsidRPr="002F17B5" w:rsidRDefault="00274914" w:rsidP="008E1C37">
            <w:pPr>
              <w:spacing w:after="60"/>
              <w:ind w:left="-57" w:right="397"/>
              <w:jc w:val="left"/>
            </w:pPr>
            <w:r w:rsidRPr="002F17B5">
              <w:t xml:space="preserve">Fixed interest securities </w:t>
            </w:r>
          </w:p>
        </w:tc>
        <w:tc>
          <w:tcPr>
            <w:tcW w:w="2737" w:type="dxa"/>
            <w:tcBorders>
              <w:top w:val="nil"/>
              <w:bottom w:val="nil"/>
            </w:tcBorders>
          </w:tcPr>
          <w:p w:rsidR="00274914" w:rsidRPr="002F17B5" w:rsidRDefault="00274914" w:rsidP="008E1C37">
            <w:pPr>
              <w:spacing w:after="60"/>
              <w:ind w:left="-57" w:right="397"/>
              <w:jc w:val="right"/>
            </w:pPr>
            <w:r w:rsidRPr="002F17B5">
              <w:t>1,250.3</w:t>
            </w:r>
          </w:p>
        </w:tc>
        <w:tc>
          <w:tcPr>
            <w:tcW w:w="1799" w:type="dxa"/>
            <w:tcBorders>
              <w:top w:val="nil"/>
              <w:bottom w:val="nil"/>
            </w:tcBorders>
          </w:tcPr>
          <w:p w:rsidR="00274914" w:rsidRPr="002F17B5" w:rsidRDefault="00274914" w:rsidP="008E1C37">
            <w:pPr>
              <w:spacing w:after="60"/>
              <w:ind w:left="-57" w:right="397"/>
              <w:jc w:val="right"/>
            </w:pPr>
            <w:r w:rsidRPr="002F17B5">
              <w:t>12.5</w:t>
            </w:r>
          </w:p>
        </w:tc>
        <w:tc>
          <w:tcPr>
            <w:tcW w:w="1836" w:type="dxa"/>
            <w:tcBorders>
              <w:top w:val="nil"/>
              <w:bottom w:val="nil"/>
            </w:tcBorders>
          </w:tcPr>
          <w:p w:rsidR="00274914" w:rsidRPr="002F17B5" w:rsidRDefault="00274914" w:rsidP="008E1C37">
            <w:pPr>
              <w:spacing w:after="60"/>
              <w:ind w:left="-57" w:right="397"/>
              <w:jc w:val="right"/>
            </w:pPr>
            <w:r w:rsidRPr="002F17B5">
              <w:t>(12.5)</w:t>
            </w:r>
          </w:p>
        </w:tc>
      </w:tr>
      <w:tr w:rsidR="00274914" w:rsidRPr="002F17B5" w:rsidTr="00274914">
        <w:tc>
          <w:tcPr>
            <w:tcW w:w="3924" w:type="dxa"/>
            <w:tcBorders>
              <w:top w:val="nil"/>
              <w:bottom w:val="nil"/>
            </w:tcBorders>
          </w:tcPr>
          <w:p w:rsidR="00274914" w:rsidRPr="002F17B5" w:rsidRDefault="00274914" w:rsidP="008E1C37">
            <w:pPr>
              <w:spacing w:after="60"/>
              <w:ind w:left="-57" w:right="397"/>
              <w:jc w:val="left"/>
              <w:rPr>
                <w:b/>
              </w:rPr>
            </w:pPr>
            <w:r w:rsidRPr="002F17B5">
              <w:rPr>
                <w:b/>
              </w:rPr>
              <w:t xml:space="preserve">Total change in asset available </w:t>
            </w:r>
          </w:p>
        </w:tc>
        <w:tc>
          <w:tcPr>
            <w:tcW w:w="2737" w:type="dxa"/>
            <w:tcBorders>
              <w:top w:val="nil"/>
              <w:bottom w:val="nil"/>
            </w:tcBorders>
          </w:tcPr>
          <w:p w:rsidR="00274914" w:rsidRPr="002F17B5" w:rsidRDefault="00274914" w:rsidP="008E1C37">
            <w:pPr>
              <w:spacing w:after="60"/>
              <w:ind w:left="-57" w:right="397"/>
              <w:jc w:val="right"/>
              <w:rPr>
                <w:b/>
              </w:rPr>
            </w:pPr>
            <w:r w:rsidRPr="002F17B5">
              <w:rPr>
                <w:b/>
              </w:rPr>
              <w:t>1,565.8</w:t>
            </w:r>
          </w:p>
        </w:tc>
        <w:tc>
          <w:tcPr>
            <w:tcW w:w="1799" w:type="dxa"/>
            <w:tcBorders>
              <w:top w:val="nil"/>
              <w:bottom w:val="nil"/>
            </w:tcBorders>
          </w:tcPr>
          <w:p w:rsidR="00274914" w:rsidRPr="002F17B5" w:rsidRDefault="00274914" w:rsidP="008E1C37">
            <w:pPr>
              <w:spacing w:after="60"/>
              <w:ind w:left="-57" w:right="397"/>
              <w:jc w:val="right"/>
              <w:rPr>
                <w:b/>
              </w:rPr>
            </w:pPr>
            <w:r w:rsidRPr="002F17B5">
              <w:rPr>
                <w:b/>
              </w:rPr>
              <w:t>15.6</w:t>
            </w:r>
          </w:p>
        </w:tc>
        <w:tc>
          <w:tcPr>
            <w:tcW w:w="1836" w:type="dxa"/>
            <w:tcBorders>
              <w:top w:val="nil"/>
              <w:bottom w:val="nil"/>
            </w:tcBorders>
          </w:tcPr>
          <w:p w:rsidR="00274914" w:rsidRPr="002F17B5" w:rsidRDefault="00274914" w:rsidP="008E1C37">
            <w:pPr>
              <w:spacing w:after="60"/>
              <w:ind w:left="-57" w:right="397"/>
              <w:jc w:val="right"/>
              <w:rPr>
                <w:b/>
              </w:rPr>
            </w:pPr>
            <w:r w:rsidRPr="002F17B5">
              <w:rPr>
                <w:b/>
              </w:rPr>
              <w:t>(15.6)</w:t>
            </w:r>
          </w:p>
        </w:tc>
      </w:tr>
    </w:tbl>
    <w:p w:rsidR="00274914" w:rsidRPr="002F17B5" w:rsidRDefault="00274914" w:rsidP="00274914">
      <w:pPr>
        <w:ind w:left="720"/>
      </w:pPr>
    </w:p>
    <w:p w:rsidR="00274914" w:rsidRPr="006977BB" w:rsidRDefault="00274914" w:rsidP="00274914">
      <w:pPr>
        <w:ind w:left="720"/>
        <w:rPr>
          <w:sz w:val="14"/>
        </w:rPr>
      </w:pPr>
    </w:p>
    <w:tbl>
      <w:tblPr>
        <w:tblStyle w:val="TableGrid"/>
        <w:tblW w:w="1016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1"/>
        <w:gridCol w:w="283"/>
        <w:gridCol w:w="2552"/>
        <w:gridCol w:w="1843"/>
        <w:gridCol w:w="1842"/>
      </w:tblGrid>
      <w:tr w:rsidR="00274914" w:rsidRPr="002F17B5" w:rsidTr="004F533E">
        <w:tc>
          <w:tcPr>
            <w:tcW w:w="3924" w:type="dxa"/>
            <w:gridSpan w:val="2"/>
          </w:tcPr>
          <w:p w:rsidR="00274914" w:rsidRPr="002F17B5" w:rsidRDefault="00274914" w:rsidP="008E1C37">
            <w:pPr>
              <w:spacing w:after="60"/>
              <w:ind w:right="227"/>
              <w:rPr>
                <w:b/>
              </w:rPr>
            </w:pPr>
            <w:r w:rsidRPr="002F17B5">
              <w:t xml:space="preserve">  </w:t>
            </w:r>
            <w:r w:rsidRPr="002F17B5">
              <w:rPr>
                <w:b/>
              </w:rPr>
              <w:t xml:space="preserve">Asset Type </w:t>
            </w:r>
          </w:p>
        </w:tc>
        <w:tc>
          <w:tcPr>
            <w:tcW w:w="2552" w:type="dxa"/>
          </w:tcPr>
          <w:p w:rsidR="00BD5FF0" w:rsidRPr="002F17B5" w:rsidRDefault="00BD5FF0" w:rsidP="008E1C37">
            <w:pPr>
              <w:spacing w:after="60"/>
              <w:ind w:right="227"/>
              <w:jc w:val="right"/>
              <w:rPr>
                <w:b/>
              </w:rPr>
            </w:pPr>
          </w:p>
          <w:p w:rsidR="00274914" w:rsidRPr="002F17B5" w:rsidRDefault="00274914" w:rsidP="008E1C37">
            <w:pPr>
              <w:spacing w:after="60"/>
              <w:ind w:right="227"/>
              <w:jc w:val="right"/>
              <w:rPr>
                <w:b/>
              </w:rPr>
            </w:pPr>
          </w:p>
        </w:tc>
        <w:tc>
          <w:tcPr>
            <w:tcW w:w="3685" w:type="dxa"/>
            <w:gridSpan w:val="2"/>
          </w:tcPr>
          <w:p w:rsidR="00274914" w:rsidRPr="002F17B5" w:rsidRDefault="00274914" w:rsidP="008E1C37">
            <w:pPr>
              <w:spacing w:after="60"/>
              <w:ind w:right="227"/>
              <w:jc w:val="right"/>
              <w:rPr>
                <w:b/>
              </w:rPr>
            </w:pPr>
            <w:r w:rsidRPr="002F17B5">
              <w:rPr>
                <w:b/>
              </w:rPr>
              <w:t xml:space="preserve">Change in year in net assets available to pay benefits  </w:t>
            </w:r>
          </w:p>
        </w:tc>
      </w:tr>
      <w:tr w:rsidR="00274914" w:rsidRPr="002F17B5" w:rsidTr="004F533E">
        <w:tc>
          <w:tcPr>
            <w:tcW w:w="3641" w:type="dxa"/>
          </w:tcPr>
          <w:p w:rsidR="00274914" w:rsidRPr="002F17B5" w:rsidRDefault="00274914" w:rsidP="008E1C37">
            <w:pPr>
              <w:spacing w:after="60"/>
              <w:ind w:right="227"/>
              <w:jc w:val="left"/>
              <w:rPr>
                <w:b/>
              </w:rPr>
            </w:pPr>
          </w:p>
        </w:tc>
        <w:tc>
          <w:tcPr>
            <w:tcW w:w="2835" w:type="dxa"/>
            <w:gridSpan w:val="2"/>
          </w:tcPr>
          <w:p w:rsidR="00274914" w:rsidRPr="002F17B5" w:rsidRDefault="00BD5FF0" w:rsidP="008E1C37">
            <w:pPr>
              <w:spacing w:after="60"/>
              <w:ind w:right="227"/>
              <w:jc w:val="right"/>
              <w:rPr>
                <w:b/>
              </w:rPr>
            </w:pPr>
            <w:r w:rsidRPr="002F17B5">
              <w:rPr>
                <w:b/>
              </w:rPr>
              <w:t>31/03/13</w:t>
            </w:r>
          </w:p>
        </w:tc>
        <w:tc>
          <w:tcPr>
            <w:tcW w:w="1843" w:type="dxa"/>
          </w:tcPr>
          <w:p w:rsidR="00274914" w:rsidRPr="002F17B5" w:rsidRDefault="00274914" w:rsidP="008E1C37">
            <w:pPr>
              <w:spacing w:after="60"/>
              <w:ind w:right="227"/>
              <w:jc w:val="right"/>
              <w:rPr>
                <w:b/>
              </w:rPr>
            </w:pPr>
            <w:r w:rsidRPr="002F17B5">
              <w:rPr>
                <w:b/>
              </w:rPr>
              <w:t xml:space="preserve">+100BPS  </w:t>
            </w:r>
          </w:p>
        </w:tc>
        <w:tc>
          <w:tcPr>
            <w:tcW w:w="1842" w:type="dxa"/>
          </w:tcPr>
          <w:p w:rsidR="00274914" w:rsidRPr="002F17B5" w:rsidRDefault="00274914" w:rsidP="008E1C37">
            <w:pPr>
              <w:spacing w:after="60"/>
              <w:ind w:right="227"/>
              <w:jc w:val="right"/>
              <w:rPr>
                <w:b/>
              </w:rPr>
            </w:pPr>
            <w:r w:rsidRPr="002F17B5">
              <w:rPr>
                <w:b/>
              </w:rPr>
              <w:t xml:space="preserve">-100BPS </w:t>
            </w:r>
          </w:p>
        </w:tc>
      </w:tr>
      <w:tr w:rsidR="00274914" w:rsidRPr="002F17B5" w:rsidTr="004F533E">
        <w:tc>
          <w:tcPr>
            <w:tcW w:w="3641" w:type="dxa"/>
          </w:tcPr>
          <w:p w:rsidR="00274914" w:rsidRPr="002F17B5" w:rsidRDefault="00274914" w:rsidP="008E1C37">
            <w:pPr>
              <w:spacing w:after="60"/>
              <w:ind w:right="227"/>
              <w:jc w:val="left"/>
              <w:rPr>
                <w:b/>
              </w:rPr>
            </w:pPr>
          </w:p>
        </w:tc>
        <w:tc>
          <w:tcPr>
            <w:tcW w:w="2835" w:type="dxa"/>
            <w:gridSpan w:val="2"/>
          </w:tcPr>
          <w:p w:rsidR="00274914" w:rsidRPr="002F17B5" w:rsidRDefault="00274914" w:rsidP="008E1C37">
            <w:pPr>
              <w:spacing w:after="60"/>
              <w:ind w:right="227"/>
              <w:jc w:val="right"/>
              <w:rPr>
                <w:b/>
              </w:rPr>
            </w:pPr>
            <w:r w:rsidRPr="002F17B5">
              <w:rPr>
                <w:b/>
              </w:rPr>
              <w:t>£m</w:t>
            </w:r>
          </w:p>
        </w:tc>
        <w:tc>
          <w:tcPr>
            <w:tcW w:w="1843" w:type="dxa"/>
          </w:tcPr>
          <w:p w:rsidR="00274914" w:rsidRPr="002F17B5" w:rsidRDefault="00274914" w:rsidP="008E1C37">
            <w:pPr>
              <w:spacing w:after="60"/>
              <w:ind w:right="227"/>
              <w:jc w:val="right"/>
              <w:rPr>
                <w:b/>
              </w:rPr>
            </w:pPr>
            <w:r w:rsidRPr="002F17B5">
              <w:rPr>
                <w:b/>
              </w:rPr>
              <w:t>£m</w:t>
            </w:r>
          </w:p>
        </w:tc>
        <w:tc>
          <w:tcPr>
            <w:tcW w:w="1842" w:type="dxa"/>
          </w:tcPr>
          <w:p w:rsidR="00274914" w:rsidRPr="002F17B5" w:rsidRDefault="00274914" w:rsidP="008E1C37">
            <w:pPr>
              <w:spacing w:after="60"/>
              <w:ind w:right="227"/>
              <w:jc w:val="right"/>
              <w:rPr>
                <w:b/>
              </w:rPr>
            </w:pPr>
            <w:r w:rsidRPr="002F17B5">
              <w:rPr>
                <w:b/>
              </w:rPr>
              <w:t>£m</w:t>
            </w:r>
          </w:p>
        </w:tc>
      </w:tr>
      <w:tr w:rsidR="00274914" w:rsidRPr="002F17B5" w:rsidTr="004F533E">
        <w:tc>
          <w:tcPr>
            <w:tcW w:w="3641" w:type="dxa"/>
          </w:tcPr>
          <w:p w:rsidR="00274914" w:rsidRPr="002F17B5" w:rsidRDefault="00274914" w:rsidP="008E1C37">
            <w:pPr>
              <w:spacing w:after="60"/>
              <w:ind w:right="227"/>
              <w:jc w:val="left"/>
            </w:pPr>
            <w:r w:rsidRPr="002F17B5">
              <w:t>Cash and cash equivalents</w:t>
            </w:r>
          </w:p>
        </w:tc>
        <w:tc>
          <w:tcPr>
            <w:tcW w:w="2835" w:type="dxa"/>
            <w:gridSpan w:val="2"/>
          </w:tcPr>
          <w:p w:rsidR="00274914" w:rsidRPr="002F17B5" w:rsidRDefault="00274914" w:rsidP="008E1C37">
            <w:pPr>
              <w:spacing w:after="60"/>
              <w:ind w:right="227"/>
              <w:jc w:val="right"/>
            </w:pPr>
            <w:r w:rsidRPr="002F17B5">
              <w:t>170.5</w:t>
            </w:r>
          </w:p>
        </w:tc>
        <w:tc>
          <w:tcPr>
            <w:tcW w:w="1843" w:type="dxa"/>
          </w:tcPr>
          <w:p w:rsidR="00274914" w:rsidRPr="002F17B5" w:rsidRDefault="00274914" w:rsidP="008E1C37">
            <w:pPr>
              <w:spacing w:after="60"/>
              <w:ind w:right="227"/>
              <w:jc w:val="right"/>
            </w:pPr>
            <w:r w:rsidRPr="002F17B5">
              <w:t>1.7</w:t>
            </w:r>
          </w:p>
        </w:tc>
        <w:tc>
          <w:tcPr>
            <w:tcW w:w="1842" w:type="dxa"/>
          </w:tcPr>
          <w:p w:rsidR="00274914" w:rsidRPr="002F17B5" w:rsidRDefault="00274914" w:rsidP="008E1C37">
            <w:pPr>
              <w:spacing w:after="60"/>
              <w:ind w:right="227"/>
              <w:jc w:val="right"/>
            </w:pPr>
            <w:r w:rsidRPr="002F17B5">
              <w:t>(1.7)</w:t>
            </w:r>
          </w:p>
        </w:tc>
      </w:tr>
      <w:tr w:rsidR="00274914" w:rsidRPr="002F17B5" w:rsidTr="004F533E">
        <w:tc>
          <w:tcPr>
            <w:tcW w:w="3641" w:type="dxa"/>
          </w:tcPr>
          <w:p w:rsidR="00274914" w:rsidRPr="002F17B5" w:rsidRDefault="00274914" w:rsidP="008E1C37">
            <w:pPr>
              <w:spacing w:after="60"/>
              <w:ind w:right="227"/>
              <w:jc w:val="left"/>
            </w:pPr>
            <w:r w:rsidRPr="002F17B5">
              <w:t xml:space="preserve">Fixed interest securities </w:t>
            </w:r>
          </w:p>
        </w:tc>
        <w:tc>
          <w:tcPr>
            <w:tcW w:w="2835" w:type="dxa"/>
            <w:gridSpan w:val="2"/>
          </w:tcPr>
          <w:p w:rsidR="00274914" w:rsidRPr="002F17B5" w:rsidRDefault="00274914" w:rsidP="008E1C37">
            <w:pPr>
              <w:spacing w:after="60"/>
              <w:ind w:right="227"/>
              <w:jc w:val="right"/>
            </w:pPr>
            <w:r w:rsidRPr="002F17B5">
              <w:t>1,255.5</w:t>
            </w:r>
          </w:p>
        </w:tc>
        <w:tc>
          <w:tcPr>
            <w:tcW w:w="1843" w:type="dxa"/>
          </w:tcPr>
          <w:p w:rsidR="00274914" w:rsidRPr="002F17B5" w:rsidRDefault="00274914" w:rsidP="008E1C37">
            <w:pPr>
              <w:spacing w:after="60"/>
              <w:ind w:right="227"/>
              <w:jc w:val="right"/>
            </w:pPr>
            <w:r w:rsidRPr="002F17B5">
              <w:t>12.5</w:t>
            </w:r>
          </w:p>
        </w:tc>
        <w:tc>
          <w:tcPr>
            <w:tcW w:w="1842" w:type="dxa"/>
          </w:tcPr>
          <w:p w:rsidR="00274914" w:rsidRPr="002F17B5" w:rsidRDefault="00274914" w:rsidP="008E1C37">
            <w:pPr>
              <w:spacing w:after="60"/>
              <w:ind w:right="227"/>
              <w:jc w:val="right"/>
            </w:pPr>
            <w:r w:rsidRPr="002F17B5">
              <w:t>(12.5)</w:t>
            </w:r>
          </w:p>
        </w:tc>
      </w:tr>
      <w:tr w:rsidR="00274914" w:rsidRPr="002F17B5" w:rsidTr="004F533E">
        <w:tc>
          <w:tcPr>
            <w:tcW w:w="3641" w:type="dxa"/>
          </w:tcPr>
          <w:p w:rsidR="00274914" w:rsidRPr="002F17B5" w:rsidRDefault="00274914" w:rsidP="008E1C37">
            <w:pPr>
              <w:spacing w:after="60"/>
              <w:ind w:right="227"/>
              <w:jc w:val="left"/>
              <w:rPr>
                <w:b/>
              </w:rPr>
            </w:pPr>
            <w:r w:rsidRPr="002F17B5">
              <w:rPr>
                <w:b/>
              </w:rPr>
              <w:t xml:space="preserve">Total change in asset available </w:t>
            </w:r>
          </w:p>
        </w:tc>
        <w:tc>
          <w:tcPr>
            <w:tcW w:w="2835" w:type="dxa"/>
            <w:gridSpan w:val="2"/>
          </w:tcPr>
          <w:p w:rsidR="00274914" w:rsidRPr="002F17B5" w:rsidRDefault="00274914" w:rsidP="008E1C37">
            <w:pPr>
              <w:spacing w:after="60"/>
              <w:ind w:right="227"/>
              <w:jc w:val="right"/>
              <w:rPr>
                <w:b/>
              </w:rPr>
            </w:pPr>
            <w:r w:rsidRPr="002F17B5">
              <w:rPr>
                <w:b/>
              </w:rPr>
              <w:t>1,426.0</w:t>
            </w:r>
          </w:p>
        </w:tc>
        <w:tc>
          <w:tcPr>
            <w:tcW w:w="1843" w:type="dxa"/>
          </w:tcPr>
          <w:p w:rsidR="00274914" w:rsidRPr="002F17B5" w:rsidRDefault="00274914" w:rsidP="008E1C37">
            <w:pPr>
              <w:spacing w:after="60"/>
              <w:ind w:right="227"/>
              <w:jc w:val="right"/>
              <w:rPr>
                <w:b/>
              </w:rPr>
            </w:pPr>
            <w:r w:rsidRPr="002F17B5">
              <w:rPr>
                <w:b/>
              </w:rPr>
              <w:t>14.2</w:t>
            </w:r>
          </w:p>
        </w:tc>
        <w:tc>
          <w:tcPr>
            <w:tcW w:w="1842" w:type="dxa"/>
          </w:tcPr>
          <w:p w:rsidR="00274914" w:rsidRPr="002F17B5" w:rsidRDefault="00274914" w:rsidP="008E1C37">
            <w:pPr>
              <w:spacing w:after="60"/>
              <w:ind w:right="227"/>
              <w:jc w:val="right"/>
              <w:rPr>
                <w:b/>
              </w:rPr>
            </w:pPr>
            <w:r w:rsidRPr="002F17B5">
              <w:rPr>
                <w:b/>
              </w:rPr>
              <w:t>(14.2)</w:t>
            </w:r>
          </w:p>
        </w:tc>
      </w:tr>
      <w:tr w:rsidR="00274914" w:rsidRPr="002F17B5" w:rsidTr="004F533E">
        <w:tc>
          <w:tcPr>
            <w:tcW w:w="3924" w:type="dxa"/>
            <w:gridSpan w:val="2"/>
          </w:tcPr>
          <w:p w:rsidR="00274914" w:rsidRPr="002F17B5" w:rsidRDefault="00274914" w:rsidP="004F533E">
            <w:pPr>
              <w:ind w:right="227"/>
              <w:rPr>
                <w:b/>
              </w:rPr>
            </w:pPr>
          </w:p>
        </w:tc>
        <w:tc>
          <w:tcPr>
            <w:tcW w:w="2552" w:type="dxa"/>
          </w:tcPr>
          <w:p w:rsidR="00274914" w:rsidRPr="002F17B5" w:rsidRDefault="00274914" w:rsidP="004F533E">
            <w:pPr>
              <w:ind w:right="227"/>
              <w:jc w:val="right"/>
              <w:rPr>
                <w:b/>
              </w:rPr>
            </w:pPr>
          </w:p>
        </w:tc>
        <w:tc>
          <w:tcPr>
            <w:tcW w:w="1843" w:type="dxa"/>
          </w:tcPr>
          <w:p w:rsidR="00274914" w:rsidRPr="002F17B5" w:rsidRDefault="00274914" w:rsidP="004F533E">
            <w:pPr>
              <w:ind w:right="227"/>
              <w:jc w:val="right"/>
              <w:rPr>
                <w:b/>
              </w:rPr>
            </w:pPr>
          </w:p>
        </w:tc>
        <w:tc>
          <w:tcPr>
            <w:tcW w:w="1842" w:type="dxa"/>
          </w:tcPr>
          <w:p w:rsidR="00274914" w:rsidRPr="002F17B5" w:rsidRDefault="00274914" w:rsidP="004F533E">
            <w:pPr>
              <w:ind w:right="227"/>
              <w:jc w:val="right"/>
              <w:rPr>
                <w:b/>
              </w:rPr>
            </w:pPr>
          </w:p>
        </w:tc>
      </w:tr>
    </w:tbl>
    <w:p w:rsidR="00274914" w:rsidRPr="002F17B5" w:rsidRDefault="00274914" w:rsidP="00274914">
      <w:pPr>
        <w:ind w:left="720"/>
        <w:rPr>
          <w:b/>
        </w:rPr>
      </w:pPr>
    </w:p>
    <w:p w:rsidR="00274914" w:rsidRPr="002F17B5" w:rsidRDefault="00274914" w:rsidP="00274914">
      <w:pPr>
        <w:ind w:left="720"/>
        <w:rPr>
          <w:b/>
        </w:rPr>
      </w:pPr>
      <w:r w:rsidRPr="002F17B5">
        <w:rPr>
          <w:b/>
        </w:rPr>
        <w:t>Currency risk</w:t>
      </w:r>
    </w:p>
    <w:p w:rsidR="00274914" w:rsidRPr="006977BB" w:rsidRDefault="00274914" w:rsidP="00274914">
      <w:pPr>
        <w:ind w:left="720"/>
        <w:rPr>
          <w:sz w:val="6"/>
        </w:rPr>
      </w:pPr>
    </w:p>
    <w:p w:rsidR="00274914" w:rsidRPr="002F17B5" w:rsidRDefault="00274914" w:rsidP="00274914">
      <w:pPr>
        <w:ind w:left="720"/>
      </w:pPr>
      <w:r w:rsidRPr="002F17B5">
        <w:t xml:space="preserve">Currency risk represents the risk that the fair value cash flow of a financial instrument will fluctuate because of changes in foreign exchange rates. The Fund is exposed to currency risk on financial instruments that are denominated in any currency other than the functional currency of the Fund (£).  The Fund holds both monetary and non-monetary assets denominated in currencies other than £. </w:t>
      </w:r>
    </w:p>
    <w:p w:rsidR="00274914" w:rsidRPr="002F17B5" w:rsidRDefault="00274914" w:rsidP="00274914">
      <w:pPr>
        <w:ind w:left="720"/>
        <w:rPr>
          <w:sz w:val="14"/>
        </w:rPr>
      </w:pPr>
    </w:p>
    <w:p w:rsidR="00274914" w:rsidRDefault="00274914" w:rsidP="00274914">
      <w:pPr>
        <w:ind w:left="720"/>
      </w:pPr>
      <w:r w:rsidRPr="002F17B5">
        <w:t xml:space="preserve">The Fund's currency rate risk is routinely monitored by the Fund and its investment advisors in accordance with the Fund's risk management strategy. </w:t>
      </w:r>
    </w:p>
    <w:p w:rsidR="006977BB" w:rsidRPr="006977BB" w:rsidRDefault="006977BB" w:rsidP="00274914">
      <w:pPr>
        <w:ind w:left="720"/>
        <w:rPr>
          <w:sz w:val="2"/>
        </w:rPr>
      </w:pPr>
    </w:p>
    <w:p w:rsidR="00274914" w:rsidRPr="002F17B5" w:rsidRDefault="00274914" w:rsidP="00274914">
      <w:pPr>
        <w:ind w:left="720"/>
      </w:pPr>
      <w:r w:rsidRPr="002F17B5">
        <w:t xml:space="preserve">The </w:t>
      </w:r>
      <w:r w:rsidR="008E1C37" w:rsidRPr="002F17B5">
        <w:t>table on the following page</w:t>
      </w:r>
      <w:r w:rsidRPr="002F17B5">
        <w:t xml:space="preserve"> summarises the </w:t>
      </w:r>
      <w:r w:rsidR="008E1C37" w:rsidRPr="002F17B5">
        <w:t>f</w:t>
      </w:r>
      <w:r w:rsidRPr="002F17B5">
        <w:t xml:space="preserve">und's currency exposure as at 31 March 2014 and as at the previous year end:    </w:t>
      </w:r>
    </w:p>
    <w:p w:rsidR="00274914" w:rsidRPr="002F17B5" w:rsidRDefault="00274914" w:rsidP="00274914">
      <w:pPr>
        <w:ind w:left="720"/>
        <w:rPr>
          <w:sz w:val="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2227"/>
        <w:gridCol w:w="2593"/>
      </w:tblGrid>
      <w:tr w:rsidR="00274914" w:rsidRPr="002F17B5" w:rsidTr="00274914">
        <w:tc>
          <w:tcPr>
            <w:tcW w:w="5058" w:type="dxa"/>
          </w:tcPr>
          <w:p w:rsidR="00274914" w:rsidRPr="002F17B5" w:rsidRDefault="00274914" w:rsidP="008E1C37">
            <w:pPr>
              <w:spacing w:after="60"/>
              <w:rPr>
                <w:b/>
              </w:rPr>
            </w:pPr>
            <w:r w:rsidRPr="002F17B5">
              <w:rPr>
                <w:b/>
              </w:rPr>
              <w:t xml:space="preserve">Currency exposure – asset type </w:t>
            </w:r>
          </w:p>
        </w:tc>
        <w:tc>
          <w:tcPr>
            <w:tcW w:w="2227" w:type="dxa"/>
          </w:tcPr>
          <w:p w:rsidR="00274914" w:rsidRPr="002F17B5" w:rsidRDefault="00274914" w:rsidP="008E1C37">
            <w:pPr>
              <w:spacing w:after="60"/>
              <w:ind w:left="-680"/>
              <w:jc w:val="right"/>
              <w:rPr>
                <w:b/>
              </w:rPr>
            </w:pPr>
            <w:r w:rsidRPr="002F17B5">
              <w:rPr>
                <w:b/>
              </w:rPr>
              <w:t xml:space="preserve"> </w:t>
            </w:r>
          </w:p>
          <w:p w:rsidR="00274914" w:rsidRPr="002F17B5" w:rsidRDefault="00BD5FF0" w:rsidP="008E1C37">
            <w:pPr>
              <w:spacing w:after="60"/>
              <w:ind w:left="-680"/>
              <w:jc w:val="right"/>
              <w:rPr>
                <w:b/>
              </w:rPr>
            </w:pPr>
            <w:r w:rsidRPr="002F17B5">
              <w:rPr>
                <w:b/>
              </w:rPr>
              <w:t>31/03/14</w:t>
            </w:r>
          </w:p>
        </w:tc>
        <w:tc>
          <w:tcPr>
            <w:tcW w:w="2593" w:type="dxa"/>
          </w:tcPr>
          <w:p w:rsidR="00274914" w:rsidRPr="002F17B5" w:rsidRDefault="00274914" w:rsidP="008E1C37">
            <w:pPr>
              <w:spacing w:after="60"/>
              <w:jc w:val="right"/>
              <w:rPr>
                <w:b/>
              </w:rPr>
            </w:pPr>
            <w:r w:rsidRPr="002F17B5">
              <w:rPr>
                <w:b/>
              </w:rPr>
              <w:t xml:space="preserve"> </w:t>
            </w:r>
          </w:p>
          <w:p w:rsidR="00274914" w:rsidRPr="002F17B5" w:rsidRDefault="00BD5FF0" w:rsidP="008E1C37">
            <w:pPr>
              <w:spacing w:after="60"/>
              <w:jc w:val="right"/>
              <w:rPr>
                <w:b/>
              </w:rPr>
            </w:pPr>
            <w:r w:rsidRPr="002F17B5">
              <w:rPr>
                <w:b/>
              </w:rPr>
              <w:t>31/03/13*</w:t>
            </w:r>
          </w:p>
        </w:tc>
      </w:tr>
      <w:tr w:rsidR="00274914" w:rsidRPr="002F17B5" w:rsidTr="00274914">
        <w:tc>
          <w:tcPr>
            <w:tcW w:w="5058" w:type="dxa"/>
          </w:tcPr>
          <w:p w:rsidR="00274914" w:rsidRPr="002F17B5" w:rsidRDefault="00274914" w:rsidP="008E1C37">
            <w:pPr>
              <w:spacing w:after="60"/>
            </w:pPr>
          </w:p>
        </w:tc>
        <w:tc>
          <w:tcPr>
            <w:tcW w:w="2227" w:type="dxa"/>
          </w:tcPr>
          <w:p w:rsidR="00274914" w:rsidRPr="002F17B5" w:rsidRDefault="00274914" w:rsidP="008E1C37">
            <w:pPr>
              <w:spacing w:after="60"/>
              <w:ind w:left="-680"/>
              <w:jc w:val="right"/>
              <w:rPr>
                <w:b/>
              </w:rPr>
            </w:pPr>
            <w:r w:rsidRPr="002F17B5">
              <w:rPr>
                <w:b/>
              </w:rPr>
              <w:t>£m</w:t>
            </w:r>
          </w:p>
        </w:tc>
        <w:tc>
          <w:tcPr>
            <w:tcW w:w="2593" w:type="dxa"/>
          </w:tcPr>
          <w:p w:rsidR="00274914" w:rsidRPr="002F17B5" w:rsidRDefault="00274914" w:rsidP="008E1C37">
            <w:pPr>
              <w:spacing w:after="60"/>
              <w:ind w:left="1038"/>
              <w:jc w:val="right"/>
              <w:rPr>
                <w:b/>
              </w:rPr>
            </w:pPr>
            <w:r w:rsidRPr="002F17B5">
              <w:rPr>
                <w:b/>
              </w:rPr>
              <w:t>£m</w:t>
            </w:r>
          </w:p>
        </w:tc>
      </w:tr>
      <w:tr w:rsidR="00274914" w:rsidRPr="002F17B5" w:rsidTr="00274914">
        <w:tc>
          <w:tcPr>
            <w:tcW w:w="5058" w:type="dxa"/>
          </w:tcPr>
          <w:p w:rsidR="00274914" w:rsidRPr="002F17B5" w:rsidRDefault="00274914" w:rsidP="008E1C37">
            <w:pPr>
              <w:spacing w:after="60"/>
            </w:pPr>
            <w:r w:rsidRPr="002F17B5">
              <w:t>Overseas  quoted securities</w:t>
            </w:r>
          </w:p>
        </w:tc>
        <w:tc>
          <w:tcPr>
            <w:tcW w:w="2227" w:type="dxa"/>
          </w:tcPr>
          <w:p w:rsidR="00274914" w:rsidRPr="002F17B5" w:rsidRDefault="00274914" w:rsidP="008E1C37">
            <w:pPr>
              <w:spacing w:after="60"/>
              <w:ind w:left="-680"/>
              <w:jc w:val="right"/>
            </w:pPr>
            <w:r w:rsidRPr="002F17B5">
              <w:t>1,689.8</w:t>
            </w:r>
          </w:p>
        </w:tc>
        <w:tc>
          <w:tcPr>
            <w:tcW w:w="2593" w:type="dxa"/>
          </w:tcPr>
          <w:p w:rsidR="00274914" w:rsidRPr="002F17B5" w:rsidRDefault="00274914" w:rsidP="008E1C37">
            <w:pPr>
              <w:spacing w:after="60"/>
              <w:jc w:val="right"/>
            </w:pPr>
            <w:r w:rsidRPr="002F17B5">
              <w:t>1,531.0</w:t>
            </w:r>
          </w:p>
        </w:tc>
      </w:tr>
      <w:tr w:rsidR="00274914" w:rsidRPr="002F17B5" w:rsidTr="00274914">
        <w:tc>
          <w:tcPr>
            <w:tcW w:w="5058" w:type="dxa"/>
          </w:tcPr>
          <w:p w:rsidR="00274914" w:rsidRPr="002F17B5" w:rsidRDefault="00274914" w:rsidP="008E1C37">
            <w:pPr>
              <w:spacing w:after="60"/>
            </w:pPr>
            <w:r w:rsidRPr="002F17B5">
              <w:t>Overseas corporate bonds (quoted)</w:t>
            </w:r>
          </w:p>
        </w:tc>
        <w:tc>
          <w:tcPr>
            <w:tcW w:w="2227" w:type="dxa"/>
          </w:tcPr>
          <w:p w:rsidR="00274914" w:rsidRPr="002F17B5" w:rsidRDefault="00274914" w:rsidP="008E1C37">
            <w:pPr>
              <w:spacing w:after="60"/>
              <w:ind w:left="-680"/>
              <w:jc w:val="right"/>
            </w:pPr>
            <w:r w:rsidRPr="002F17B5">
              <w:t>157.0</w:t>
            </w:r>
          </w:p>
        </w:tc>
        <w:tc>
          <w:tcPr>
            <w:tcW w:w="2593" w:type="dxa"/>
          </w:tcPr>
          <w:p w:rsidR="00274914" w:rsidRPr="002F17B5" w:rsidRDefault="00274914" w:rsidP="008E1C37">
            <w:pPr>
              <w:spacing w:after="60"/>
              <w:jc w:val="right"/>
            </w:pPr>
            <w:r w:rsidRPr="002F17B5">
              <w:t>323.7</w:t>
            </w:r>
          </w:p>
        </w:tc>
      </w:tr>
      <w:tr w:rsidR="00274914" w:rsidRPr="002F17B5" w:rsidTr="00274914">
        <w:tc>
          <w:tcPr>
            <w:tcW w:w="5058" w:type="dxa"/>
          </w:tcPr>
          <w:p w:rsidR="00274914" w:rsidRPr="002F17B5" w:rsidRDefault="00274914" w:rsidP="008E1C37">
            <w:pPr>
              <w:spacing w:after="60"/>
            </w:pPr>
            <w:r w:rsidRPr="002F17B5">
              <w:t>Overseas  fixed income</w:t>
            </w:r>
          </w:p>
        </w:tc>
        <w:tc>
          <w:tcPr>
            <w:tcW w:w="2227" w:type="dxa"/>
          </w:tcPr>
          <w:p w:rsidR="00274914" w:rsidRPr="002F17B5" w:rsidRDefault="00274914" w:rsidP="008E1C37">
            <w:pPr>
              <w:spacing w:after="60"/>
              <w:ind w:left="-680"/>
              <w:jc w:val="right"/>
            </w:pPr>
            <w:r w:rsidRPr="002F17B5">
              <w:t>970.3</w:t>
            </w:r>
          </w:p>
        </w:tc>
        <w:tc>
          <w:tcPr>
            <w:tcW w:w="2593" w:type="dxa"/>
          </w:tcPr>
          <w:p w:rsidR="00274914" w:rsidRPr="002F17B5" w:rsidRDefault="00274914" w:rsidP="008E1C37">
            <w:pPr>
              <w:spacing w:after="60"/>
              <w:jc w:val="right"/>
            </w:pPr>
            <w:r w:rsidRPr="002F17B5">
              <w:t>*412.0</w:t>
            </w:r>
          </w:p>
        </w:tc>
      </w:tr>
      <w:tr w:rsidR="00274914" w:rsidRPr="002F17B5" w:rsidTr="00274914">
        <w:tc>
          <w:tcPr>
            <w:tcW w:w="5058" w:type="dxa"/>
          </w:tcPr>
          <w:p w:rsidR="00274914" w:rsidRPr="002F17B5" w:rsidRDefault="00274914" w:rsidP="008E1C37">
            <w:pPr>
              <w:spacing w:after="60"/>
            </w:pPr>
            <w:r w:rsidRPr="002F17B5">
              <w:t>Overseas pooled investments</w:t>
            </w:r>
          </w:p>
        </w:tc>
        <w:tc>
          <w:tcPr>
            <w:tcW w:w="2227" w:type="dxa"/>
          </w:tcPr>
          <w:p w:rsidR="00274914" w:rsidRPr="002F17B5" w:rsidRDefault="00274914" w:rsidP="008E1C37">
            <w:pPr>
              <w:spacing w:after="60"/>
              <w:ind w:left="-680"/>
              <w:jc w:val="right"/>
            </w:pPr>
            <w:r w:rsidRPr="002F17B5">
              <w:t>956.8</w:t>
            </w:r>
          </w:p>
        </w:tc>
        <w:tc>
          <w:tcPr>
            <w:tcW w:w="2593" w:type="dxa"/>
          </w:tcPr>
          <w:p w:rsidR="00274914" w:rsidRPr="002F17B5" w:rsidRDefault="00274914" w:rsidP="008E1C37">
            <w:pPr>
              <w:spacing w:after="60"/>
              <w:jc w:val="right"/>
            </w:pPr>
            <w:r w:rsidRPr="002F17B5">
              <w:t>*804.4</w:t>
            </w:r>
          </w:p>
        </w:tc>
      </w:tr>
      <w:tr w:rsidR="00274914" w:rsidRPr="002F17B5" w:rsidTr="00274914">
        <w:tc>
          <w:tcPr>
            <w:tcW w:w="5058" w:type="dxa"/>
          </w:tcPr>
          <w:p w:rsidR="00274914" w:rsidRPr="002F17B5" w:rsidRDefault="00274914" w:rsidP="008E1C37">
            <w:pPr>
              <w:spacing w:after="60"/>
              <w:rPr>
                <w:b/>
              </w:rPr>
            </w:pPr>
            <w:r w:rsidRPr="002F17B5">
              <w:rPr>
                <w:b/>
              </w:rPr>
              <w:t xml:space="preserve">Total overseas assets </w:t>
            </w:r>
          </w:p>
        </w:tc>
        <w:tc>
          <w:tcPr>
            <w:tcW w:w="2227" w:type="dxa"/>
          </w:tcPr>
          <w:p w:rsidR="00274914" w:rsidRPr="002F17B5" w:rsidRDefault="00274914" w:rsidP="008E1C37">
            <w:pPr>
              <w:spacing w:after="60"/>
              <w:ind w:left="-680"/>
              <w:jc w:val="right"/>
              <w:rPr>
                <w:b/>
              </w:rPr>
            </w:pPr>
            <w:r w:rsidRPr="002F17B5">
              <w:rPr>
                <w:b/>
              </w:rPr>
              <w:t>3,773.9</w:t>
            </w:r>
          </w:p>
        </w:tc>
        <w:tc>
          <w:tcPr>
            <w:tcW w:w="2593" w:type="dxa"/>
          </w:tcPr>
          <w:p w:rsidR="00274914" w:rsidRPr="002F17B5" w:rsidRDefault="00274914" w:rsidP="008E1C37">
            <w:pPr>
              <w:spacing w:after="60"/>
              <w:jc w:val="right"/>
              <w:rPr>
                <w:b/>
              </w:rPr>
            </w:pPr>
            <w:r w:rsidRPr="002F17B5">
              <w:rPr>
                <w:b/>
              </w:rPr>
              <w:t>3,071.1</w:t>
            </w:r>
          </w:p>
        </w:tc>
      </w:tr>
      <w:tr w:rsidR="00274914" w:rsidRPr="002F17B5" w:rsidTr="008E1C37">
        <w:trPr>
          <w:trHeight w:val="158"/>
        </w:trPr>
        <w:tc>
          <w:tcPr>
            <w:tcW w:w="5058" w:type="dxa"/>
          </w:tcPr>
          <w:p w:rsidR="00274914" w:rsidRPr="002F17B5" w:rsidRDefault="00274914" w:rsidP="00274914">
            <w:pPr>
              <w:rPr>
                <w:b/>
                <w:sz w:val="8"/>
              </w:rPr>
            </w:pPr>
          </w:p>
        </w:tc>
        <w:tc>
          <w:tcPr>
            <w:tcW w:w="2227" w:type="dxa"/>
          </w:tcPr>
          <w:p w:rsidR="00274914" w:rsidRPr="002F17B5" w:rsidRDefault="00274914" w:rsidP="00274914">
            <w:pPr>
              <w:ind w:left="-680"/>
              <w:jc w:val="right"/>
              <w:rPr>
                <w:b/>
              </w:rPr>
            </w:pPr>
          </w:p>
        </w:tc>
        <w:tc>
          <w:tcPr>
            <w:tcW w:w="2593" w:type="dxa"/>
          </w:tcPr>
          <w:p w:rsidR="00274914" w:rsidRPr="002F17B5" w:rsidRDefault="00274914" w:rsidP="00274914">
            <w:pPr>
              <w:jc w:val="right"/>
              <w:rPr>
                <w:b/>
              </w:rPr>
            </w:pPr>
          </w:p>
        </w:tc>
      </w:tr>
    </w:tbl>
    <w:p w:rsidR="00274914" w:rsidRPr="002F17B5" w:rsidRDefault="00274914" w:rsidP="008E1C37">
      <w:pPr>
        <w:spacing w:before="0"/>
        <w:ind w:left="720"/>
        <w:rPr>
          <w:sz w:val="22"/>
          <w:szCs w:val="22"/>
        </w:rPr>
      </w:pPr>
      <w:r w:rsidRPr="002F17B5">
        <w:rPr>
          <w:b/>
          <w:sz w:val="22"/>
          <w:szCs w:val="22"/>
        </w:rPr>
        <w:t>*</w:t>
      </w:r>
      <w:r w:rsidRPr="002F17B5">
        <w:rPr>
          <w:sz w:val="22"/>
          <w:szCs w:val="22"/>
        </w:rPr>
        <w:t>Classification by asset type has been reviewed at an individual asset level for 2013/14.  For 2012/13 reporting the asset type was determined by review at an investment manager level.  Comparatives have been restated accordingly.</w:t>
      </w:r>
    </w:p>
    <w:p w:rsidR="008E1C37" w:rsidRPr="002F17B5" w:rsidRDefault="008E1C37" w:rsidP="00274914">
      <w:pPr>
        <w:ind w:left="720"/>
        <w:rPr>
          <w:b/>
          <w:sz w:val="34"/>
        </w:rPr>
      </w:pPr>
    </w:p>
    <w:p w:rsidR="00274914" w:rsidRPr="002F17B5" w:rsidRDefault="00274914" w:rsidP="004F533E">
      <w:pPr>
        <w:ind w:left="680"/>
        <w:rPr>
          <w:b/>
        </w:rPr>
      </w:pPr>
      <w:r w:rsidRPr="002F17B5">
        <w:rPr>
          <w:b/>
        </w:rPr>
        <w:t xml:space="preserve">Currency risk – sensitivities analysis </w:t>
      </w:r>
    </w:p>
    <w:p w:rsidR="00274914" w:rsidRPr="002F17B5" w:rsidRDefault="00274914" w:rsidP="004F533E">
      <w:pPr>
        <w:ind w:left="680"/>
        <w:rPr>
          <w:sz w:val="6"/>
        </w:rPr>
      </w:pPr>
    </w:p>
    <w:p w:rsidR="00274914" w:rsidRPr="002F17B5" w:rsidRDefault="00274914" w:rsidP="004F533E">
      <w:pPr>
        <w:ind w:left="680"/>
      </w:pPr>
      <w:r w:rsidRPr="002F17B5">
        <w:t xml:space="preserve">Following analysis of historical data in consultation with the Fund's investment advisors, the Fund considers the likely volatility associated with foreign exchange rate movement to be 6% (as measured by one standard deviation). </w:t>
      </w:r>
    </w:p>
    <w:p w:rsidR="00274914" w:rsidRPr="002F17B5" w:rsidRDefault="00274914" w:rsidP="004F533E">
      <w:pPr>
        <w:ind w:left="680"/>
        <w:rPr>
          <w:sz w:val="16"/>
        </w:rPr>
      </w:pPr>
    </w:p>
    <w:p w:rsidR="00274914" w:rsidRPr="002F17B5" w:rsidRDefault="00274914" w:rsidP="004F533E">
      <w:pPr>
        <w:ind w:left="680"/>
      </w:pPr>
      <w:r w:rsidRPr="002F17B5">
        <w:t xml:space="preserve">A 6% fluctuation in the currency is considered reasonable based on the Fund advisor's analysis of long-term historical movements in the month-end exchange rates over a rolling 36-month period. </w:t>
      </w:r>
    </w:p>
    <w:p w:rsidR="00274914" w:rsidRPr="002F17B5" w:rsidRDefault="00274914" w:rsidP="004F533E">
      <w:pPr>
        <w:ind w:left="680"/>
        <w:rPr>
          <w:sz w:val="4"/>
        </w:rPr>
      </w:pPr>
    </w:p>
    <w:p w:rsidR="00274914" w:rsidRPr="002F17B5" w:rsidRDefault="00274914" w:rsidP="004F533E">
      <w:pPr>
        <w:ind w:left="680"/>
      </w:pPr>
      <w:r w:rsidRPr="002F17B5">
        <w:t xml:space="preserve">This analysis assumes that all other variables, in particular interest rates, remain constant.  </w:t>
      </w:r>
    </w:p>
    <w:p w:rsidR="00274914" w:rsidRPr="002F17B5" w:rsidRDefault="00274914" w:rsidP="004F533E">
      <w:pPr>
        <w:ind w:left="680"/>
        <w:rPr>
          <w:sz w:val="10"/>
        </w:rPr>
      </w:pPr>
    </w:p>
    <w:p w:rsidR="00274914" w:rsidRPr="002F17B5" w:rsidRDefault="00274914" w:rsidP="004F533E">
      <w:pPr>
        <w:ind w:left="680"/>
      </w:pPr>
      <w:r w:rsidRPr="002F17B5">
        <w:t xml:space="preserve"> A 6% strengthening/weakening of the pound against the various currencies in which the Fund holds investments would increase/decrease the net assets available to pay benefits as follows:</w:t>
      </w:r>
    </w:p>
    <w:p w:rsidR="00274914" w:rsidRPr="002F17B5" w:rsidRDefault="00274914" w:rsidP="004F533E">
      <w:pPr>
        <w:ind w:left="680"/>
      </w:pPr>
      <w:r w:rsidRPr="002F17B5">
        <w:t xml:space="preserve">  </w:t>
      </w:r>
    </w:p>
    <w:p w:rsidR="008E1C37" w:rsidRPr="002F17B5" w:rsidRDefault="008E1C37" w:rsidP="004F533E">
      <w:pPr>
        <w:ind w:left="680"/>
        <w:rPr>
          <w:sz w:val="14"/>
        </w:rPr>
      </w:pPr>
    </w:p>
    <w:tbl>
      <w:tblPr>
        <w:tblStyle w:val="TableGrid"/>
        <w:tblW w:w="1034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2200"/>
        <w:gridCol w:w="68"/>
        <w:gridCol w:w="1916"/>
        <w:gridCol w:w="68"/>
        <w:gridCol w:w="1701"/>
      </w:tblGrid>
      <w:tr w:rsidR="00274914" w:rsidRPr="002F17B5" w:rsidTr="004F533E">
        <w:tc>
          <w:tcPr>
            <w:tcW w:w="4394" w:type="dxa"/>
          </w:tcPr>
          <w:p w:rsidR="00274914" w:rsidRPr="002F17B5" w:rsidRDefault="00274914" w:rsidP="004F533E">
            <w:pPr>
              <w:spacing w:after="60"/>
              <w:rPr>
                <w:b/>
              </w:rPr>
            </w:pPr>
            <w:r w:rsidRPr="002F17B5">
              <w:rPr>
                <w:b/>
              </w:rPr>
              <w:t xml:space="preserve">Currency exposure – asset type </w:t>
            </w:r>
          </w:p>
        </w:tc>
        <w:tc>
          <w:tcPr>
            <w:tcW w:w="2200" w:type="dxa"/>
          </w:tcPr>
          <w:p w:rsidR="00274914" w:rsidRPr="002F17B5" w:rsidRDefault="00274914" w:rsidP="00BD5FF0">
            <w:pPr>
              <w:spacing w:after="60"/>
              <w:jc w:val="center"/>
              <w:rPr>
                <w:b/>
              </w:rPr>
            </w:pPr>
            <w:r w:rsidRPr="002F17B5">
              <w:rPr>
                <w:b/>
              </w:rPr>
              <w:t xml:space="preserve"> </w:t>
            </w:r>
          </w:p>
          <w:p w:rsidR="00274914" w:rsidRPr="002F17B5" w:rsidRDefault="00BD5FF0" w:rsidP="00BD5FF0">
            <w:pPr>
              <w:spacing w:after="60"/>
              <w:jc w:val="right"/>
              <w:rPr>
                <w:b/>
              </w:rPr>
            </w:pPr>
            <w:r w:rsidRPr="002F17B5">
              <w:rPr>
                <w:b/>
              </w:rPr>
              <w:t>31/03/</w:t>
            </w:r>
            <w:r w:rsidR="00274914" w:rsidRPr="002F17B5">
              <w:rPr>
                <w:b/>
              </w:rPr>
              <w:t>14</w:t>
            </w:r>
          </w:p>
        </w:tc>
        <w:tc>
          <w:tcPr>
            <w:tcW w:w="3753" w:type="dxa"/>
            <w:gridSpan w:val="4"/>
          </w:tcPr>
          <w:p w:rsidR="00274914" w:rsidRPr="002F17B5" w:rsidRDefault="00274914" w:rsidP="004F533E">
            <w:pPr>
              <w:spacing w:after="60"/>
              <w:jc w:val="right"/>
              <w:rPr>
                <w:b/>
              </w:rPr>
            </w:pPr>
            <w:r w:rsidRPr="002F17B5">
              <w:rPr>
                <w:b/>
              </w:rPr>
              <w:t xml:space="preserve">Change to net assets available to pay benefits </w:t>
            </w:r>
          </w:p>
        </w:tc>
      </w:tr>
      <w:tr w:rsidR="00274914" w:rsidRPr="002F17B5" w:rsidTr="004F533E">
        <w:tc>
          <w:tcPr>
            <w:tcW w:w="4394" w:type="dxa"/>
          </w:tcPr>
          <w:p w:rsidR="00274914" w:rsidRPr="002F17B5" w:rsidRDefault="00274914" w:rsidP="004F533E">
            <w:pPr>
              <w:spacing w:after="60"/>
            </w:pPr>
          </w:p>
        </w:tc>
        <w:tc>
          <w:tcPr>
            <w:tcW w:w="2200" w:type="dxa"/>
          </w:tcPr>
          <w:p w:rsidR="00274914" w:rsidRPr="002F17B5" w:rsidRDefault="00274914" w:rsidP="004F533E">
            <w:pPr>
              <w:spacing w:after="60"/>
              <w:jc w:val="right"/>
              <w:rPr>
                <w:b/>
              </w:rPr>
            </w:pPr>
          </w:p>
        </w:tc>
        <w:tc>
          <w:tcPr>
            <w:tcW w:w="1984" w:type="dxa"/>
            <w:gridSpan w:val="2"/>
          </w:tcPr>
          <w:p w:rsidR="00274914" w:rsidRPr="002F17B5" w:rsidRDefault="00274914" w:rsidP="004F533E">
            <w:pPr>
              <w:spacing w:after="60"/>
              <w:ind w:left="1038"/>
              <w:jc w:val="right"/>
              <w:rPr>
                <w:b/>
              </w:rPr>
            </w:pPr>
            <w:r w:rsidRPr="002F17B5">
              <w:rPr>
                <w:b/>
              </w:rPr>
              <w:t>+6.0%</w:t>
            </w:r>
          </w:p>
        </w:tc>
        <w:tc>
          <w:tcPr>
            <w:tcW w:w="1769" w:type="dxa"/>
            <w:gridSpan w:val="2"/>
          </w:tcPr>
          <w:p w:rsidR="00274914" w:rsidRPr="002F17B5" w:rsidRDefault="00274914" w:rsidP="004F533E">
            <w:pPr>
              <w:spacing w:after="60"/>
              <w:jc w:val="right"/>
              <w:rPr>
                <w:b/>
              </w:rPr>
            </w:pPr>
            <w:r w:rsidRPr="002F17B5">
              <w:rPr>
                <w:b/>
              </w:rPr>
              <w:t>-6.0%</w:t>
            </w:r>
          </w:p>
        </w:tc>
      </w:tr>
      <w:tr w:rsidR="00274914" w:rsidRPr="002F17B5" w:rsidTr="004F533E">
        <w:tc>
          <w:tcPr>
            <w:tcW w:w="4394" w:type="dxa"/>
          </w:tcPr>
          <w:p w:rsidR="00274914" w:rsidRPr="002F17B5" w:rsidRDefault="00274914" w:rsidP="004F533E">
            <w:pPr>
              <w:spacing w:after="60"/>
            </w:pPr>
          </w:p>
        </w:tc>
        <w:tc>
          <w:tcPr>
            <w:tcW w:w="2200" w:type="dxa"/>
          </w:tcPr>
          <w:p w:rsidR="00274914" w:rsidRPr="002F17B5" w:rsidRDefault="00274914" w:rsidP="004F533E">
            <w:pPr>
              <w:spacing w:after="60"/>
              <w:jc w:val="right"/>
              <w:rPr>
                <w:b/>
              </w:rPr>
            </w:pPr>
            <w:r w:rsidRPr="002F17B5">
              <w:rPr>
                <w:b/>
              </w:rPr>
              <w:t>£m</w:t>
            </w:r>
          </w:p>
        </w:tc>
        <w:tc>
          <w:tcPr>
            <w:tcW w:w="1984" w:type="dxa"/>
            <w:gridSpan w:val="2"/>
          </w:tcPr>
          <w:p w:rsidR="00274914" w:rsidRPr="002F17B5" w:rsidRDefault="00274914" w:rsidP="004F533E">
            <w:pPr>
              <w:tabs>
                <w:tab w:val="left" w:pos="175"/>
              </w:tabs>
              <w:spacing w:after="60"/>
              <w:ind w:left="1038"/>
              <w:jc w:val="right"/>
              <w:rPr>
                <w:b/>
              </w:rPr>
            </w:pPr>
            <w:r w:rsidRPr="002F17B5">
              <w:rPr>
                <w:b/>
              </w:rPr>
              <w:t>£m</w:t>
            </w:r>
          </w:p>
        </w:tc>
        <w:tc>
          <w:tcPr>
            <w:tcW w:w="1769" w:type="dxa"/>
            <w:gridSpan w:val="2"/>
          </w:tcPr>
          <w:p w:rsidR="00274914" w:rsidRPr="002F17B5" w:rsidRDefault="00274914" w:rsidP="004F533E">
            <w:pPr>
              <w:spacing w:after="60"/>
              <w:ind w:left="1038"/>
              <w:jc w:val="right"/>
              <w:rPr>
                <w:b/>
              </w:rPr>
            </w:pPr>
            <w:r w:rsidRPr="002F17B5">
              <w:rPr>
                <w:b/>
              </w:rPr>
              <w:t>£m</w:t>
            </w:r>
          </w:p>
        </w:tc>
      </w:tr>
      <w:tr w:rsidR="00274914" w:rsidRPr="002F17B5" w:rsidTr="004F533E">
        <w:tc>
          <w:tcPr>
            <w:tcW w:w="4394" w:type="dxa"/>
          </w:tcPr>
          <w:p w:rsidR="00274914" w:rsidRPr="002F17B5" w:rsidRDefault="00274914" w:rsidP="004F533E">
            <w:pPr>
              <w:spacing w:after="60"/>
            </w:pPr>
            <w:r w:rsidRPr="002F17B5">
              <w:t>Overseas  quoted securities</w:t>
            </w:r>
          </w:p>
        </w:tc>
        <w:tc>
          <w:tcPr>
            <w:tcW w:w="2200" w:type="dxa"/>
          </w:tcPr>
          <w:p w:rsidR="00274914" w:rsidRPr="002F17B5" w:rsidRDefault="00274914" w:rsidP="004F533E">
            <w:pPr>
              <w:spacing w:after="60"/>
              <w:jc w:val="right"/>
            </w:pPr>
            <w:r w:rsidRPr="002F17B5">
              <w:t>1,689.8</w:t>
            </w:r>
          </w:p>
        </w:tc>
        <w:tc>
          <w:tcPr>
            <w:tcW w:w="1984" w:type="dxa"/>
            <w:gridSpan w:val="2"/>
          </w:tcPr>
          <w:p w:rsidR="00274914" w:rsidRPr="002F17B5" w:rsidRDefault="00274914" w:rsidP="004F533E">
            <w:pPr>
              <w:spacing w:after="60"/>
              <w:jc w:val="right"/>
            </w:pPr>
            <w:r w:rsidRPr="002F17B5">
              <w:t>1,791.1</w:t>
            </w:r>
          </w:p>
        </w:tc>
        <w:tc>
          <w:tcPr>
            <w:tcW w:w="1769" w:type="dxa"/>
            <w:gridSpan w:val="2"/>
          </w:tcPr>
          <w:p w:rsidR="00274914" w:rsidRPr="002F17B5" w:rsidRDefault="00274914" w:rsidP="004F533E">
            <w:pPr>
              <w:spacing w:after="60"/>
              <w:jc w:val="right"/>
            </w:pPr>
            <w:r w:rsidRPr="002F17B5">
              <w:t>1,588.4</w:t>
            </w:r>
          </w:p>
        </w:tc>
      </w:tr>
      <w:tr w:rsidR="00274914" w:rsidRPr="002F17B5" w:rsidTr="004F533E">
        <w:tc>
          <w:tcPr>
            <w:tcW w:w="4394" w:type="dxa"/>
          </w:tcPr>
          <w:p w:rsidR="00274914" w:rsidRPr="002F17B5" w:rsidRDefault="00274914" w:rsidP="004F533E">
            <w:pPr>
              <w:spacing w:after="60"/>
            </w:pPr>
            <w:r w:rsidRPr="002F17B5">
              <w:t>Overseas corporate bonds (quoted)</w:t>
            </w:r>
          </w:p>
        </w:tc>
        <w:tc>
          <w:tcPr>
            <w:tcW w:w="2200" w:type="dxa"/>
          </w:tcPr>
          <w:p w:rsidR="00274914" w:rsidRPr="002F17B5" w:rsidRDefault="00274914" w:rsidP="004F533E">
            <w:pPr>
              <w:spacing w:after="60"/>
              <w:jc w:val="right"/>
            </w:pPr>
            <w:r w:rsidRPr="002F17B5">
              <w:t>157.0</w:t>
            </w:r>
          </w:p>
        </w:tc>
        <w:tc>
          <w:tcPr>
            <w:tcW w:w="1984" w:type="dxa"/>
            <w:gridSpan w:val="2"/>
          </w:tcPr>
          <w:p w:rsidR="00274914" w:rsidRPr="002F17B5" w:rsidRDefault="00274914" w:rsidP="004F533E">
            <w:pPr>
              <w:spacing w:after="60"/>
              <w:jc w:val="right"/>
            </w:pPr>
            <w:r w:rsidRPr="002F17B5">
              <w:t>166.4</w:t>
            </w:r>
          </w:p>
        </w:tc>
        <w:tc>
          <w:tcPr>
            <w:tcW w:w="1769" w:type="dxa"/>
            <w:gridSpan w:val="2"/>
          </w:tcPr>
          <w:p w:rsidR="00274914" w:rsidRPr="002F17B5" w:rsidRDefault="00274914" w:rsidP="004F533E">
            <w:pPr>
              <w:spacing w:after="60"/>
              <w:jc w:val="right"/>
            </w:pPr>
            <w:r w:rsidRPr="002F17B5">
              <w:t>147.6</w:t>
            </w:r>
          </w:p>
        </w:tc>
      </w:tr>
      <w:tr w:rsidR="00274914" w:rsidRPr="002F17B5" w:rsidTr="004F533E">
        <w:tc>
          <w:tcPr>
            <w:tcW w:w="4394" w:type="dxa"/>
          </w:tcPr>
          <w:p w:rsidR="00274914" w:rsidRPr="002F17B5" w:rsidRDefault="00274914" w:rsidP="004F533E">
            <w:pPr>
              <w:spacing w:after="60"/>
            </w:pPr>
            <w:r w:rsidRPr="002F17B5">
              <w:t>Overseas  fixed income</w:t>
            </w:r>
          </w:p>
        </w:tc>
        <w:tc>
          <w:tcPr>
            <w:tcW w:w="2200" w:type="dxa"/>
          </w:tcPr>
          <w:p w:rsidR="00274914" w:rsidRPr="002F17B5" w:rsidRDefault="00274914" w:rsidP="004F533E">
            <w:pPr>
              <w:spacing w:after="60"/>
              <w:jc w:val="right"/>
            </w:pPr>
            <w:r w:rsidRPr="002F17B5">
              <w:t>970.3</w:t>
            </w:r>
          </w:p>
        </w:tc>
        <w:tc>
          <w:tcPr>
            <w:tcW w:w="1984" w:type="dxa"/>
            <w:gridSpan w:val="2"/>
          </w:tcPr>
          <w:p w:rsidR="00274914" w:rsidRPr="002F17B5" w:rsidRDefault="00274914" w:rsidP="004F533E">
            <w:pPr>
              <w:spacing w:after="60"/>
              <w:jc w:val="right"/>
            </w:pPr>
            <w:r w:rsidRPr="002F17B5">
              <w:t>1,028.5</w:t>
            </w:r>
          </w:p>
        </w:tc>
        <w:tc>
          <w:tcPr>
            <w:tcW w:w="1769" w:type="dxa"/>
            <w:gridSpan w:val="2"/>
          </w:tcPr>
          <w:p w:rsidR="00274914" w:rsidRPr="002F17B5" w:rsidRDefault="00274914" w:rsidP="004F533E">
            <w:pPr>
              <w:spacing w:after="60"/>
              <w:jc w:val="right"/>
            </w:pPr>
            <w:r w:rsidRPr="002F17B5">
              <w:t>912.1</w:t>
            </w:r>
          </w:p>
        </w:tc>
      </w:tr>
      <w:tr w:rsidR="00274914" w:rsidRPr="002F17B5" w:rsidTr="004F533E">
        <w:tc>
          <w:tcPr>
            <w:tcW w:w="4394" w:type="dxa"/>
          </w:tcPr>
          <w:p w:rsidR="00274914" w:rsidRPr="002F17B5" w:rsidRDefault="00274914" w:rsidP="004F533E">
            <w:pPr>
              <w:spacing w:after="60"/>
            </w:pPr>
            <w:r w:rsidRPr="002F17B5">
              <w:t>Overseas pooled investments</w:t>
            </w:r>
          </w:p>
        </w:tc>
        <w:tc>
          <w:tcPr>
            <w:tcW w:w="2200" w:type="dxa"/>
          </w:tcPr>
          <w:p w:rsidR="00274914" w:rsidRPr="002F17B5" w:rsidRDefault="00274914" w:rsidP="004F533E">
            <w:pPr>
              <w:spacing w:after="60"/>
              <w:jc w:val="right"/>
            </w:pPr>
            <w:r w:rsidRPr="002F17B5">
              <w:t>956.8</w:t>
            </w:r>
          </w:p>
        </w:tc>
        <w:tc>
          <w:tcPr>
            <w:tcW w:w="1984" w:type="dxa"/>
            <w:gridSpan w:val="2"/>
          </w:tcPr>
          <w:p w:rsidR="00274914" w:rsidRPr="002F17B5" w:rsidRDefault="00274914" w:rsidP="004F533E">
            <w:pPr>
              <w:spacing w:after="60"/>
              <w:jc w:val="right"/>
            </w:pPr>
            <w:r w:rsidRPr="002F17B5">
              <w:t>1,014.2</w:t>
            </w:r>
          </w:p>
        </w:tc>
        <w:tc>
          <w:tcPr>
            <w:tcW w:w="1769" w:type="dxa"/>
            <w:gridSpan w:val="2"/>
          </w:tcPr>
          <w:p w:rsidR="00274914" w:rsidRPr="002F17B5" w:rsidRDefault="00274914" w:rsidP="004F533E">
            <w:pPr>
              <w:spacing w:after="60"/>
              <w:jc w:val="right"/>
            </w:pPr>
            <w:r w:rsidRPr="002F17B5">
              <w:t>899.4</w:t>
            </w:r>
          </w:p>
        </w:tc>
      </w:tr>
      <w:tr w:rsidR="00274914" w:rsidRPr="002F17B5" w:rsidTr="004F533E">
        <w:tc>
          <w:tcPr>
            <w:tcW w:w="4394" w:type="dxa"/>
          </w:tcPr>
          <w:p w:rsidR="00274914" w:rsidRPr="002F17B5" w:rsidRDefault="00274914" w:rsidP="004F533E">
            <w:pPr>
              <w:spacing w:after="60"/>
              <w:rPr>
                <w:b/>
              </w:rPr>
            </w:pPr>
            <w:r w:rsidRPr="002F17B5">
              <w:rPr>
                <w:b/>
              </w:rPr>
              <w:t xml:space="preserve">Total change in assets available  </w:t>
            </w:r>
          </w:p>
        </w:tc>
        <w:tc>
          <w:tcPr>
            <w:tcW w:w="2200" w:type="dxa"/>
          </w:tcPr>
          <w:p w:rsidR="00274914" w:rsidRPr="002F17B5" w:rsidRDefault="00274914" w:rsidP="004F533E">
            <w:pPr>
              <w:spacing w:after="60"/>
              <w:jc w:val="right"/>
              <w:rPr>
                <w:b/>
              </w:rPr>
            </w:pPr>
            <w:r w:rsidRPr="002F17B5">
              <w:rPr>
                <w:b/>
              </w:rPr>
              <w:t>3,773.9</w:t>
            </w:r>
          </w:p>
        </w:tc>
        <w:tc>
          <w:tcPr>
            <w:tcW w:w="1984" w:type="dxa"/>
            <w:gridSpan w:val="2"/>
          </w:tcPr>
          <w:p w:rsidR="00274914" w:rsidRPr="002F17B5" w:rsidRDefault="00274914" w:rsidP="004F533E">
            <w:pPr>
              <w:spacing w:after="60"/>
              <w:jc w:val="right"/>
              <w:rPr>
                <w:b/>
              </w:rPr>
            </w:pPr>
            <w:r w:rsidRPr="002F17B5">
              <w:rPr>
                <w:b/>
              </w:rPr>
              <w:t>4,000.2</w:t>
            </w:r>
          </w:p>
        </w:tc>
        <w:tc>
          <w:tcPr>
            <w:tcW w:w="1769" w:type="dxa"/>
            <w:gridSpan w:val="2"/>
          </w:tcPr>
          <w:p w:rsidR="00274914" w:rsidRPr="002F17B5" w:rsidRDefault="00274914" w:rsidP="008E1C37">
            <w:pPr>
              <w:spacing w:after="60"/>
              <w:jc w:val="right"/>
              <w:rPr>
                <w:b/>
              </w:rPr>
            </w:pPr>
            <w:r w:rsidRPr="002F17B5">
              <w:rPr>
                <w:b/>
              </w:rPr>
              <w:t>3,547.5</w:t>
            </w:r>
          </w:p>
        </w:tc>
      </w:tr>
      <w:tr w:rsidR="00274914" w:rsidRPr="002F17B5" w:rsidTr="004F533E">
        <w:tc>
          <w:tcPr>
            <w:tcW w:w="4394" w:type="dxa"/>
          </w:tcPr>
          <w:p w:rsidR="00274914" w:rsidRPr="002F17B5" w:rsidRDefault="00274914" w:rsidP="004F533E">
            <w:pPr>
              <w:spacing w:after="60"/>
              <w:rPr>
                <w:b/>
              </w:rPr>
            </w:pPr>
            <w:r w:rsidRPr="002F17B5">
              <w:lastRenderedPageBreak/>
              <w:t xml:space="preserve">  </w:t>
            </w:r>
            <w:r w:rsidRPr="002F17B5">
              <w:rPr>
                <w:b/>
              </w:rPr>
              <w:t xml:space="preserve">Currency exposure – asset type </w:t>
            </w:r>
          </w:p>
        </w:tc>
        <w:tc>
          <w:tcPr>
            <w:tcW w:w="2268" w:type="dxa"/>
            <w:gridSpan w:val="2"/>
          </w:tcPr>
          <w:p w:rsidR="00274914" w:rsidRPr="002F17B5" w:rsidRDefault="00274914" w:rsidP="004F533E">
            <w:pPr>
              <w:spacing w:after="60"/>
              <w:jc w:val="right"/>
              <w:rPr>
                <w:b/>
              </w:rPr>
            </w:pPr>
          </w:p>
          <w:p w:rsidR="00274914" w:rsidRPr="002F17B5" w:rsidRDefault="00BD5FF0" w:rsidP="004F533E">
            <w:pPr>
              <w:spacing w:after="60"/>
              <w:jc w:val="right"/>
              <w:rPr>
                <w:b/>
              </w:rPr>
            </w:pPr>
            <w:r w:rsidRPr="002F17B5">
              <w:rPr>
                <w:b/>
              </w:rPr>
              <w:t>31/03/13*</w:t>
            </w:r>
          </w:p>
        </w:tc>
        <w:tc>
          <w:tcPr>
            <w:tcW w:w="3685" w:type="dxa"/>
            <w:gridSpan w:val="3"/>
          </w:tcPr>
          <w:p w:rsidR="00274914" w:rsidRPr="002F17B5" w:rsidRDefault="00274914" w:rsidP="004F533E">
            <w:pPr>
              <w:spacing w:after="60"/>
              <w:jc w:val="right"/>
              <w:rPr>
                <w:b/>
              </w:rPr>
            </w:pPr>
            <w:r w:rsidRPr="002F17B5">
              <w:rPr>
                <w:b/>
              </w:rPr>
              <w:t xml:space="preserve">*Change to net assets available to pay benefits </w:t>
            </w:r>
          </w:p>
        </w:tc>
      </w:tr>
      <w:tr w:rsidR="00274914" w:rsidRPr="002F17B5" w:rsidTr="004F533E">
        <w:tc>
          <w:tcPr>
            <w:tcW w:w="4394" w:type="dxa"/>
          </w:tcPr>
          <w:p w:rsidR="00274914" w:rsidRPr="002F17B5" w:rsidRDefault="00274914" w:rsidP="004F533E">
            <w:pPr>
              <w:spacing w:after="60"/>
            </w:pPr>
          </w:p>
        </w:tc>
        <w:tc>
          <w:tcPr>
            <w:tcW w:w="2268" w:type="dxa"/>
            <w:gridSpan w:val="2"/>
          </w:tcPr>
          <w:p w:rsidR="00274914" w:rsidRPr="002F17B5" w:rsidRDefault="00274914" w:rsidP="004F533E">
            <w:pPr>
              <w:spacing w:after="60"/>
              <w:jc w:val="right"/>
              <w:rPr>
                <w:b/>
              </w:rPr>
            </w:pPr>
          </w:p>
        </w:tc>
        <w:tc>
          <w:tcPr>
            <w:tcW w:w="1984" w:type="dxa"/>
            <w:gridSpan w:val="2"/>
          </w:tcPr>
          <w:p w:rsidR="00274914" w:rsidRPr="002F17B5" w:rsidRDefault="00274914" w:rsidP="004F533E">
            <w:pPr>
              <w:spacing w:after="60"/>
              <w:ind w:left="1038"/>
              <w:jc w:val="right"/>
              <w:rPr>
                <w:b/>
              </w:rPr>
            </w:pPr>
            <w:r w:rsidRPr="002F17B5">
              <w:rPr>
                <w:b/>
              </w:rPr>
              <w:t>+6.1%</w:t>
            </w:r>
          </w:p>
        </w:tc>
        <w:tc>
          <w:tcPr>
            <w:tcW w:w="1701" w:type="dxa"/>
          </w:tcPr>
          <w:p w:rsidR="00274914" w:rsidRPr="002F17B5" w:rsidRDefault="00274914" w:rsidP="004F533E">
            <w:pPr>
              <w:spacing w:after="60"/>
              <w:ind w:right="34"/>
              <w:jc w:val="right"/>
              <w:rPr>
                <w:b/>
              </w:rPr>
            </w:pPr>
            <w:r w:rsidRPr="002F17B5">
              <w:rPr>
                <w:b/>
              </w:rPr>
              <w:t>-6.1%</w:t>
            </w:r>
          </w:p>
        </w:tc>
      </w:tr>
      <w:tr w:rsidR="00274914" w:rsidRPr="002F17B5" w:rsidTr="004F533E">
        <w:tc>
          <w:tcPr>
            <w:tcW w:w="4394" w:type="dxa"/>
          </w:tcPr>
          <w:p w:rsidR="00274914" w:rsidRPr="002F17B5" w:rsidRDefault="00274914" w:rsidP="004F533E">
            <w:pPr>
              <w:spacing w:after="60"/>
            </w:pPr>
          </w:p>
        </w:tc>
        <w:tc>
          <w:tcPr>
            <w:tcW w:w="2268" w:type="dxa"/>
            <w:gridSpan w:val="2"/>
          </w:tcPr>
          <w:p w:rsidR="00274914" w:rsidRPr="002F17B5" w:rsidRDefault="00274914" w:rsidP="004F533E">
            <w:pPr>
              <w:spacing w:after="60"/>
              <w:jc w:val="right"/>
              <w:rPr>
                <w:b/>
              </w:rPr>
            </w:pPr>
            <w:r w:rsidRPr="002F17B5">
              <w:rPr>
                <w:b/>
              </w:rPr>
              <w:t>£m</w:t>
            </w:r>
          </w:p>
        </w:tc>
        <w:tc>
          <w:tcPr>
            <w:tcW w:w="1984" w:type="dxa"/>
            <w:gridSpan w:val="2"/>
          </w:tcPr>
          <w:p w:rsidR="00274914" w:rsidRPr="002F17B5" w:rsidRDefault="00274914" w:rsidP="004F533E">
            <w:pPr>
              <w:spacing w:after="60"/>
              <w:ind w:left="1038"/>
              <w:jc w:val="right"/>
              <w:rPr>
                <w:b/>
              </w:rPr>
            </w:pPr>
            <w:r w:rsidRPr="002F17B5">
              <w:rPr>
                <w:b/>
              </w:rPr>
              <w:t>£m</w:t>
            </w:r>
          </w:p>
        </w:tc>
        <w:tc>
          <w:tcPr>
            <w:tcW w:w="1701" w:type="dxa"/>
          </w:tcPr>
          <w:p w:rsidR="00274914" w:rsidRPr="002F17B5" w:rsidRDefault="00274914" w:rsidP="004F533E">
            <w:pPr>
              <w:spacing w:after="60"/>
              <w:ind w:left="1038" w:right="34"/>
              <w:jc w:val="right"/>
              <w:rPr>
                <w:b/>
              </w:rPr>
            </w:pPr>
            <w:r w:rsidRPr="002F17B5">
              <w:rPr>
                <w:b/>
              </w:rPr>
              <w:t>£m</w:t>
            </w:r>
          </w:p>
        </w:tc>
      </w:tr>
      <w:tr w:rsidR="00274914" w:rsidRPr="002F17B5" w:rsidTr="004F533E">
        <w:tc>
          <w:tcPr>
            <w:tcW w:w="4394" w:type="dxa"/>
          </w:tcPr>
          <w:p w:rsidR="00274914" w:rsidRPr="002F17B5" w:rsidRDefault="00274914" w:rsidP="004F533E">
            <w:pPr>
              <w:spacing w:after="60"/>
            </w:pPr>
            <w:r w:rsidRPr="002F17B5">
              <w:t>Overseas  quoted securities</w:t>
            </w:r>
          </w:p>
        </w:tc>
        <w:tc>
          <w:tcPr>
            <w:tcW w:w="2268" w:type="dxa"/>
            <w:gridSpan w:val="2"/>
          </w:tcPr>
          <w:p w:rsidR="00274914" w:rsidRPr="002F17B5" w:rsidRDefault="00274914" w:rsidP="004F533E">
            <w:pPr>
              <w:spacing w:after="60"/>
              <w:jc w:val="right"/>
            </w:pPr>
            <w:r w:rsidRPr="002F17B5">
              <w:t>1,531.0</w:t>
            </w:r>
          </w:p>
        </w:tc>
        <w:tc>
          <w:tcPr>
            <w:tcW w:w="1984" w:type="dxa"/>
            <w:gridSpan w:val="2"/>
          </w:tcPr>
          <w:p w:rsidR="00274914" w:rsidRPr="002F17B5" w:rsidRDefault="00274914" w:rsidP="004F533E">
            <w:pPr>
              <w:spacing w:after="60"/>
              <w:jc w:val="right"/>
            </w:pPr>
            <w:r w:rsidRPr="002F17B5">
              <w:t>1,624.4</w:t>
            </w:r>
          </w:p>
        </w:tc>
        <w:tc>
          <w:tcPr>
            <w:tcW w:w="1701" w:type="dxa"/>
          </w:tcPr>
          <w:p w:rsidR="00274914" w:rsidRPr="002F17B5" w:rsidRDefault="00274914" w:rsidP="004F533E">
            <w:pPr>
              <w:spacing w:after="60"/>
              <w:ind w:right="34"/>
              <w:jc w:val="right"/>
            </w:pPr>
            <w:r w:rsidRPr="002F17B5">
              <w:t>1,437.6</w:t>
            </w:r>
          </w:p>
        </w:tc>
      </w:tr>
      <w:tr w:rsidR="00274914" w:rsidRPr="002F17B5" w:rsidTr="004F533E">
        <w:tc>
          <w:tcPr>
            <w:tcW w:w="4394" w:type="dxa"/>
          </w:tcPr>
          <w:p w:rsidR="00274914" w:rsidRPr="002F17B5" w:rsidRDefault="00274914" w:rsidP="004F533E">
            <w:pPr>
              <w:spacing w:after="60"/>
            </w:pPr>
            <w:r w:rsidRPr="002F17B5">
              <w:t>Overseas corporate bonds (quoted)</w:t>
            </w:r>
          </w:p>
        </w:tc>
        <w:tc>
          <w:tcPr>
            <w:tcW w:w="2268" w:type="dxa"/>
            <w:gridSpan w:val="2"/>
          </w:tcPr>
          <w:p w:rsidR="00274914" w:rsidRPr="002F17B5" w:rsidRDefault="00274914" w:rsidP="004F533E">
            <w:pPr>
              <w:spacing w:after="60"/>
              <w:jc w:val="right"/>
            </w:pPr>
            <w:r w:rsidRPr="002F17B5">
              <w:t>323.7</w:t>
            </w:r>
          </w:p>
        </w:tc>
        <w:tc>
          <w:tcPr>
            <w:tcW w:w="1984" w:type="dxa"/>
            <w:gridSpan w:val="2"/>
          </w:tcPr>
          <w:p w:rsidR="00274914" w:rsidRPr="002F17B5" w:rsidRDefault="00274914" w:rsidP="004F533E">
            <w:pPr>
              <w:spacing w:after="60"/>
              <w:jc w:val="right"/>
            </w:pPr>
            <w:r w:rsidRPr="002F17B5">
              <w:t>343.5</w:t>
            </w:r>
          </w:p>
        </w:tc>
        <w:tc>
          <w:tcPr>
            <w:tcW w:w="1701" w:type="dxa"/>
          </w:tcPr>
          <w:p w:rsidR="00274914" w:rsidRPr="002F17B5" w:rsidRDefault="00274914" w:rsidP="004F533E">
            <w:pPr>
              <w:spacing w:after="60"/>
              <w:ind w:right="34"/>
              <w:jc w:val="right"/>
            </w:pPr>
            <w:r w:rsidRPr="002F17B5">
              <w:t>303.9</w:t>
            </w:r>
          </w:p>
        </w:tc>
      </w:tr>
      <w:tr w:rsidR="00274914" w:rsidRPr="002F17B5" w:rsidTr="004F533E">
        <w:tc>
          <w:tcPr>
            <w:tcW w:w="4394" w:type="dxa"/>
          </w:tcPr>
          <w:p w:rsidR="00274914" w:rsidRPr="002F17B5" w:rsidRDefault="00274914" w:rsidP="004F533E">
            <w:pPr>
              <w:spacing w:after="60"/>
            </w:pPr>
            <w:r w:rsidRPr="002F17B5">
              <w:t>Overseas  fixed income</w:t>
            </w:r>
          </w:p>
        </w:tc>
        <w:tc>
          <w:tcPr>
            <w:tcW w:w="2268" w:type="dxa"/>
            <w:gridSpan w:val="2"/>
          </w:tcPr>
          <w:p w:rsidR="00274914" w:rsidRPr="002F17B5" w:rsidRDefault="00274914" w:rsidP="004F533E">
            <w:pPr>
              <w:spacing w:after="60"/>
              <w:jc w:val="right"/>
            </w:pPr>
            <w:r w:rsidRPr="002F17B5">
              <w:t>*412.0</w:t>
            </w:r>
          </w:p>
        </w:tc>
        <w:tc>
          <w:tcPr>
            <w:tcW w:w="1984" w:type="dxa"/>
            <w:gridSpan w:val="2"/>
          </w:tcPr>
          <w:p w:rsidR="00274914" w:rsidRPr="002F17B5" w:rsidRDefault="00274914" w:rsidP="004F533E">
            <w:pPr>
              <w:spacing w:after="60"/>
              <w:jc w:val="right"/>
            </w:pPr>
            <w:r w:rsidRPr="002F17B5">
              <w:t>*437.1</w:t>
            </w:r>
          </w:p>
        </w:tc>
        <w:tc>
          <w:tcPr>
            <w:tcW w:w="1701" w:type="dxa"/>
          </w:tcPr>
          <w:p w:rsidR="00274914" w:rsidRPr="002F17B5" w:rsidRDefault="00274914" w:rsidP="004F533E">
            <w:pPr>
              <w:spacing w:after="60"/>
              <w:ind w:right="34"/>
              <w:jc w:val="right"/>
            </w:pPr>
            <w:r w:rsidRPr="002F17B5">
              <w:t>*386.8</w:t>
            </w:r>
          </w:p>
        </w:tc>
      </w:tr>
      <w:tr w:rsidR="00274914" w:rsidRPr="002F17B5" w:rsidTr="004F533E">
        <w:tc>
          <w:tcPr>
            <w:tcW w:w="4394" w:type="dxa"/>
          </w:tcPr>
          <w:p w:rsidR="00274914" w:rsidRPr="002F17B5" w:rsidRDefault="00274914" w:rsidP="004F533E">
            <w:pPr>
              <w:spacing w:after="60"/>
            </w:pPr>
            <w:r w:rsidRPr="002F17B5">
              <w:t>Overseas pooled investments</w:t>
            </w:r>
          </w:p>
        </w:tc>
        <w:tc>
          <w:tcPr>
            <w:tcW w:w="2268" w:type="dxa"/>
            <w:gridSpan w:val="2"/>
          </w:tcPr>
          <w:p w:rsidR="00274914" w:rsidRPr="002F17B5" w:rsidRDefault="00274914" w:rsidP="004F533E">
            <w:pPr>
              <w:spacing w:after="60"/>
              <w:jc w:val="right"/>
            </w:pPr>
            <w:r w:rsidRPr="002F17B5">
              <w:t>*804.4</w:t>
            </w:r>
          </w:p>
        </w:tc>
        <w:tc>
          <w:tcPr>
            <w:tcW w:w="1984" w:type="dxa"/>
            <w:gridSpan w:val="2"/>
          </w:tcPr>
          <w:p w:rsidR="00274914" w:rsidRPr="002F17B5" w:rsidRDefault="00274914" w:rsidP="004F533E">
            <w:pPr>
              <w:spacing w:after="60"/>
              <w:jc w:val="right"/>
            </w:pPr>
            <w:r w:rsidRPr="002F17B5">
              <w:t>*853.5</w:t>
            </w:r>
          </w:p>
        </w:tc>
        <w:tc>
          <w:tcPr>
            <w:tcW w:w="1701" w:type="dxa"/>
          </w:tcPr>
          <w:p w:rsidR="00274914" w:rsidRPr="002F17B5" w:rsidRDefault="00274914" w:rsidP="004F533E">
            <w:pPr>
              <w:spacing w:after="60"/>
              <w:ind w:right="34"/>
              <w:jc w:val="right"/>
            </w:pPr>
            <w:r w:rsidRPr="002F17B5">
              <w:t>*755.3</w:t>
            </w:r>
          </w:p>
        </w:tc>
      </w:tr>
      <w:tr w:rsidR="00274914" w:rsidRPr="002F17B5" w:rsidTr="004F533E">
        <w:tc>
          <w:tcPr>
            <w:tcW w:w="4394" w:type="dxa"/>
          </w:tcPr>
          <w:p w:rsidR="00274914" w:rsidRPr="002F17B5" w:rsidRDefault="00274914" w:rsidP="004F533E">
            <w:pPr>
              <w:spacing w:after="60"/>
              <w:rPr>
                <w:b/>
              </w:rPr>
            </w:pPr>
            <w:r w:rsidRPr="002F17B5">
              <w:rPr>
                <w:b/>
              </w:rPr>
              <w:t xml:space="preserve">Total change in assets available  </w:t>
            </w:r>
          </w:p>
        </w:tc>
        <w:tc>
          <w:tcPr>
            <w:tcW w:w="2268" w:type="dxa"/>
            <w:gridSpan w:val="2"/>
          </w:tcPr>
          <w:p w:rsidR="00274914" w:rsidRPr="002F17B5" w:rsidRDefault="00274914" w:rsidP="004F533E">
            <w:pPr>
              <w:spacing w:after="60"/>
              <w:jc w:val="right"/>
              <w:rPr>
                <w:b/>
              </w:rPr>
            </w:pPr>
            <w:r w:rsidRPr="002F17B5">
              <w:rPr>
                <w:b/>
              </w:rPr>
              <w:t>3,071.1</w:t>
            </w:r>
          </w:p>
        </w:tc>
        <w:tc>
          <w:tcPr>
            <w:tcW w:w="1984" w:type="dxa"/>
            <w:gridSpan w:val="2"/>
          </w:tcPr>
          <w:p w:rsidR="00274914" w:rsidRPr="002F17B5" w:rsidRDefault="00274914" w:rsidP="004F533E">
            <w:pPr>
              <w:spacing w:after="60"/>
              <w:jc w:val="right"/>
              <w:rPr>
                <w:b/>
              </w:rPr>
            </w:pPr>
            <w:r w:rsidRPr="002F17B5">
              <w:rPr>
                <w:b/>
              </w:rPr>
              <w:t>3,258.5</w:t>
            </w:r>
          </w:p>
        </w:tc>
        <w:tc>
          <w:tcPr>
            <w:tcW w:w="1701" w:type="dxa"/>
          </w:tcPr>
          <w:p w:rsidR="00274914" w:rsidRPr="002F17B5" w:rsidRDefault="00274914" w:rsidP="004F533E">
            <w:pPr>
              <w:spacing w:after="60"/>
              <w:ind w:right="34"/>
              <w:jc w:val="right"/>
              <w:rPr>
                <w:b/>
              </w:rPr>
            </w:pPr>
            <w:r w:rsidRPr="002F17B5">
              <w:rPr>
                <w:b/>
              </w:rPr>
              <w:t>2883.6</w:t>
            </w:r>
          </w:p>
        </w:tc>
      </w:tr>
    </w:tbl>
    <w:p w:rsidR="00274914" w:rsidRPr="002F17B5" w:rsidRDefault="00274914" w:rsidP="00274914">
      <w:pPr>
        <w:ind w:left="567"/>
        <w:rPr>
          <w:sz w:val="14"/>
        </w:rPr>
      </w:pPr>
    </w:p>
    <w:p w:rsidR="00274914" w:rsidRPr="002F17B5" w:rsidRDefault="00274914" w:rsidP="00274914">
      <w:pPr>
        <w:ind w:left="567"/>
        <w:rPr>
          <w:sz w:val="22"/>
        </w:rPr>
      </w:pPr>
      <w:r w:rsidRPr="002F17B5">
        <w:rPr>
          <w:sz w:val="22"/>
        </w:rPr>
        <w:t>*Classification by asset type has been reviewed at an individual asset level for 2013/14.  For 2012/13 reporting the asset type was determined by review at an investment manager level.  Comparatives have been restated accordingly.</w:t>
      </w:r>
    </w:p>
    <w:p w:rsidR="004F533E" w:rsidRPr="002F17B5" w:rsidRDefault="004F533E" w:rsidP="00274914">
      <w:pPr>
        <w:ind w:left="709"/>
        <w:rPr>
          <w:sz w:val="28"/>
        </w:rPr>
      </w:pPr>
    </w:p>
    <w:p w:rsidR="00274914" w:rsidRPr="002F17B5" w:rsidRDefault="00274914" w:rsidP="00274914">
      <w:pPr>
        <w:ind w:firstLine="567"/>
        <w:rPr>
          <w:b/>
        </w:rPr>
      </w:pPr>
      <w:r w:rsidRPr="002F17B5">
        <w:rPr>
          <w:b/>
        </w:rPr>
        <w:t xml:space="preserve">Credit risk </w:t>
      </w:r>
    </w:p>
    <w:p w:rsidR="00274914" w:rsidRPr="002F17B5" w:rsidRDefault="00274914" w:rsidP="00274914">
      <w:pPr>
        <w:tabs>
          <w:tab w:val="left" w:pos="709"/>
        </w:tabs>
        <w:ind w:left="567" w:hanging="567"/>
        <w:rPr>
          <w:sz w:val="10"/>
        </w:rPr>
      </w:pPr>
      <w:r w:rsidRPr="002F17B5">
        <w:t xml:space="preserve">    </w:t>
      </w:r>
    </w:p>
    <w:p w:rsidR="00274914" w:rsidRPr="002F17B5" w:rsidRDefault="00274914" w:rsidP="00274914">
      <w:pPr>
        <w:ind w:left="709"/>
      </w:pPr>
      <w:r w:rsidRPr="002F17B5">
        <w:t xml:space="preserve">Credit risk represents the risk that the counterparty to a transaction or a financial instrument will fail to discharge an obligation and cause the Fund to incur financial loss.  The market values of investments generally reflect an assessment of credit in their pricing and consequently the risk of loss is implicitly provided for in the carrying value of the Fund's financial asset and liabilities.   </w:t>
      </w:r>
    </w:p>
    <w:p w:rsidR="00274914" w:rsidRPr="002F17B5" w:rsidRDefault="00274914" w:rsidP="00274914">
      <w:pPr>
        <w:ind w:left="709"/>
        <w:rPr>
          <w:sz w:val="12"/>
        </w:rPr>
      </w:pPr>
    </w:p>
    <w:p w:rsidR="00274914" w:rsidRPr="002F17B5" w:rsidRDefault="00274914" w:rsidP="00274914">
      <w:pPr>
        <w:ind w:left="709"/>
      </w:pPr>
      <w:r w:rsidRPr="002F17B5">
        <w:t xml:space="preserve">In essence the Fund's entire investment portfolio is exposed to some form of credit risk, with the exception of the derivatives positions, where the risk equates to the net market value of a positive derivative position.  However the selection of high quality counterparties, brokers and financial institutions minimise the credit risk that may occur through the failure to settle a transaction in a timely manner. </w:t>
      </w:r>
    </w:p>
    <w:p w:rsidR="00274914" w:rsidRPr="002F17B5" w:rsidRDefault="00274914" w:rsidP="00274914">
      <w:pPr>
        <w:ind w:left="709"/>
        <w:rPr>
          <w:sz w:val="18"/>
        </w:rPr>
      </w:pPr>
    </w:p>
    <w:p w:rsidR="00274914" w:rsidRPr="002F17B5" w:rsidRDefault="00274914" w:rsidP="00274914">
      <w:pPr>
        <w:ind w:left="709"/>
      </w:pPr>
      <w:r w:rsidRPr="002F17B5">
        <w:t xml:space="preserve">Contractual credit risk is represented by the net payment or receipts that remain outstanding, and the cost of replacing the derivatives position in the event of a counterparty default.  The residual risk is minimal due to the various insurance policies held by the exchanges to cover defaulting counterparties. </w:t>
      </w:r>
    </w:p>
    <w:p w:rsidR="00274914" w:rsidRPr="002F17B5" w:rsidRDefault="00274914" w:rsidP="00274914">
      <w:pPr>
        <w:ind w:left="709"/>
        <w:rPr>
          <w:sz w:val="18"/>
        </w:rPr>
      </w:pPr>
    </w:p>
    <w:p w:rsidR="00274914" w:rsidRPr="002F17B5" w:rsidRDefault="00274914" w:rsidP="00274914">
      <w:pPr>
        <w:ind w:left="709"/>
      </w:pPr>
      <w:r w:rsidRPr="002F17B5">
        <w:t xml:space="preserve">Credit risk on over-the-counter derivatives contracts is minimised as counterparties are recognised financial intermediaries with acceptable credit ratings determined by a recognised rating agency. </w:t>
      </w:r>
    </w:p>
    <w:p w:rsidR="00274914" w:rsidRPr="002F17B5" w:rsidRDefault="00274914" w:rsidP="00274914">
      <w:pPr>
        <w:ind w:left="709"/>
        <w:rPr>
          <w:sz w:val="14"/>
        </w:rPr>
      </w:pPr>
    </w:p>
    <w:p w:rsidR="00274914" w:rsidRPr="002F17B5" w:rsidRDefault="00274914" w:rsidP="00274914">
      <w:pPr>
        <w:ind w:left="709"/>
      </w:pPr>
      <w:r w:rsidRPr="002F17B5">
        <w:t xml:space="preserve">Deposits are not made with banks and financial instructions unless they are rated independent and meet the Fund's credit criteria.  The Fund has also set limits as to the maximum percentage of the deposits placed with any class of financial institution.  </w:t>
      </w:r>
    </w:p>
    <w:p w:rsidR="008E1C37" w:rsidRPr="002F17B5" w:rsidRDefault="008E1C37" w:rsidP="00274914">
      <w:pPr>
        <w:ind w:left="709"/>
      </w:pPr>
    </w:p>
    <w:p w:rsidR="008E1C37" w:rsidRPr="002F17B5" w:rsidRDefault="008E1C37" w:rsidP="00274914">
      <w:pPr>
        <w:ind w:left="709"/>
      </w:pPr>
    </w:p>
    <w:p w:rsidR="00454708" w:rsidRPr="002F17B5" w:rsidRDefault="00274914" w:rsidP="00274914">
      <w:pPr>
        <w:ind w:left="709"/>
      </w:pPr>
      <w:r w:rsidRPr="002F17B5">
        <w:lastRenderedPageBreak/>
        <w:t>The Fund's cash holding under its treasury management arrangements at 31</w:t>
      </w:r>
      <w:r w:rsidRPr="002F17B5">
        <w:rPr>
          <w:vertAlign w:val="superscript"/>
        </w:rPr>
        <w:t>st</w:t>
      </w:r>
      <w:r w:rsidRPr="002F17B5">
        <w:t xml:space="preserve"> March 2014 was £315.5m (31 March 2013: £170.5m.)  This was held with the following institutions: </w:t>
      </w:r>
    </w:p>
    <w:p w:rsidR="00274914" w:rsidRPr="002F17B5" w:rsidRDefault="00274914" w:rsidP="00274914">
      <w:pPr>
        <w:ind w:left="709"/>
      </w:pPr>
      <w:r w:rsidRPr="002F17B5">
        <w:t xml:space="preserve">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1560"/>
        <w:gridCol w:w="1984"/>
        <w:gridCol w:w="1984"/>
      </w:tblGrid>
      <w:tr w:rsidR="00274914" w:rsidRPr="002F17B5" w:rsidTr="00274914">
        <w:tc>
          <w:tcPr>
            <w:tcW w:w="3935" w:type="dxa"/>
          </w:tcPr>
          <w:p w:rsidR="00274914" w:rsidRPr="002F17B5" w:rsidRDefault="00274914" w:rsidP="00ED01E3">
            <w:pPr>
              <w:spacing w:after="40"/>
              <w:rPr>
                <w:b/>
              </w:rPr>
            </w:pPr>
            <w:r w:rsidRPr="002F17B5">
              <w:t xml:space="preserve"> </w:t>
            </w:r>
            <w:r w:rsidR="004F533E" w:rsidRPr="002F17B5">
              <w:br w:type="page"/>
            </w:r>
            <w:r w:rsidRPr="002F17B5">
              <w:rPr>
                <w:b/>
              </w:rPr>
              <w:t xml:space="preserve">Summary </w:t>
            </w:r>
          </w:p>
        </w:tc>
        <w:tc>
          <w:tcPr>
            <w:tcW w:w="1560" w:type="dxa"/>
          </w:tcPr>
          <w:p w:rsidR="00274914" w:rsidRPr="002F17B5" w:rsidRDefault="00274914" w:rsidP="00ED01E3">
            <w:pPr>
              <w:spacing w:after="40"/>
              <w:rPr>
                <w:b/>
              </w:rPr>
            </w:pPr>
            <w:r w:rsidRPr="002F17B5">
              <w:rPr>
                <w:b/>
              </w:rPr>
              <w:t xml:space="preserve">Rating </w:t>
            </w:r>
          </w:p>
        </w:tc>
        <w:tc>
          <w:tcPr>
            <w:tcW w:w="1984" w:type="dxa"/>
          </w:tcPr>
          <w:p w:rsidR="00274914" w:rsidRPr="002F17B5" w:rsidRDefault="00274914" w:rsidP="00ED01E3">
            <w:pPr>
              <w:spacing w:after="40"/>
              <w:jc w:val="right"/>
              <w:rPr>
                <w:b/>
              </w:rPr>
            </w:pPr>
          </w:p>
          <w:p w:rsidR="00274914" w:rsidRPr="002F17B5" w:rsidRDefault="00BD5FF0" w:rsidP="00ED01E3">
            <w:pPr>
              <w:spacing w:after="40"/>
              <w:jc w:val="right"/>
              <w:rPr>
                <w:b/>
              </w:rPr>
            </w:pPr>
            <w:r w:rsidRPr="002F17B5">
              <w:rPr>
                <w:b/>
              </w:rPr>
              <w:t>31/03/14</w:t>
            </w:r>
            <w:r w:rsidR="00274914" w:rsidRPr="002F17B5">
              <w:rPr>
                <w:b/>
              </w:rPr>
              <w:t xml:space="preserve"> </w:t>
            </w:r>
          </w:p>
        </w:tc>
        <w:tc>
          <w:tcPr>
            <w:tcW w:w="1984" w:type="dxa"/>
          </w:tcPr>
          <w:p w:rsidR="00BD5FF0" w:rsidRPr="002F17B5" w:rsidRDefault="00BD5FF0" w:rsidP="00ED01E3">
            <w:pPr>
              <w:spacing w:after="40"/>
              <w:jc w:val="right"/>
              <w:rPr>
                <w:b/>
              </w:rPr>
            </w:pPr>
          </w:p>
          <w:p w:rsidR="00274914" w:rsidRPr="002F17B5" w:rsidRDefault="00BD5FF0" w:rsidP="00ED01E3">
            <w:pPr>
              <w:spacing w:after="40"/>
              <w:jc w:val="right"/>
              <w:rPr>
                <w:b/>
              </w:rPr>
            </w:pPr>
            <w:r w:rsidRPr="002F17B5">
              <w:rPr>
                <w:b/>
              </w:rPr>
              <w:t>31/03/13</w:t>
            </w:r>
          </w:p>
        </w:tc>
      </w:tr>
      <w:tr w:rsidR="00274914" w:rsidRPr="002F17B5" w:rsidTr="00274914">
        <w:tc>
          <w:tcPr>
            <w:tcW w:w="3935" w:type="dxa"/>
          </w:tcPr>
          <w:p w:rsidR="00274914" w:rsidRPr="002F17B5" w:rsidRDefault="00274914" w:rsidP="00ED01E3">
            <w:pPr>
              <w:spacing w:after="40"/>
              <w:rPr>
                <w:b/>
              </w:rPr>
            </w:pPr>
            <w:r w:rsidRPr="002F17B5">
              <w:rPr>
                <w:b/>
              </w:rPr>
              <w:t>Bank deposit accounts</w:t>
            </w:r>
          </w:p>
        </w:tc>
        <w:tc>
          <w:tcPr>
            <w:tcW w:w="1560" w:type="dxa"/>
          </w:tcPr>
          <w:p w:rsidR="00274914" w:rsidRPr="002F17B5" w:rsidRDefault="00274914" w:rsidP="00ED01E3">
            <w:pPr>
              <w:spacing w:after="40"/>
              <w:rPr>
                <w:b/>
              </w:rPr>
            </w:pPr>
          </w:p>
        </w:tc>
        <w:tc>
          <w:tcPr>
            <w:tcW w:w="1984" w:type="dxa"/>
          </w:tcPr>
          <w:p w:rsidR="00274914" w:rsidRPr="002F17B5" w:rsidRDefault="00274914" w:rsidP="00ED01E3">
            <w:pPr>
              <w:spacing w:after="40"/>
              <w:jc w:val="right"/>
              <w:rPr>
                <w:b/>
              </w:rPr>
            </w:pPr>
            <w:r w:rsidRPr="002F17B5">
              <w:rPr>
                <w:b/>
              </w:rPr>
              <w:t>£m</w:t>
            </w:r>
          </w:p>
        </w:tc>
        <w:tc>
          <w:tcPr>
            <w:tcW w:w="1984" w:type="dxa"/>
          </w:tcPr>
          <w:p w:rsidR="00274914" w:rsidRPr="002F17B5" w:rsidRDefault="00274914" w:rsidP="00ED01E3">
            <w:pPr>
              <w:spacing w:after="40"/>
              <w:jc w:val="right"/>
              <w:rPr>
                <w:b/>
              </w:rPr>
            </w:pPr>
            <w:r w:rsidRPr="002F17B5">
              <w:rPr>
                <w:b/>
              </w:rPr>
              <w:t>£m</w:t>
            </w:r>
          </w:p>
        </w:tc>
      </w:tr>
      <w:tr w:rsidR="00274914" w:rsidRPr="002F17B5" w:rsidTr="00274914">
        <w:tc>
          <w:tcPr>
            <w:tcW w:w="3935" w:type="dxa"/>
          </w:tcPr>
          <w:p w:rsidR="00274914" w:rsidRPr="002F17B5" w:rsidRDefault="00274914" w:rsidP="00ED01E3">
            <w:pPr>
              <w:spacing w:after="40"/>
            </w:pPr>
            <w:r w:rsidRPr="002F17B5">
              <w:t xml:space="preserve">Ulster Bank </w:t>
            </w:r>
          </w:p>
        </w:tc>
        <w:tc>
          <w:tcPr>
            <w:tcW w:w="1560" w:type="dxa"/>
          </w:tcPr>
          <w:p w:rsidR="00274914" w:rsidRPr="002F17B5" w:rsidRDefault="00274914" w:rsidP="00ED01E3">
            <w:pPr>
              <w:spacing w:after="40"/>
              <w:jc w:val="center"/>
            </w:pPr>
            <w:r w:rsidRPr="002F17B5">
              <w:t>Baa3</w:t>
            </w:r>
          </w:p>
        </w:tc>
        <w:tc>
          <w:tcPr>
            <w:tcW w:w="1984" w:type="dxa"/>
          </w:tcPr>
          <w:p w:rsidR="00274914" w:rsidRPr="002F17B5" w:rsidRDefault="00274914" w:rsidP="00ED01E3">
            <w:pPr>
              <w:spacing w:after="40"/>
              <w:jc w:val="right"/>
            </w:pPr>
            <w:r w:rsidRPr="002F17B5">
              <w:t>5.0</w:t>
            </w:r>
          </w:p>
        </w:tc>
        <w:tc>
          <w:tcPr>
            <w:tcW w:w="1984" w:type="dxa"/>
          </w:tcPr>
          <w:p w:rsidR="00274914" w:rsidRPr="002F17B5" w:rsidRDefault="00274914" w:rsidP="00ED01E3">
            <w:pPr>
              <w:spacing w:after="40"/>
              <w:ind w:left="363" w:hanging="363"/>
              <w:jc w:val="right"/>
            </w:pPr>
            <w:r w:rsidRPr="002F17B5">
              <w:t>5.0</w:t>
            </w:r>
          </w:p>
        </w:tc>
      </w:tr>
      <w:tr w:rsidR="00274914" w:rsidRPr="002F17B5" w:rsidTr="00274914">
        <w:tc>
          <w:tcPr>
            <w:tcW w:w="3935" w:type="dxa"/>
          </w:tcPr>
          <w:p w:rsidR="00274914" w:rsidRPr="002F17B5" w:rsidRDefault="00274914" w:rsidP="00ED01E3">
            <w:pPr>
              <w:spacing w:after="40"/>
            </w:pPr>
            <w:r w:rsidRPr="002F17B5">
              <w:t>Northern Trust</w:t>
            </w:r>
          </w:p>
        </w:tc>
        <w:tc>
          <w:tcPr>
            <w:tcW w:w="1560" w:type="dxa"/>
          </w:tcPr>
          <w:p w:rsidR="00274914" w:rsidRPr="002F17B5" w:rsidRDefault="00274914" w:rsidP="00ED01E3">
            <w:pPr>
              <w:spacing w:after="40"/>
              <w:jc w:val="center"/>
            </w:pPr>
            <w:r w:rsidRPr="002F17B5">
              <w:t>A1</w:t>
            </w:r>
          </w:p>
        </w:tc>
        <w:tc>
          <w:tcPr>
            <w:tcW w:w="1984" w:type="dxa"/>
          </w:tcPr>
          <w:p w:rsidR="00274914" w:rsidRPr="002F17B5" w:rsidRDefault="00274914" w:rsidP="00ED01E3">
            <w:pPr>
              <w:spacing w:after="40"/>
              <w:jc w:val="right"/>
            </w:pPr>
            <w:r w:rsidRPr="002F17B5">
              <w:t>248.0</w:t>
            </w:r>
          </w:p>
        </w:tc>
        <w:tc>
          <w:tcPr>
            <w:tcW w:w="1984" w:type="dxa"/>
          </w:tcPr>
          <w:p w:rsidR="00274914" w:rsidRPr="002F17B5" w:rsidRDefault="00274914" w:rsidP="00ED01E3">
            <w:pPr>
              <w:spacing w:after="40"/>
              <w:jc w:val="right"/>
            </w:pPr>
            <w:r w:rsidRPr="002F17B5">
              <w:t>75.0</w:t>
            </w:r>
          </w:p>
        </w:tc>
      </w:tr>
      <w:tr w:rsidR="00274914" w:rsidRPr="002F17B5" w:rsidTr="00274914">
        <w:tc>
          <w:tcPr>
            <w:tcW w:w="3935" w:type="dxa"/>
          </w:tcPr>
          <w:p w:rsidR="00274914" w:rsidRPr="002F17B5" w:rsidRDefault="00274914" w:rsidP="00ED01E3">
            <w:pPr>
              <w:spacing w:after="40"/>
            </w:pPr>
            <w:proofErr w:type="spellStart"/>
            <w:r w:rsidRPr="002F17B5">
              <w:t>Svenska</w:t>
            </w:r>
            <w:proofErr w:type="spellEnd"/>
            <w:r w:rsidRPr="002F17B5">
              <w:t xml:space="preserve"> </w:t>
            </w:r>
            <w:proofErr w:type="spellStart"/>
            <w:r w:rsidRPr="002F17B5">
              <w:t>Handelsbanken</w:t>
            </w:r>
            <w:proofErr w:type="spellEnd"/>
          </w:p>
        </w:tc>
        <w:tc>
          <w:tcPr>
            <w:tcW w:w="1560" w:type="dxa"/>
          </w:tcPr>
          <w:p w:rsidR="00274914" w:rsidRPr="002F17B5" w:rsidRDefault="00274914" w:rsidP="00ED01E3">
            <w:pPr>
              <w:spacing w:after="40"/>
              <w:jc w:val="center"/>
            </w:pPr>
            <w:r w:rsidRPr="002F17B5">
              <w:t>Aa3</w:t>
            </w:r>
          </w:p>
        </w:tc>
        <w:tc>
          <w:tcPr>
            <w:tcW w:w="1984" w:type="dxa"/>
          </w:tcPr>
          <w:p w:rsidR="00274914" w:rsidRPr="002F17B5" w:rsidRDefault="00274914" w:rsidP="00ED01E3">
            <w:pPr>
              <w:spacing w:after="40"/>
              <w:jc w:val="right"/>
            </w:pPr>
            <w:r w:rsidRPr="002F17B5">
              <w:t>61.4</w:t>
            </w:r>
          </w:p>
        </w:tc>
        <w:tc>
          <w:tcPr>
            <w:tcW w:w="1984" w:type="dxa"/>
          </w:tcPr>
          <w:p w:rsidR="00274914" w:rsidRPr="002F17B5" w:rsidRDefault="00274914" w:rsidP="00ED01E3">
            <w:pPr>
              <w:spacing w:after="40"/>
              <w:jc w:val="right"/>
            </w:pPr>
            <w:r w:rsidRPr="002F17B5">
              <w:t>0.0</w:t>
            </w:r>
          </w:p>
        </w:tc>
      </w:tr>
      <w:tr w:rsidR="00274914" w:rsidRPr="002F17B5" w:rsidTr="00274914">
        <w:tc>
          <w:tcPr>
            <w:tcW w:w="3935" w:type="dxa"/>
          </w:tcPr>
          <w:p w:rsidR="00274914" w:rsidRPr="002F17B5" w:rsidRDefault="00274914" w:rsidP="00ED01E3">
            <w:pPr>
              <w:spacing w:after="40"/>
              <w:rPr>
                <w:b/>
              </w:rPr>
            </w:pPr>
            <w:r w:rsidRPr="002F17B5">
              <w:t>Bank of Scotland</w:t>
            </w:r>
          </w:p>
        </w:tc>
        <w:tc>
          <w:tcPr>
            <w:tcW w:w="1560" w:type="dxa"/>
          </w:tcPr>
          <w:p w:rsidR="00274914" w:rsidRPr="002F17B5" w:rsidRDefault="00274914" w:rsidP="00ED01E3">
            <w:pPr>
              <w:spacing w:after="40"/>
              <w:jc w:val="center"/>
            </w:pPr>
            <w:r w:rsidRPr="002F17B5">
              <w:t>A2</w:t>
            </w:r>
          </w:p>
        </w:tc>
        <w:tc>
          <w:tcPr>
            <w:tcW w:w="1984" w:type="dxa"/>
          </w:tcPr>
          <w:p w:rsidR="00274914" w:rsidRPr="002F17B5" w:rsidRDefault="00454708" w:rsidP="00ED01E3">
            <w:pPr>
              <w:spacing w:after="40"/>
              <w:jc w:val="right"/>
            </w:pPr>
            <w:r w:rsidRPr="002F17B5">
              <w:t>-</w:t>
            </w:r>
          </w:p>
        </w:tc>
        <w:tc>
          <w:tcPr>
            <w:tcW w:w="1984" w:type="dxa"/>
          </w:tcPr>
          <w:p w:rsidR="00274914" w:rsidRPr="002F17B5" w:rsidRDefault="00274914" w:rsidP="00ED01E3">
            <w:pPr>
              <w:spacing w:after="40"/>
              <w:jc w:val="right"/>
            </w:pPr>
            <w:r w:rsidRPr="002F17B5">
              <w:t>50.0</w:t>
            </w:r>
          </w:p>
        </w:tc>
      </w:tr>
      <w:tr w:rsidR="00274914" w:rsidRPr="002F17B5" w:rsidTr="00274914">
        <w:tc>
          <w:tcPr>
            <w:tcW w:w="3935" w:type="dxa"/>
          </w:tcPr>
          <w:p w:rsidR="00274914" w:rsidRPr="002F17B5" w:rsidRDefault="00274914" w:rsidP="00ED01E3">
            <w:pPr>
              <w:spacing w:after="40"/>
              <w:rPr>
                <w:b/>
              </w:rPr>
            </w:pPr>
            <w:r w:rsidRPr="002F17B5">
              <w:rPr>
                <w:b/>
              </w:rPr>
              <w:t xml:space="preserve">Bank Current Accounts </w:t>
            </w:r>
          </w:p>
        </w:tc>
        <w:tc>
          <w:tcPr>
            <w:tcW w:w="1560" w:type="dxa"/>
          </w:tcPr>
          <w:p w:rsidR="00274914" w:rsidRPr="002F17B5" w:rsidRDefault="00274914" w:rsidP="00ED01E3">
            <w:pPr>
              <w:spacing w:after="40"/>
              <w:jc w:val="center"/>
            </w:pPr>
          </w:p>
        </w:tc>
        <w:tc>
          <w:tcPr>
            <w:tcW w:w="1984" w:type="dxa"/>
          </w:tcPr>
          <w:p w:rsidR="00274914" w:rsidRPr="002F17B5" w:rsidRDefault="00274914" w:rsidP="00ED01E3">
            <w:pPr>
              <w:spacing w:after="40"/>
              <w:jc w:val="right"/>
            </w:pPr>
          </w:p>
        </w:tc>
        <w:tc>
          <w:tcPr>
            <w:tcW w:w="1984" w:type="dxa"/>
          </w:tcPr>
          <w:p w:rsidR="00274914" w:rsidRPr="002F17B5" w:rsidRDefault="00274914" w:rsidP="00ED01E3">
            <w:pPr>
              <w:spacing w:after="40"/>
              <w:jc w:val="right"/>
            </w:pPr>
          </w:p>
        </w:tc>
      </w:tr>
      <w:tr w:rsidR="00274914" w:rsidRPr="002F17B5" w:rsidTr="00274914">
        <w:tc>
          <w:tcPr>
            <w:tcW w:w="3935" w:type="dxa"/>
          </w:tcPr>
          <w:p w:rsidR="00274914" w:rsidRPr="002F17B5" w:rsidRDefault="00274914" w:rsidP="00ED01E3">
            <w:pPr>
              <w:spacing w:after="40"/>
            </w:pPr>
            <w:r w:rsidRPr="002F17B5">
              <w:t>NatWest Account</w:t>
            </w:r>
          </w:p>
        </w:tc>
        <w:tc>
          <w:tcPr>
            <w:tcW w:w="1560" w:type="dxa"/>
          </w:tcPr>
          <w:p w:rsidR="00274914" w:rsidRPr="002F17B5" w:rsidRDefault="00274914" w:rsidP="00ED01E3">
            <w:pPr>
              <w:spacing w:after="40"/>
              <w:jc w:val="center"/>
            </w:pPr>
            <w:r w:rsidRPr="002F17B5">
              <w:t>Baa1</w:t>
            </w:r>
          </w:p>
        </w:tc>
        <w:tc>
          <w:tcPr>
            <w:tcW w:w="1984" w:type="dxa"/>
          </w:tcPr>
          <w:p w:rsidR="00274914" w:rsidRPr="002F17B5" w:rsidRDefault="00274914" w:rsidP="00ED01E3">
            <w:pPr>
              <w:spacing w:after="40"/>
              <w:jc w:val="right"/>
            </w:pPr>
            <w:r w:rsidRPr="002F17B5">
              <w:t>1.1</w:t>
            </w:r>
          </w:p>
        </w:tc>
        <w:tc>
          <w:tcPr>
            <w:tcW w:w="1984" w:type="dxa"/>
          </w:tcPr>
          <w:p w:rsidR="00274914" w:rsidRPr="002F17B5" w:rsidRDefault="00274914" w:rsidP="00ED01E3">
            <w:pPr>
              <w:spacing w:after="40"/>
              <w:jc w:val="right"/>
            </w:pPr>
            <w:r w:rsidRPr="002F17B5">
              <w:t>40.5</w:t>
            </w:r>
          </w:p>
        </w:tc>
      </w:tr>
      <w:tr w:rsidR="00274914" w:rsidRPr="002F17B5" w:rsidTr="00274914">
        <w:tc>
          <w:tcPr>
            <w:tcW w:w="3935" w:type="dxa"/>
          </w:tcPr>
          <w:p w:rsidR="00274914" w:rsidRPr="002F17B5" w:rsidRDefault="00274914" w:rsidP="00ED01E3">
            <w:pPr>
              <w:spacing w:after="40"/>
              <w:rPr>
                <w:b/>
              </w:rPr>
            </w:pPr>
            <w:r w:rsidRPr="002F17B5">
              <w:rPr>
                <w:b/>
              </w:rPr>
              <w:t xml:space="preserve">Total </w:t>
            </w:r>
          </w:p>
        </w:tc>
        <w:tc>
          <w:tcPr>
            <w:tcW w:w="1560" w:type="dxa"/>
          </w:tcPr>
          <w:p w:rsidR="00274914" w:rsidRPr="002F17B5" w:rsidRDefault="00274914" w:rsidP="00ED01E3">
            <w:pPr>
              <w:spacing w:after="40"/>
            </w:pPr>
          </w:p>
        </w:tc>
        <w:tc>
          <w:tcPr>
            <w:tcW w:w="1984" w:type="dxa"/>
          </w:tcPr>
          <w:p w:rsidR="00274914" w:rsidRPr="002F17B5" w:rsidRDefault="00274914" w:rsidP="00ED01E3">
            <w:pPr>
              <w:spacing w:after="40"/>
              <w:jc w:val="right"/>
              <w:rPr>
                <w:b/>
              </w:rPr>
            </w:pPr>
            <w:r w:rsidRPr="002F17B5">
              <w:rPr>
                <w:b/>
              </w:rPr>
              <w:t>315.5</w:t>
            </w:r>
          </w:p>
        </w:tc>
        <w:tc>
          <w:tcPr>
            <w:tcW w:w="1984" w:type="dxa"/>
          </w:tcPr>
          <w:p w:rsidR="00274914" w:rsidRPr="002F17B5" w:rsidRDefault="00274914" w:rsidP="00ED01E3">
            <w:pPr>
              <w:spacing w:after="40"/>
              <w:jc w:val="right"/>
              <w:rPr>
                <w:b/>
              </w:rPr>
            </w:pPr>
            <w:r w:rsidRPr="002F17B5">
              <w:rPr>
                <w:b/>
              </w:rPr>
              <w:t>170.5</w:t>
            </w:r>
          </w:p>
          <w:p w:rsidR="00274914" w:rsidRPr="002F17B5" w:rsidRDefault="00274914" w:rsidP="00ED01E3">
            <w:pPr>
              <w:spacing w:after="40"/>
              <w:jc w:val="right"/>
              <w:rPr>
                <w:b/>
              </w:rPr>
            </w:pPr>
          </w:p>
        </w:tc>
      </w:tr>
      <w:tr w:rsidR="00454708" w:rsidRPr="002F17B5" w:rsidTr="00274914">
        <w:tc>
          <w:tcPr>
            <w:tcW w:w="3935" w:type="dxa"/>
          </w:tcPr>
          <w:p w:rsidR="00454708" w:rsidRPr="002F17B5" w:rsidRDefault="00454708" w:rsidP="008E1C37">
            <w:pPr>
              <w:spacing w:after="60"/>
              <w:rPr>
                <w:b/>
              </w:rPr>
            </w:pPr>
          </w:p>
        </w:tc>
        <w:tc>
          <w:tcPr>
            <w:tcW w:w="1560" w:type="dxa"/>
          </w:tcPr>
          <w:p w:rsidR="00454708" w:rsidRPr="002F17B5" w:rsidRDefault="00454708" w:rsidP="008E1C37">
            <w:pPr>
              <w:spacing w:after="60"/>
            </w:pPr>
          </w:p>
        </w:tc>
        <w:tc>
          <w:tcPr>
            <w:tcW w:w="1984" w:type="dxa"/>
          </w:tcPr>
          <w:p w:rsidR="00454708" w:rsidRPr="002F17B5" w:rsidRDefault="00454708" w:rsidP="008E1C37">
            <w:pPr>
              <w:spacing w:after="60"/>
              <w:jc w:val="right"/>
              <w:rPr>
                <w:b/>
              </w:rPr>
            </w:pPr>
          </w:p>
        </w:tc>
        <w:tc>
          <w:tcPr>
            <w:tcW w:w="1984" w:type="dxa"/>
          </w:tcPr>
          <w:p w:rsidR="00454708" w:rsidRPr="002F17B5" w:rsidRDefault="00454708" w:rsidP="008E1C37">
            <w:pPr>
              <w:spacing w:after="60"/>
              <w:jc w:val="right"/>
              <w:rPr>
                <w:b/>
              </w:rPr>
            </w:pPr>
          </w:p>
        </w:tc>
      </w:tr>
    </w:tbl>
    <w:p w:rsidR="00274914" w:rsidRPr="002F17B5" w:rsidRDefault="00274914" w:rsidP="00274914">
      <w:pPr>
        <w:ind w:firstLine="709"/>
        <w:rPr>
          <w:b/>
        </w:rPr>
      </w:pPr>
      <w:r w:rsidRPr="002F17B5">
        <w:rPr>
          <w:b/>
        </w:rPr>
        <w:t>Liquidity risks</w:t>
      </w:r>
    </w:p>
    <w:p w:rsidR="00274914" w:rsidRPr="002F17B5" w:rsidRDefault="00274914" w:rsidP="00274914">
      <w:pPr>
        <w:ind w:left="709"/>
        <w:rPr>
          <w:sz w:val="12"/>
        </w:rPr>
      </w:pPr>
    </w:p>
    <w:p w:rsidR="00274914" w:rsidRPr="002F17B5" w:rsidRDefault="00274914" w:rsidP="00274914">
      <w:pPr>
        <w:ind w:left="709"/>
      </w:pPr>
      <w:r w:rsidRPr="002F17B5">
        <w:t xml:space="preserve">Liquidity risk represents the risk that the Fund will not be able to meet its financial obligations as they fall due.  The Fund therefore takes steps to ensure that there are adequate cash resources to meet its commitments. </w:t>
      </w:r>
    </w:p>
    <w:p w:rsidR="00274914" w:rsidRPr="002F17B5" w:rsidRDefault="00274914" w:rsidP="00274914">
      <w:pPr>
        <w:ind w:left="709"/>
        <w:rPr>
          <w:sz w:val="14"/>
        </w:rPr>
      </w:pPr>
    </w:p>
    <w:p w:rsidR="00274914" w:rsidRPr="002F17B5" w:rsidRDefault="00274914" w:rsidP="00274914">
      <w:pPr>
        <w:ind w:left="709"/>
      </w:pPr>
      <w:r w:rsidRPr="002F17B5">
        <w:t xml:space="preserve">The Fund has immediate access to its cash holdings. </w:t>
      </w:r>
    </w:p>
    <w:p w:rsidR="00274914" w:rsidRPr="002F17B5" w:rsidRDefault="00274914" w:rsidP="00274914">
      <w:pPr>
        <w:ind w:left="709"/>
        <w:rPr>
          <w:sz w:val="10"/>
        </w:rPr>
      </w:pPr>
    </w:p>
    <w:p w:rsidR="00274914" w:rsidRPr="002F17B5" w:rsidRDefault="00274914" w:rsidP="00274914">
      <w:pPr>
        <w:ind w:left="709"/>
      </w:pPr>
      <w:r w:rsidRPr="002F17B5">
        <w:t xml:space="preserve">Management prepares periodic cash flow forecasts to understand and manage the timing of the Fund's cash flow.  The appropriate strategic level of cash balances to be held forms part of the Funds investment strategy. </w:t>
      </w:r>
    </w:p>
    <w:p w:rsidR="00274914" w:rsidRPr="002F17B5" w:rsidRDefault="00274914" w:rsidP="00274914">
      <w:pPr>
        <w:ind w:left="709"/>
        <w:rPr>
          <w:sz w:val="12"/>
        </w:rPr>
      </w:pPr>
    </w:p>
    <w:p w:rsidR="00274914" w:rsidRPr="002F17B5" w:rsidRDefault="00274914" w:rsidP="00274914">
      <w:pPr>
        <w:ind w:left="709"/>
      </w:pPr>
      <w:r w:rsidRPr="002F17B5">
        <w:t xml:space="preserve">All financial liabilities at 31 March 2014 are due within the one year. </w:t>
      </w:r>
    </w:p>
    <w:p w:rsidR="004F533E" w:rsidRPr="002F17B5" w:rsidRDefault="004F533E" w:rsidP="00274914">
      <w:pPr>
        <w:ind w:left="709"/>
      </w:pPr>
    </w:p>
    <w:p w:rsidR="00274914" w:rsidRPr="002F17B5" w:rsidRDefault="00274914" w:rsidP="009A4C35">
      <w:pPr>
        <w:numPr>
          <w:ilvl w:val="0"/>
          <w:numId w:val="89"/>
        </w:numPr>
        <w:autoSpaceDE/>
        <w:autoSpaceDN/>
        <w:adjustRightInd/>
        <w:spacing w:before="0"/>
        <w:jc w:val="left"/>
      </w:pPr>
      <w:r w:rsidRPr="002F17B5">
        <w:rPr>
          <w:b/>
        </w:rPr>
        <w:t>Additional Voluntary Contributions (AVC’s)</w:t>
      </w:r>
    </w:p>
    <w:p w:rsidR="004F533E" w:rsidRPr="002F17B5" w:rsidRDefault="00274914" w:rsidP="00274914">
      <w:pPr>
        <w:pStyle w:val="BodyTextIndent"/>
        <w:tabs>
          <w:tab w:val="left" w:pos="709"/>
        </w:tabs>
        <w:spacing w:after="0"/>
        <w:ind w:left="709"/>
        <w:rPr>
          <w:szCs w:val="24"/>
        </w:rPr>
      </w:pPr>
      <w:r w:rsidRPr="002F17B5">
        <w:rPr>
          <w:szCs w:val="24"/>
        </w:rPr>
        <w:t xml:space="preserve">Members participating in these AVC arrangements each receive an annual statement confirming the amounts held in their account and the movements during the year.  A summary of the information provided by Equitable Life and Prudential is shown below.  (This summary has not been subject to Audit and the Pension Fund relies on the individual contributors to check deductions made on their behalf are accurately reflected in the statements provided by the AVC providers). </w:t>
      </w:r>
    </w:p>
    <w:p w:rsidR="00ED01E3" w:rsidRPr="002F17B5" w:rsidRDefault="00ED01E3" w:rsidP="00274914">
      <w:pPr>
        <w:pStyle w:val="BodyTextIndent"/>
        <w:tabs>
          <w:tab w:val="left" w:pos="709"/>
        </w:tabs>
        <w:spacing w:after="0"/>
        <w:ind w:left="709"/>
        <w:rPr>
          <w:szCs w:val="24"/>
        </w:rPr>
      </w:pPr>
    </w:p>
    <w:p w:rsidR="00274914" w:rsidRPr="002F17B5" w:rsidRDefault="00274914" w:rsidP="00274914">
      <w:pPr>
        <w:pStyle w:val="BodyTextIndent"/>
        <w:tabs>
          <w:tab w:val="left" w:pos="709"/>
        </w:tabs>
        <w:spacing w:after="0"/>
        <w:ind w:left="709"/>
        <w:rPr>
          <w:szCs w:val="24"/>
        </w:rPr>
      </w:pPr>
      <w:r w:rsidRPr="002F17B5">
        <w:rPr>
          <w:szCs w:val="24"/>
        </w:rPr>
        <w:t xml:space="preserve"> The figures relate to the financial year 1 April 2013 to 31 March 2014 for Prudential and 1 September 2012 to 31 August 2013 for Equitable Life and are not included in the Pension Fund accounts in accordance with Regulations 5(2)(c) of the Pension Scheme (Management and Investment of Funds) Regulations 1998.</w:t>
      </w:r>
    </w:p>
    <w:p w:rsidR="004F533E" w:rsidRPr="002F17B5" w:rsidRDefault="004F533E" w:rsidP="00274914">
      <w:pPr>
        <w:pStyle w:val="BodyTextIndent"/>
        <w:tabs>
          <w:tab w:val="left" w:pos="709"/>
        </w:tabs>
        <w:spacing w:after="0"/>
        <w:ind w:left="709"/>
        <w:rPr>
          <w:szCs w:val="24"/>
        </w:rPr>
      </w:pPr>
    </w:p>
    <w:p w:rsidR="00274914" w:rsidRPr="002F17B5" w:rsidRDefault="00274914" w:rsidP="00274914">
      <w:pPr>
        <w:pStyle w:val="BodyTextIndent"/>
        <w:tabs>
          <w:tab w:val="left" w:pos="709"/>
        </w:tabs>
        <w:spacing w:after="0"/>
        <w:ind w:left="709"/>
        <w:rPr>
          <w:b/>
          <w:szCs w:val="24"/>
        </w:rPr>
      </w:pPr>
    </w:p>
    <w:p w:rsidR="00274914" w:rsidRPr="002F17B5" w:rsidRDefault="00274914" w:rsidP="00ED01E3">
      <w:pPr>
        <w:pStyle w:val="BodyTextIndent"/>
        <w:tabs>
          <w:tab w:val="left" w:pos="709"/>
        </w:tabs>
        <w:spacing w:after="60"/>
        <w:ind w:left="709"/>
        <w:rPr>
          <w:szCs w:val="24"/>
        </w:rPr>
      </w:pPr>
      <w:r w:rsidRPr="002F17B5">
        <w:rPr>
          <w:b/>
          <w:szCs w:val="24"/>
        </w:rPr>
        <w:t>Additional Voluntary Contributions</w:t>
      </w:r>
    </w:p>
    <w:tbl>
      <w:tblPr>
        <w:tblStyle w:val="TableGrid"/>
        <w:tblW w:w="100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5"/>
        <w:gridCol w:w="1722"/>
        <w:gridCol w:w="262"/>
        <w:gridCol w:w="1701"/>
        <w:gridCol w:w="236"/>
        <w:gridCol w:w="1324"/>
      </w:tblGrid>
      <w:tr w:rsidR="00274914" w:rsidRPr="002F17B5" w:rsidTr="00ED01E3">
        <w:tc>
          <w:tcPr>
            <w:tcW w:w="4775" w:type="dxa"/>
          </w:tcPr>
          <w:p w:rsidR="00274914" w:rsidRPr="002F17B5" w:rsidRDefault="00274914" w:rsidP="00ED01E3">
            <w:pPr>
              <w:spacing w:after="60"/>
              <w:ind w:right="283"/>
              <w:rPr>
                <w:b/>
              </w:rPr>
            </w:pPr>
          </w:p>
        </w:tc>
        <w:tc>
          <w:tcPr>
            <w:tcW w:w="1722" w:type="dxa"/>
          </w:tcPr>
          <w:p w:rsidR="00274914" w:rsidRPr="002F17B5" w:rsidRDefault="00274914" w:rsidP="00ED01E3">
            <w:pPr>
              <w:spacing w:after="60"/>
              <w:ind w:right="283"/>
              <w:jc w:val="right"/>
              <w:rPr>
                <w:b/>
              </w:rPr>
            </w:pPr>
            <w:r w:rsidRPr="002F17B5">
              <w:rPr>
                <w:b/>
              </w:rPr>
              <w:t>Equitable Life</w:t>
            </w:r>
          </w:p>
          <w:p w:rsidR="00274914" w:rsidRPr="002F17B5" w:rsidRDefault="00274914" w:rsidP="00ED01E3">
            <w:pPr>
              <w:spacing w:after="60"/>
              <w:ind w:right="283"/>
              <w:jc w:val="right"/>
              <w:rPr>
                <w:b/>
              </w:rPr>
            </w:pPr>
            <w:r w:rsidRPr="002F17B5">
              <w:rPr>
                <w:b/>
              </w:rPr>
              <w:t>£m</w:t>
            </w:r>
          </w:p>
        </w:tc>
        <w:tc>
          <w:tcPr>
            <w:tcW w:w="262" w:type="dxa"/>
            <w:tcBorders>
              <w:right w:val="single" w:sz="18" w:space="0" w:color="FFFFFF" w:themeColor="background1"/>
            </w:tcBorders>
          </w:tcPr>
          <w:p w:rsidR="00274914" w:rsidRPr="002F17B5" w:rsidRDefault="00274914" w:rsidP="00ED01E3">
            <w:pPr>
              <w:spacing w:after="60"/>
              <w:ind w:right="283"/>
              <w:jc w:val="right"/>
              <w:rPr>
                <w:b/>
              </w:rPr>
            </w:pPr>
          </w:p>
        </w:tc>
        <w:tc>
          <w:tcPr>
            <w:tcW w:w="1701" w:type="dxa"/>
            <w:tcBorders>
              <w:left w:val="single" w:sz="18" w:space="0" w:color="FFFFFF" w:themeColor="background1"/>
            </w:tcBorders>
          </w:tcPr>
          <w:p w:rsidR="00274914" w:rsidRPr="002F17B5" w:rsidRDefault="00274914" w:rsidP="00ED01E3">
            <w:pPr>
              <w:spacing w:after="60"/>
              <w:ind w:right="283"/>
              <w:jc w:val="right"/>
              <w:rPr>
                <w:b/>
              </w:rPr>
            </w:pPr>
            <w:r w:rsidRPr="002F17B5">
              <w:rPr>
                <w:b/>
              </w:rPr>
              <w:t>Prudential</w:t>
            </w:r>
          </w:p>
          <w:p w:rsidR="00274914" w:rsidRPr="002F17B5" w:rsidRDefault="00274914" w:rsidP="00ED01E3">
            <w:pPr>
              <w:spacing w:after="60"/>
              <w:ind w:right="283"/>
              <w:jc w:val="right"/>
              <w:rPr>
                <w:b/>
              </w:rPr>
            </w:pPr>
            <w:r w:rsidRPr="002F17B5">
              <w:rPr>
                <w:b/>
              </w:rPr>
              <w:t>£m</w:t>
            </w:r>
          </w:p>
        </w:tc>
        <w:tc>
          <w:tcPr>
            <w:tcW w:w="236" w:type="dxa"/>
            <w:tcBorders>
              <w:right w:val="single" w:sz="18" w:space="0" w:color="FFFFFF" w:themeColor="background1"/>
            </w:tcBorders>
          </w:tcPr>
          <w:p w:rsidR="00274914" w:rsidRPr="002F17B5" w:rsidRDefault="00274914" w:rsidP="00ED01E3">
            <w:pPr>
              <w:spacing w:after="60"/>
              <w:ind w:right="283"/>
              <w:jc w:val="right"/>
              <w:rPr>
                <w:b/>
              </w:rPr>
            </w:pPr>
          </w:p>
        </w:tc>
        <w:tc>
          <w:tcPr>
            <w:tcW w:w="1324" w:type="dxa"/>
            <w:tcBorders>
              <w:left w:val="single" w:sz="18" w:space="0" w:color="FFFFFF" w:themeColor="background1"/>
            </w:tcBorders>
          </w:tcPr>
          <w:p w:rsidR="00274914" w:rsidRPr="002F17B5" w:rsidRDefault="00274914" w:rsidP="00ED01E3">
            <w:pPr>
              <w:spacing w:after="60"/>
              <w:ind w:right="283"/>
              <w:jc w:val="right"/>
              <w:rPr>
                <w:b/>
              </w:rPr>
            </w:pPr>
            <w:r w:rsidRPr="002F17B5">
              <w:rPr>
                <w:b/>
              </w:rPr>
              <w:t>Total</w:t>
            </w:r>
          </w:p>
          <w:p w:rsidR="00274914" w:rsidRPr="002F17B5" w:rsidRDefault="00ED01E3" w:rsidP="00ED01E3">
            <w:pPr>
              <w:spacing w:after="60"/>
              <w:ind w:right="283"/>
              <w:jc w:val="right"/>
              <w:rPr>
                <w:b/>
              </w:rPr>
            </w:pPr>
            <w:r w:rsidRPr="002F17B5">
              <w:rPr>
                <w:b/>
              </w:rPr>
              <w:t>£m</w:t>
            </w:r>
          </w:p>
        </w:tc>
      </w:tr>
      <w:tr w:rsidR="00274914" w:rsidRPr="002F17B5" w:rsidTr="00ED01E3">
        <w:tc>
          <w:tcPr>
            <w:tcW w:w="4775" w:type="dxa"/>
          </w:tcPr>
          <w:p w:rsidR="00274914" w:rsidRPr="002F17B5" w:rsidRDefault="00274914" w:rsidP="00ED01E3">
            <w:pPr>
              <w:spacing w:after="60"/>
              <w:ind w:right="283"/>
              <w:jc w:val="left"/>
            </w:pPr>
            <w:r w:rsidRPr="002F17B5">
              <w:t>Value at the start of the year</w:t>
            </w:r>
          </w:p>
        </w:tc>
        <w:tc>
          <w:tcPr>
            <w:tcW w:w="1722" w:type="dxa"/>
          </w:tcPr>
          <w:p w:rsidR="00274914" w:rsidRPr="002F17B5" w:rsidRDefault="00274914" w:rsidP="00ED01E3">
            <w:pPr>
              <w:spacing w:after="60"/>
              <w:ind w:right="283"/>
              <w:jc w:val="right"/>
            </w:pPr>
            <w:r w:rsidRPr="002F17B5">
              <w:t>1.1</w:t>
            </w:r>
          </w:p>
        </w:tc>
        <w:tc>
          <w:tcPr>
            <w:tcW w:w="262" w:type="dxa"/>
            <w:tcBorders>
              <w:right w:val="single" w:sz="18" w:space="0" w:color="FFFFFF" w:themeColor="background1"/>
            </w:tcBorders>
          </w:tcPr>
          <w:p w:rsidR="00274914" w:rsidRPr="002F17B5" w:rsidRDefault="00274914" w:rsidP="00ED01E3">
            <w:pPr>
              <w:spacing w:after="60"/>
              <w:ind w:right="283"/>
              <w:jc w:val="right"/>
            </w:pPr>
          </w:p>
        </w:tc>
        <w:tc>
          <w:tcPr>
            <w:tcW w:w="1701" w:type="dxa"/>
            <w:tcBorders>
              <w:left w:val="single" w:sz="18" w:space="0" w:color="FFFFFF" w:themeColor="background1"/>
            </w:tcBorders>
          </w:tcPr>
          <w:p w:rsidR="00274914" w:rsidRPr="002F17B5" w:rsidRDefault="00274914" w:rsidP="00ED01E3">
            <w:pPr>
              <w:spacing w:after="60"/>
              <w:ind w:right="283"/>
              <w:jc w:val="right"/>
            </w:pPr>
            <w:r w:rsidRPr="002F17B5">
              <w:t>15.9</w:t>
            </w:r>
          </w:p>
        </w:tc>
        <w:tc>
          <w:tcPr>
            <w:tcW w:w="236" w:type="dxa"/>
            <w:tcBorders>
              <w:right w:val="single" w:sz="18" w:space="0" w:color="FFFFFF" w:themeColor="background1"/>
            </w:tcBorders>
          </w:tcPr>
          <w:p w:rsidR="00274914" w:rsidRPr="002F17B5" w:rsidRDefault="00274914" w:rsidP="00ED01E3">
            <w:pPr>
              <w:spacing w:after="60"/>
              <w:ind w:right="283"/>
              <w:jc w:val="right"/>
            </w:pPr>
          </w:p>
        </w:tc>
        <w:tc>
          <w:tcPr>
            <w:tcW w:w="1324" w:type="dxa"/>
            <w:tcBorders>
              <w:left w:val="single" w:sz="18" w:space="0" w:color="FFFFFF" w:themeColor="background1"/>
            </w:tcBorders>
          </w:tcPr>
          <w:p w:rsidR="00274914" w:rsidRPr="002F17B5" w:rsidRDefault="00274914" w:rsidP="00ED01E3">
            <w:pPr>
              <w:spacing w:after="60"/>
              <w:ind w:right="283"/>
              <w:jc w:val="right"/>
            </w:pPr>
            <w:r w:rsidRPr="002F17B5">
              <w:t>17.0</w:t>
            </w:r>
          </w:p>
        </w:tc>
      </w:tr>
      <w:tr w:rsidR="00274914" w:rsidRPr="002F17B5" w:rsidTr="00ED01E3">
        <w:tc>
          <w:tcPr>
            <w:tcW w:w="4775" w:type="dxa"/>
          </w:tcPr>
          <w:p w:rsidR="00274914" w:rsidRPr="002F17B5" w:rsidRDefault="00274914" w:rsidP="00ED01E3">
            <w:pPr>
              <w:spacing w:after="60"/>
              <w:ind w:right="283"/>
              <w:jc w:val="left"/>
            </w:pPr>
            <w:r w:rsidRPr="002F17B5">
              <w:t>Income (incl. Contributions, bonuses, interest, transfers in)</w:t>
            </w:r>
          </w:p>
        </w:tc>
        <w:tc>
          <w:tcPr>
            <w:tcW w:w="1722" w:type="dxa"/>
          </w:tcPr>
          <w:p w:rsidR="00274914" w:rsidRPr="002F17B5" w:rsidRDefault="00274914" w:rsidP="00ED01E3">
            <w:pPr>
              <w:spacing w:after="60"/>
              <w:ind w:right="283"/>
              <w:jc w:val="right"/>
            </w:pPr>
            <w:r w:rsidRPr="002F17B5">
              <w:t>0.1</w:t>
            </w:r>
          </w:p>
        </w:tc>
        <w:tc>
          <w:tcPr>
            <w:tcW w:w="262" w:type="dxa"/>
            <w:tcBorders>
              <w:right w:val="single" w:sz="18" w:space="0" w:color="FFFFFF" w:themeColor="background1"/>
            </w:tcBorders>
          </w:tcPr>
          <w:p w:rsidR="00274914" w:rsidRPr="002F17B5" w:rsidRDefault="00274914" w:rsidP="00ED01E3">
            <w:pPr>
              <w:spacing w:after="60"/>
              <w:ind w:right="283"/>
              <w:jc w:val="right"/>
            </w:pPr>
          </w:p>
        </w:tc>
        <w:tc>
          <w:tcPr>
            <w:tcW w:w="1701" w:type="dxa"/>
            <w:tcBorders>
              <w:left w:val="single" w:sz="18" w:space="0" w:color="FFFFFF" w:themeColor="background1"/>
            </w:tcBorders>
          </w:tcPr>
          <w:p w:rsidR="00274914" w:rsidRPr="002F17B5" w:rsidRDefault="00274914" w:rsidP="00ED01E3">
            <w:pPr>
              <w:spacing w:after="60"/>
              <w:ind w:right="283"/>
              <w:jc w:val="right"/>
            </w:pPr>
            <w:r w:rsidRPr="002F17B5">
              <w:t>5.3</w:t>
            </w:r>
          </w:p>
        </w:tc>
        <w:tc>
          <w:tcPr>
            <w:tcW w:w="236" w:type="dxa"/>
            <w:tcBorders>
              <w:right w:val="single" w:sz="18" w:space="0" w:color="FFFFFF" w:themeColor="background1"/>
            </w:tcBorders>
          </w:tcPr>
          <w:p w:rsidR="00274914" w:rsidRPr="002F17B5" w:rsidRDefault="00274914" w:rsidP="00ED01E3">
            <w:pPr>
              <w:spacing w:after="60"/>
              <w:ind w:right="283"/>
              <w:jc w:val="right"/>
            </w:pPr>
          </w:p>
        </w:tc>
        <w:tc>
          <w:tcPr>
            <w:tcW w:w="1324" w:type="dxa"/>
            <w:tcBorders>
              <w:left w:val="single" w:sz="18" w:space="0" w:color="FFFFFF" w:themeColor="background1"/>
            </w:tcBorders>
          </w:tcPr>
          <w:p w:rsidR="00274914" w:rsidRPr="002F17B5" w:rsidRDefault="00274914" w:rsidP="00ED01E3">
            <w:pPr>
              <w:spacing w:after="60"/>
              <w:ind w:right="283"/>
              <w:jc w:val="right"/>
            </w:pPr>
            <w:r w:rsidRPr="002F17B5">
              <w:t>5.4</w:t>
            </w:r>
          </w:p>
        </w:tc>
      </w:tr>
      <w:tr w:rsidR="00274914" w:rsidRPr="002F17B5" w:rsidTr="00ED01E3">
        <w:tc>
          <w:tcPr>
            <w:tcW w:w="4775" w:type="dxa"/>
          </w:tcPr>
          <w:p w:rsidR="00274914" w:rsidRPr="002F17B5" w:rsidRDefault="00274914" w:rsidP="00ED01E3">
            <w:pPr>
              <w:spacing w:after="60"/>
              <w:ind w:right="283"/>
              <w:jc w:val="left"/>
            </w:pPr>
            <w:r w:rsidRPr="002F17B5">
              <w:t>Expenditure (incl. Benefits, transfers out, change in market value)</w:t>
            </w:r>
          </w:p>
        </w:tc>
        <w:tc>
          <w:tcPr>
            <w:tcW w:w="1722" w:type="dxa"/>
            <w:tcBorders>
              <w:bottom w:val="single" w:sz="18" w:space="0" w:color="auto"/>
            </w:tcBorders>
          </w:tcPr>
          <w:p w:rsidR="00274914" w:rsidRPr="002F17B5" w:rsidRDefault="00274914" w:rsidP="00ED01E3">
            <w:pPr>
              <w:spacing w:after="60"/>
              <w:ind w:right="283"/>
              <w:jc w:val="right"/>
            </w:pPr>
            <w:r w:rsidRPr="002F17B5">
              <w:t>(0.1)</w:t>
            </w:r>
          </w:p>
        </w:tc>
        <w:tc>
          <w:tcPr>
            <w:tcW w:w="262" w:type="dxa"/>
            <w:tcBorders>
              <w:right w:val="single" w:sz="18" w:space="0" w:color="FFFFFF" w:themeColor="background1"/>
            </w:tcBorders>
          </w:tcPr>
          <w:p w:rsidR="00274914" w:rsidRPr="002F17B5" w:rsidRDefault="00274914" w:rsidP="00ED01E3">
            <w:pPr>
              <w:spacing w:after="60"/>
              <w:ind w:right="283"/>
              <w:jc w:val="right"/>
            </w:pPr>
          </w:p>
        </w:tc>
        <w:tc>
          <w:tcPr>
            <w:tcW w:w="1701" w:type="dxa"/>
            <w:tcBorders>
              <w:left w:val="single" w:sz="18" w:space="0" w:color="FFFFFF" w:themeColor="background1"/>
              <w:bottom w:val="single" w:sz="18" w:space="0" w:color="auto"/>
            </w:tcBorders>
          </w:tcPr>
          <w:p w:rsidR="00274914" w:rsidRPr="002F17B5" w:rsidRDefault="00274914" w:rsidP="00ED01E3">
            <w:pPr>
              <w:spacing w:after="60"/>
              <w:ind w:right="283"/>
              <w:jc w:val="right"/>
            </w:pPr>
            <w:r w:rsidRPr="002F17B5">
              <w:t>(1.4)</w:t>
            </w:r>
          </w:p>
        </w:tc>
        <w:tc>
          <w:tcPr>
            <w:tcW w:w="236" w:type="dxa"/>
            <w:tcBorders>
              <w:right w:val="single" w:sz="18" w:space="0" w:color="FFFFFF" w:themeColor="background1"/>
            </w:tcBorders>
          </w:tcPr>
          <w:p w:rsidR="00274914" w:rsidRPr="002F17B5" w:rsidRDefault="00274914" w:rsidP="00ED01E3">
            <w:pPr>
              <w:spacing w:after="60"/>
              <w:ind w:right="283"/>
              <w:jc w:val="right"/>
            </w:pPr>
          </w:p>
        </w:tc>
        <w:tc>
          <w:tcPr>
            <w:tcW w:w="1324" w:type="dxa"/>
            <w:tcBorders>
              <w:left w:val="single" w:sz="18" w:space="0" w:color="FFFFFF" w:themeColor="background1"/>
              <w:bottom w:val="single" w:sz="18" w:space="0" w:color="auto"/>
            </w:tcBorders>
          </w:tcPr>
          <w:p w:rsidR="00274914" w:rsidRPr="002F17B5" w:rsidRDefault="00274914" w:rsidP="00ED01E3">
            <w:pPr>
              <w:spacing w:after="60"/>
              <w:ind w:right="283"/>
              <w:jc w:val="right"/>
            </w:pPr>
            <w:r w:rsidRPr="002F17B5">
              <w:t>(1.5)</w:t>
            </w:r>
          </w:p>
        </w:tc>
      </w:tr>
      <w:tr w:rsidR="00274914" w:rsidRPr="002F17B5" w:rsidTr="00ED01E3">
        <w:tc>
          <w:tcPr>
            <w:tcW w:w="4775" w:type="dxa"/>
          </w:tcPr>
          <w:p w:rsidR="00274914" w:rsidRPr="002F17B5" w:rsidRDefault="00274914" w:rsidP="00ED01E3">
            <w:pPr>
              <w:spacing w:after="60"/>
              <w:ind w:right="283"/>
              <w:jc w:val="left"/>
            </w:pPr>
            <w:r w:rsidRPr="002F17B5">
              <w:t>Value at the end of the year</w:t>
            </w:r>
          </w:p>
        </w:tc>
        <w:tc>
          <w:tcPr>
            <w:tcW w:w="1722" w:type="dxa"/>
            <w:tcBorders>
              <w:top w:val="single" w:sz="18" w:space="0" w:color="auto"/>
              <w:bottom w:val="single" w:sz="18" w:space="0" w:color="auto"/>
            </w:tcBorders>
          </w:tcPr>
          <w:p w:rsidR="00274914" w:rsidRPr="002F17B5" w:rsidRDefault="00274914" w:rsidP="00ED01E3">
            <w:pPr>
              <w:spacing w:after="60"/>
              <w:ind w:right="283"/>
              <w:jc w:val="right"/>
            </w:pPr>
            <w:r w:rsidRPr="002F17B5">
              <w:t>1.1</w:t>
            </w:r>
          </w:p>
        </w:tc>
        <w:tc>
          <w:tcPr>
            <w:tcW w:w="262" w:type="dxa"/>
            <w:tcBorders>
              <w:right w:val="single" w:sz="18" w:space="0" w:color="FFFFFF" w:themeColor="background1"/>
            </w:tcBorders>
          </w:tcPr>
          <w:p w:rsidR="00274914" w:rsidRPr="002F17B5" w:rsidRDefault="00274914" w:rsidP="00ED01E3">
            <w:pPr>
              <w:spacing w:after="60"/>
              <w:ind w:right="283"/>
              <w:jc w:val="right"/>
            </w:pPr>
          </w:p>
        </w:tc>
        <w:tc>
          <w:tcPr>
            <w:tcW w:w="1701" w:type="dxa"/>
            <w:tcBorders>
              <w:top w:val="single" w:sz="18" w:space="0" w:color="auto"/>
              <w:left w:val="single" w:sz="18" w:space="0" w:color="FFFFFF" w:themeColor="background1"/>
              <w:bottom w:val="single" w:sz="18" w:space="0" w:color="auto"/>
            </w:tcBorders>
          </w:tcPr>
          <w:p w:rsidR="00274914" w:rsidRPr="002F17B5" w:rsidRDefault="00274914" w:rsidP="00ED01E3">
            <w:pPr>
              <w:spacing w:after="60"/>
              <w:ind w:right="283"/>
              <w:jc w:val="right"/>
            </w:pPr>
            <w:r w:rsidRPr="002F17B5">
              <w:t>19.8</w:t>
            </w:r>
          </w:p>
        </w:tc>
        <w:tc>
          <w:tcPr>
            <w:tcW w:w="236" w:type="dxa"/>
            <w:tcBorders>
              <w:right w:val="single" w:sz="18" w:space="0" w:color="FFFFFF" w:themeColor="background1"/>
            </w:tcBorders>
          </w:tcPr>
          <w:p w:rsidR="00274914" w:rsidRPr="002F17B5" w:rsidRDefault="00274914" w:rsidP="00ED01E3">
            <w:pPr>
              <w:spacing w:after="60"/>
              <w:ind w:right="283"/>
              <w:jc w:val="right"/>
            </w:pPr>
          </w:p>
        </w:tc>
        <w:tc>
          <w:tcPr>
            <w:tcW w:w="1324" w:type="dxa"/>
            <w:tcBorders>
              <w:top w:val="single" w:sz="18" w:space="0" w:color="auto"/>
              <w:left w:val="single" w:sz="18" w:space="0" w:color="FFFFFF" w:themeColor="background1"/>
              <w:bottom w:val="single" w:sz="18" w:space="0" w:color="auto"/>
            </w:tcBorders>
          </w:tcPr>
          <w:p w:rsidR="00274914" w:rsidRPr="002F17B5" w:rsidRDefault="00274914" w:rsidP="00ED01E3">
            <w:pPr>
              <w:spacing w:after="60"/>
              <w:ind w:right="283"/>
              <w:jc w:val="right"/>
            </w:pPr>
            <w:r w:rsidRPr="002F17B5">
              <w:t>20.9</w:t>
            </w:r>
          </w:p>
        </w:tc>
      </w:tr>
    </w:tbl>
    <w:p w:rsidR="00274914" w:rsidRPr="002F17B5" w:rsidRDefault="00274914" w:rsidP="00274914">
      <w:pPr>
        <w:pStyle w:val="BodyTextIndent"/>
        <w:tabs>
          <w:tab w:val="left" w:pos="709"/>
        </w:tabs>
        <w:spacing w:after="0"/>
        <w:ind w:left="709"/>
        <w:rPr>
          <w:szCs w:val="24"/>
        </w:rPr>
      </w:pPr>
    </w:p>
    <w:p w:rsidR="00274914" w:rsidRPr="002F17B5" w:rsidRDefault="00274914" w:rsidP="00274914">
      <w:pPr>
        <w:pStyle w:val="BodyTextIndent"/>
        <w:tabs>
          <w:tab w:val="left" w:pos="709"/>
        </w:tabs>
        <w:spacing w:after="0"/>
        <w:ind w:left="709"/>
        <w:rPr>
          <w:szCs w:val="24"/>
        </w:rPr>
      </w:pPr>
    </w:p>
    <w:p w:rsidR="004F533E" w:rsidRPr="002F17B5" w:rsidRDefault="004F533E" w:rsidP="00274914">
      <w:pPr>
        <w:pStyle w:val="BodyTextIndent"/>
        <w:tabs>
          <w:tab w:val="left" w:pos="709"/>
        </w:tabs>
        <w:spacing w:after="0"/>
        <w:ind w:left="709"/>
        <w:rPr>
          <w:szCs w:val="24"/>
        </w:rPr>
      </w:pPr>
    </w:p>
    <w:p w:rsidR="00274914" w:rsidRPr="002F17B5" w:rsidRDefault="00274914" w:rsidP="009A4C35">
      <w:pPr>
        <w:numPr>
          <w:ilvl w:val="0"/>
          <w:numId w:val="89"/>
        </w:numPr>
        <w:autoSpaceDE/>
        <w:autoSpaceDN/>
        <w:adjustRightInd/>
        <w:spacing w:before="0" w:after="60"/>
        <w:ind w:left="720"/>
        <w:jc w:val="left"/>
      </w:pPr>
      <w:r w:rsidRPr="002F17B5">
        <w:rPr>
          <w:b/>
        </w:rPr>
        <w:t>Investment management expenses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4F533E">
        <w:trPr>
          <w:trHeight w:val="819"/>
        </w:trPr>
        <w:tc>
          <w:tcPr>
            <w:tcW w:w="5058" w:type="dxa"/>
          </w:tcPr>
          <w:p w:rsidR="00274914" w:rsidRPr="002F17B5" w:rsidRDefault="00274914" w:rsidP="00ED01E3">
            <w:pPr>
              <w:spacing w:after="60"/>
              <w:rPr>
                <w:b/>
              </w:rPr>
            </w:pPr>
          </w:p>
        </w:tc>
        <w:tc>
          <w:tcPr>
            <w:tcW w:w="1559" w:type="dxa"/>
          </w:tcPr>
          <w:p w:rsidR="00274914" w:rsidRPr="002F17B5" w:rsidRDefault="00274914" w:rsidP="00ED01E3">
            <w:pPr>
              <w:spacing w:after="60"/>
              <w:jc w:val="right"/>
              <w:rPr>
                <w:b/>
              </w:rPr>
            </w:pPr>
            <w:r w:rsidRPr="002F17B5">
              <w:rPr>
                <w:b/>
              </w:rPr>
              <w:t>2013/14</w:t>
            </w:r>
          </w:p>
          <w:p w:rsidR="00274914" w:rsidRPr="002F17B5" w:rsidRDefault="00274914" w:rsidP="00ED01E3">
            <w:pPr>
              <w:spacing w:after="60"/>
              <w:jc w:val="right"/>
              <w:rPr>
                <w:b/>
              </w:rPr>
            </w:pPr>
            <w:r w:rsidRPr="002F17B5">
              <w:rPr>
                <w:b/>
              </w:rPr>
              <w:t>£m</w:t>
            </w:r>
          </w:p>
        </w:tc>
        <w:tc>
          <w:tcPr>
            <w:tcW w:w="430" w:type="dxa"/>
            <w:tcBorders>
              <w:right w:val="single" w:sz="4" w:space="0" w:color="FFFFFF" w:themeColor="background1"/>
            </w:tcBorders>
          </w:tcPr>
          <w:p w:rsidR="00274914" w:rsidRPr="002F17B5" w:rsidRDefault="00274914" w:rsidP="00ED01E3">
            <w:pPr>
              <w:spacing w:after="60"/>
              <w:jc w:val="right"/>
              <w:rPr>
                <w:b/>
              </w:rPr>
            </w:pPr>
          </w:p>
          <w:p w:rsidR="00274914" w:rsidRPr="002F17B5" w:rsidRDefault="00274914" w:rsidP="00ED01E3">
            <w:pPr>
              <w:spacing w:after="60"/>
              <w:jc w:val="right"/>
              <w:rPr>
                <w:b/>
              </w:rPr>
            </w:pPr>
          </w:p>
        </w:tc>
        <w:tc>
          <w:tcPr>
            <w:tcW w:w="1696" w:type="dxa"/>
            <w:tcBorders>
              <w:left w:val="single" w:sz="4" w:space="0" w:color="FFFFFF" w:themeColor="background1"/>
            </w:tcBorders>
          </w:tcPr>
          <w:p w:rsidR="00274914" w:rsidRPr="002F17B5" w:rsidRDefault="00274914" w:rsidP="00ED01E3">
            <w:pPr>
              <w:spacing w:after="60"/>
              <w:jc w:val="right"/>
              <w:rPr>
                <w:b/>
              </w:rPr>
            </w:pPr>
            <w:r w:rsidRPr="002F17B5">
              <w:rPr>
                <w:b/>
              </w:rPr>
              <w:t>2012/13</w:t>
            </w:r>
          </w:p>
          <w:p w:rsidR="00274914" w:rsidRPr="002F17B5" w:rsidRDefault="00ED01E3" w:rsidP="00ED01E3">
            <w:pPr>
              <w:spacing w:after="60"/>
              <w:jc w:val="right"/>
              <w:rPr>
                <w:b/>
              </w:rPr>
            </w:pPr>
            <w:r w:rsidRPr="002F17B5">
              <w:rPr>
                <w:b/>
              </w:rPr>
              <w:t>£m</w:t>
            </w:r>
          </w:p>
        </w:tc>
      </w:tr>
      <w:tr w:rsidR="00274914" w:rsidRPr="002F17B5" w:rsidTr="00274914">
        <w:tc>
          <w:tcPr>
            <w:tcW w:w="5058" w:type="dxa"/>
          </w:tcPr>
          <w:p w:rsidR="00274914" w:rsidRPr="002F17B5" w:rsidRDefault="00274914" w:rsidP="00ED01E3">
            <w:pPr>
              <w:spacing w:after="60"/>
            </w:pPr>
            <w:r w:rsidRPr="002F17B5">
              <w:t>Administration, management and custody</w:t>
            </w:r>
          </w:p>
        </w:tc>
        <w:tc>
          <w:tcPr>
            <w:tcW w:w="1559" w:type="dxa"/>
          </w:tcPr>
          <w:p w:rsidR="00274914" w:rsidRPr="002F17B5" w:rsidRDefault="00274914" w:rsidP="00ED01E3">
            <w:pPr>
              <w:spacing w:after="60"/>
              <w:jc w:val="right"/>
            </w:pPr>
            <w:r w:rsidRPr="002F17B5">
              <w:t>11.0</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left w:val="single" w:sz="4" w:space="0" w:color="FFFFFF" w:themeColor="background1"/>
            </w:tcBorders>
          </w:tcPr>
          <w:p w:rsidR="00274914" w:rsidRPr="002F17B5" w:rsidRDefault="00274914" w:rsidP="00ED01E3">
            <w:pPr>
              <w:spacing w:after="60"/>
              <w:jc w:val="right"/>
            </w:pPr>
            <w:r w:rsidRPr="002F17B5">
              <w:t>6.9</w:t>
            </w:r>
          </w:p>
        </w:tc>
      </w:tr>
      <w:tr w:rsidR="00274914" w:rsidRPr="002F17B5" w:rsidTr="00274914">
        <w:tc>
          <w:tcPr>
            <w:tcW w:w="5058" w:type="dxa"/>
          </w:tcPr>
          <w:p w:rsidR="00274914" w:rsidRPr="002F17B5" w:rsidRDefault="00274914" w:rsidP="00ED01E3">
            <w:pPr>
              <w:spacing w:after="60"/>
            </w:pPr>
            <w:r w:rsidRPr="002F17B5">
              <w:t>Performance measurement service</w:t>
            </w:r>
          </w:p>
        </w:tc>
        <w:tc>
          <w:tcPr>
            <w:tcW w:w="1559" w:type="dxa"/>
          </w:tcPr>
          <w:p w:rsidR="00274914" w:rsidRPr="002F17B5" w:rsidRDefault="00274914" w:rsidP="00ED01E3">
            <w:pPr>
              <w:spacing w:after="60"/>
              <w:jc w:val="right"/>
            </w:pPr>
            <w:r w:rsidRPr="002F17B5">
              <w:t>0.1</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left w:val="single" w:sz="4" w:space="0" w:color="FFFFFF" w:themeColor="background1"/>
            </w:tcBorders>
          </w:tcPr>
          <w:p w:rsidR="00274914" w:rsidRPr="002F17B5" w:rsidRDefault="00274914" w:rsidP="00ED01E3">
            <w:pPr>
              <w:spacing w:after="60"/>
              <w:jc w:val="right"/>
            </w:pPr>
            <w:r w:rsidRPr="002F17B5">
              <w:t>0.2</w:t>
            </w:r>
          </w:p>
        </w:tc>
      </w:tr>
      <w:tr w:rsidR="00274914" w:rsidRPr="002F17B5" w:rsidTr="00274914">
        <w:tc>
          <w:tcPr>
            <w:tcW w:w="5058" w:type="dxa"/>
          </w:tcPr>
          <w:p w:rsidR="00274914" w:rsidRPr="002F17B5" w:rsidRDefault="00274914" w:rsidP="00ED01E3">
            <w:pPr>
              <w:spacing w:after="60"/>
            </w:pPr>
            <w:r w:rsidRPr="002F17B5">
              <w:t>Other advisory fees</w:t>
            </w:r>
          </w:p>
        </w:tc>
        <w:tc>
          <w:tcPr>
            <w:tcW w:w="1559" w:type="dxa"/>
            <w:tcBorders>
              <w:bottom w:val="single" w:sz="18" w:space="0" w:color="auto"/>
            </w:tcBorders>
          </w:tcPr>
          <w:p w:rsidR="00274914" w:rsidRPr="002F17B5" w:rsidRDefault="00274914" w:rsidP="00ED01E3">
            <w:pPr>
              <w:spacing w:after="60"/>
              <w:jc w:val="right"/>
            </w:pPr>
            <w:r w:rsidRPr="002F17B5">
              <w:t>0.2</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left w:val="single" w:sz="4" w:space="0" w:color="FFFFFF" w:themeColor="background1"/>
              <w:bottom w:val="single" w:sz="18" w:space="0" w:color="auto"/>
            </w:tcBorders>
          </w:tcPr>
          <w:p w:rsidR="00274914" w:rsidRPr="002F17B5" w:rsidRDefault="00274914" w:rsidP="00ED01E3">
            <w:pPr>
              <w:spacing w:after="60"/>
              <w:jc w:val="right"/>
            </w:pPr>
            <w:r w:rsidRPr="002F17B5">
              <w:t>0.1</w:t>
            </w:r>
          </w:p>
        </w:tc>
      </w:tr>
      <w:tr w:rsidR="00274914" w:rsidRPr="002F17B5" w:rsidTr="00274914">
        <w:tc>
          <w:tcPr>
            <w:tcW w:w="5058" w:type="dxa"/>
          </w:tcPr>
          <w:p w:rsidR="00274914" w:rsidRPr="002F17B5" w:rsidRDefault="00274914" w:rsidP="00ED01E3">
            <w:pPr>
              <w:spacing w:after="60"/>
            </w:pPr>
          </w:p>
        </w:tc>
        <w:tc>
          <w:tcPr>
            <w:tcW w:w="1559" w:type="dxa"/>
            <w:tcBorders>
              <w:top w:val="single" w:sz="18" w:space="0" w:color="auto"/>
              <w:bottom w:val="single" w:sz="18" w:space="0" w:color="auto"/>
            </w:tcBorders>
          </w:tcPr>
          <w:p w:rsidR="00274914" w:rsidRPr="002F17B5" w:rsidRDefault="00274914" w:rsidP="00ED01E3">
            <w:pPr>
              <w:spacing w:after="60"/>
              <w:jc w:val="right"/>
            </w:pPr>
            <w:r w:rsidRPr="002F17B5">
              <w:t>11.3</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ED01E3">
            <w:pPr>
              <w:spacing w:after="60"/>
              <w:jc w:val="right"/>
            </w:pPr>
            <w:r w:rsidRPr="002F17B5">
              <w:t>7.2</w:t>
            </w:r>
          </w:p>
        </w:tc>
      </w:tr>
    </w:tbl>
    <w:p w:rsidR="00274914" w:rsidRPr="002F17B5" w:rsidRDefault="00274914" w:rsidP="00274914">
      <w:pPr>
        <w:pStyle w:val="Header"/>
      </w:pPr>
    </w:p>
    <w:p w:rsidR="00274914" w:rsidRPr="002F17B5" w:rsidRDefault="00274914" w:rsidP="00274914">
      <w:pPr>
        <w:pStyle w:val="Header"/>
      </w:pPr>
    </w:p>
    <w:p w:rsidR="004F533E" w:rsidRPr="002F17B5" w:rsidRDefault="004F533E" w:rsidP="00274914">
      <w:pPr>
        <w:pStyle w:val="Header"/>
      </w:pPr>
    </w:p>
    <w:p w:rsidR="00274914" w:rsidRPr="002F17B5" w:rsidRDefault="00274914" w:rsidP="009A4C35">
      <w:pPr>
        <w:numPr>
          <w:ilvl w:val="0"/>
          <w:numId w:val="89"/>
        </w:numPr>
        <w:autoSpaceDE/>
        <w:autoSpaceDN/>
        <w:adjustRightInd/>
        <w:spacing w:before="0" w:after="0"/>
        <w:ind w:left="720"/>
        <w:jc w:val="left"/>
        <w:rPr>
          <w:b/>
        </w:rPr>
      </w:pPr>
      <w:r w:rsidRPr="002F17B5">
        <w:rPr>
          <w:b/>
        </w:rPr>
        <w:t>Current assets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4F533E">
            <w:pPr>
              <w:spacing w:after="60"/>
              <w:rPr>
                <w:b/>
              </w:rPr>
            </w:pPr>
          </w:p>
        </w:tc>
        <w:tc>
          <w:tcPr>
            <w:tcW w:w="1559" w:type="dxa"/>
          </w:tcPr>
          <w:p w:rsidR="00274914" w:rsidRPr="002F17B5" w:rsidRDefault="00BD5FF0" w:rsidP="004F533E">
            <w:pPr>
              <w:spacing w:after="60"/>
              <w:jc w:val="right"/>
              <w:rPr>
                <w:b/>
              </w:rPr>
            </w:pPr>
            <w:r w:rsidRPr="002F17B5">
              <w:rPr>
                <w:b/>
              </w:rPr>
              <w:t>31/03/14</w:t>
            </w:r>
          </w:p>
          <w:p w:rsidR="00274914" w:rsidRPr="002F17B5" w:rsidRDefault="00274914" w:rsidP="004F533E">
            <w:pPr>
              <w:spacing w:after="60"/>
              <w:jc w:val="right"/>
              <w:rPr>
                <w:b/>
              </w:rPr>
            </w:pPr>
            <w:r w:rsidRPr="002F17B5">
              <w:rPr>
                <w:b/>
              </w:rPr>
              <w:t>£m</w:t>
            </w:r>
          </w:p>
        </w:tc>
        <w:tc>
          <w:tcPr>
            <w:tcW w:w="430" w:type="dxa"/>
            <w:tcBorders>
              <w:right w:val="single" w:sz="4" w:space="0" w:color="FFFFFF" w:themeColor="background1"/>
            </w:tcBorders>
          </w:tcPr>
          <w:p w:rsidR="00274914" w:rsidRPr="002F17B5" w:rsidRDefault="00274914" w:rsidP="004F533E">
            <w:pPr>
              <w:spacing w:after="60"/>
              <w:jc w:val="right"/>
              <w:rPr>
                <w:b/>
              </w:rPr>
            </w:pPr>
          </w:p>
          <w:p w:rsidR="00274914" w:rsidRPr="002F17B5" w:rsidRDefault="00274914" w:rsidP="004F533E">
            <w:pPr>
              <w:spacing w:after="60"/>
              <w:jc w:val="right"/>
              <w:rPr>
                <w:b/>
              </w:rPr>
            </w:pPr>
          </w:p>
        </w:tc>
        <w:tc>
          <w:tcPr>
            <w:tcW w:w="1696" w:type="dxa"/>
            <w:tcBorders>
              <w:left w:val="single" w:sz="4" w:space="0" w:color="FFFFFF" w:themeColor="background1"/>
            </w:tcBorders>
          </w:tcPr>
          <w:p w:rsidR="00274914" w:rsidRPr="002F17B5" w:rsidRDefault="00BD5FF0" w:rsidP="004F533E">
            <w:pPr>
              <w:spacing w:after="60"/>
              <w:jc w:val="right"/>
              <w:rPr>
                <w:b/>
              </w:rPr>
            </w:pPr>
            <w:r w:rsidRPr="002F17B5">
              <w:rPr>
                <w:b/>
              </w:rPr>
              <w:t>31/03/13</w:t>
            </w:r>
          </w:p>
          <w:p w:rsidR="00274914" w:rsidRPr="002F17B5" w:rsidRDefault="00ED01E3" w:rsidP="00ED01E3">
            <w:pPr>
              <w:spacing w:after="60"/>
              <w:jc w:val="right"/>
              <w:rPr>
                <w:b/>
              </w:rPr>
            </w:pPr>
            <w:r w:rsidRPr="002F17B5">
              <w:rPr>
                <w:b/>
              </w:rPr>
              <w:t>£m</w:t>
            </w:r>
          </w:p>
        </w:tc>
      </w:tr>
      <w:tr w:rsidR="00274914" w:rsidRPr="002F17B5" w:rsidTr="00274914">
        <w:tc>
          <w:tcPr>
            <w:tcW w:w="5058" w:type="dxa"/>
          </w:tcPr>
          <w:p w:rsidR="00274914" w:rsidRPr="002F17B5" w:rsidRDefault="00274914" w:rsidP="00ED01E3">
            <w:pPr>
              <w:spacing w:after="60"/>
              <w:jc w:val="left"/>
            </w:pPr>
            <w:r w:rsidRPr="002F17B5">
              <w:t>Contributions due from: Employers</w:t>
            </w:r>
          </w:p>
        </w:tc>
        <w:tc>
          <w:tcPr>
            <w:tcW w:w="1559" w:type="dxa"/>
          </w:tcPr>
          <w:p w:rsidR="00274914" w:rsidRPr="002F17B5" w:rsidRDefault="00274914" w:rsidP="004F533E">
            <w:pPr>
              <w:spacing w:after="60"/>
              <w:jc w:val="right"/>
            </w:pPr>
            <w:r w:rsidRPr="002F17B5">
              <w:t>14.4</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left w:val="single" w:sz="4" w:space="0" w:color="FFFFFF" w:themeColor="background1"/>
            </w:tcBorders>
          </w:tcPr>
          <w:p w:rsidR="00274914" w:rsidRPr="002F17B5" w:rsidRDefault="00274914" w:rsidP="004F533E">
            <w:pPr>
              <w:spacing w:after="60"/>
              <w:jc w:val="right"/>
            </w:pPr>
            <w:r w:rsidRPr="002F17B5">
              <w:t>12.5</w:t>
            </w:r>
          </w:p>
        </w:tc>
      </w:tr>
      <w:tr w:rsidR="00274914" w:rsidRPr="002F17B5" w:rsidTr="00274914">
        <w:tc>
          <w:tcPr>
            <w:tcW w:w="5058" w:type="dxa"/>
          </w:tcPr>
          <w:p w:rsidR="00274914" w:rsidRPr="002F17B5" w:rsidRDefault="00274914" w:rsidP="00ED01E3">
            <w:pPr>
              <w:spacing w:after="60"/>
              <w:jc w:val="left"/>
            </w:pPr>
            <w:r w:rsidRPr="002F17B5">
              <w:t xml:space="preserve">                                     : Members</w:t>
            </w:r>
          </w:p>
        </w:tc>
        <w:tc>
          <w:tcPr>
            <w:tcW w:w="1559" w:type="dxa"/>
          </w:tcPr>
          <w:p w:rsidR="00274914" w:rsidRPr="002F17B5" w:rsidRDefault="00274914" w:rsidP="004F533E">
            <w:pPr>
              <w:spacing w:after="60"/>
              <w:jc w:val="right"/>
            </w:pPr>
            <w:r w:rsidRPr="002F17B5">
              <w:t>4.4</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left w:val="single" w:sz="4" w:space="0" w:color="FFFFFF" w:themeColor="background1"/>
            </w:tcBorders>
          </w:tcPr>
          <w:p w:rsidR="00274914" w:rsidRPr="002F17B5" w:rsidRDefault="00274914" w:rsidP="004F533E">
            <w:pPr>
              <w:spacing w:after="60"/>
              <w:jc w:val="right"/>
            </w:pPr>
            <w:r w:rsidRPr="002F17B5">
              <w:t>4.4</w:t>
            </w:r>
          </w:p>
        </w:tc>
      </w:tr>
      <w:tr w:rsidR="00274914" w:rsidRPr="002F17B5" w:rsidTr="00274914">
        <w:tc>
          <w:tcPr>
            <w:tcW w:w="5058" w:type="dxa"/>
          </w:tcPr>
          <w:p w:rsidR="00274914" w:rsidRPr="002F17B5" w:rsidRDefault="00274914" w:rsidP="00ED01E3">
            <w:pPr>
              <w:spacing w:after="60"/>
              <w:jc w:val="left"/>
            </w:pPr>
            <w:r w:rsidRPr="002F17B5">
              <w:t>Debtors: Bodies external to general          government</w:t>
            </w:r>
          </w:p>
        </w:tc>
        <w:tc>
          <w:tcPr>
            <w:tcW w:w="1559" w:type="dxa"/>
            <w:tcBorders>
              <w:bottom w:val="single" w:sz="18" w:space="0" w:color="auto"/>
            </w:tcBorders>
          </w:tcPr>
          <w:p w:rsidR="00274914" w:rsidRPr="002F17B5" w:rsidRDefault="00274914" w:rsidP="004F533E">
            <w:pPr>
              <w:spacing w:after="60"/>
              <w:jc w:val="right"/>
            </w:pPr>
            <w:r w:rsidRPr="002F17B5">
              <w:t>9.5</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left w:val="single" w:sz="4" w:space="0" w:color="FFFFFF" w:themeColor="background1"/>
              <w:bottom w:val="single" w:sz="18" w:space="0" w:color="auto"/>
            </w:tcBorders>
          </w:tcPr>
          <w:p w:rsidR="00274914" w:rsidRPr="002F17B5" w:rsidRDefault="00274914" w:rsidP="004F533E">
            <w:pPr>
              <w:spacing w:after="60"/>
              <w:jc w:val="right"/>
            </w:pPr>
            <w:r w:rsidRPr="002F17B5">
              <w:t>14.8</w:t>
            </w:r>
          </w:p>
        </w:tc>
      </w:tr>
      <w:tr w:rsidR="00274914" w:rsidRPr="002F17B5" w:rsidTr="00274914">
        <w:tc>
          <w:tcPr>
            <w:tcW w:w="5058" w:type="dxa"/>
          </w:tcPr>
          <w:p w:rsidR="00274914" w:rsidRPr="002F17B5" w:rsidRDefault="00274914" w:rsidP="00ED01E3">
            <w:pPr>
              <w:spacing w:after="60"/>
              <w:jc w:val="left"/>
            </w:pPr>
          </w:p>
        </w:tc>
        <w:tc>
          <w:tcPr>
            <w:tcW w:w="1559" w:type="dxa"/>
            <w:tcBorders>
              <w:top w:val="single" w:sz="18" w:space="0" w:color="auto"/>
              <w:bottom w:val="single" w:sz="18" w:space="0" w:color="auto"/>
            </w:tcBorders>
          </w:tcPr>
          <w:p w:rsidR="00274914" w:rsidRPr="002F17B5" w:rsidRDefault="00274914" w:rsidP="004F533E">
            <w:pPr>
              <w:spacing w:after="60"/>
              <w:jc w:val="right"/>
            </w:pPr>
            <w:r w:rsidRPr="002F17B5">
              <w:t>28.3</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4F533E">
            <w:pPr>
              <w:spacing w:after="60"/>
              <w:jc w:val="right"/>
            </w:pPr>
            <w:r w:rsidRPr="002F17B5">
              <w:t>31.7</w:t>
            </w:r>
          </w:p>
        </w:tc>
      </w:tr>
      <w:tr w:rsidR="00274914" w:rsidRPr="002F17B5" w:rsidTr="00274914">
        <w:tc>
          <w:tcPr>
            <w:tcW w:w="5058" w:type="dxa"/>
          </w:tcPr>
          <w:p w:rsidR="00274914" w:rsidRPr="002F17B5" w:rsidRDefault="00274914" w:rsidP="00ED01E3">
            <w:pPr>
              <w:spacing w:after="60"/>
              <w:rPr>
                <w:b/>
              </w:rPr>
            </w:pPr>
          </w:p>
        </w:tc>
        <w:tc>
          <w:tcPr>
            <w:tcW w:w="1559" w:type="dxa"/>
          </w:tcPr>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74914" w:rsidRPr="002F17B5" w:rsidRDefault="00BD5FF0" w:rsidP="00ED01E3">
            <w:pPr>
              <w:spacing w:after="60"/>
              <w:jc w:val="right"/>
              <w:rPr>
                <w:b/>
              </w:rPr>
            </w:pPr>
            <w:r w:rsidRPr="002F17B5">
              <w:rPr>
                <w:b/>
              </w:rPr>
              <w:lastRenderedPageBreak/>
              <w:t>31/03/14</w:t>
            </w:r>
          </w:p>
          <w:p w:rsidR="00274914" w:rsidRPr="002F17B5" w:rsidRDefault="00274914" w:rsidP="00ED01E3">
            <w:pPr>
              <w:spacing w:after="60"/>
              <w:jc w:val="right"/>
              <w:rPr>
                <w:b/>
              </w:rPr>
            </w:pPr>
            <w:r w:rsidRPr="002F17B5">
              <w:rPr>
                <w:b/>
              </w:rPr>
              <w:t>£m</w:t>
            </w:r>
          </w:p>
        </w:tc>
        <w:tc>
          <w:tcPr>
            <w:tcW w:w="430" w:type="dxa"/>
            <w:tcBorders>
              <w:right w:val="single" w:sz="4" w:space="0" w:color="FFFFFF" w:themeColor="background1"/>
            </w:tcBorders>
          </w:tcPr>
          <w:p w:rsidR="00274914" w:rsidRPr="002F17B5" w:rsidRDefault="00274914" w:rsidP="00ED01E3">
            <w:pPr>
              <w:spacing w:after="60"/>
              <w:jc w:val="right"/>
              <w:rPr>
                <w:b/>
              </w:rPr>
            </w:pPr>
          </w:p>
          <w:p w:rsidR="00274914" w:rsidRPr="002F17B5" w:rsidRDefault="00274914" w:rsidP="00ED01E3">
            <w:pPr>
              <w:spacing w:after="60"/>
              <w:jc w:val="right"/>
              <w:rPr>
                <w:b/>
              </w:rPr>
            </w:pPr>
          </w:p>
        </w:tc>
        <w:tc>
          <w:tcPr>
            <w:tcW w:w="1696" w:type="dxa"/>
            <w:tcBorders>
              <w:left w:val="single" w:sz="4" w:space="0" w:color="FFFFFF" w:themeColor="background1"/>
            </w:tcBorders>
          </w:tcPr>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26F26" w:rsidRDefault="00226F26" w:rsidP="00ED01E3">
            <w:pPr>
              <w:spacing w:after="60"/>
              <w:jc w:val="right"/>
              <w:rPr>
                <w:b/>
              </w:rPr>
            </w:pPr>
          </w:p>
          <w:p w:rsidR="00274914" w:rsidRPr="002F17B5" w:rsidRDefault="00BD5FF0" w:rsidP="00ED01E3">
            <w:pPr>
              <w:spacing w:after="60"/>
              <w:jc w:val="right"/>
              <w:rPr>
                <w:b/>
              </w:rPr>
            </w:pPr>
            <w:r w:rsidRPr="002F17B5">
              <w:rPr>
                <w:b/>
              </w:rPr>
              <w:lastRenderedPageBreak/>
              <w:t>31/03/13</w:t>
            </w:r>
          </w:p>
          <w:p w:rsidR="00274914" w:rsidRPr="002F17B5" w:rsidRDefault="00ED01E3" w:rsidP="00ED01E3">
            <w:pPr>
              <w:spacing w:after="60"/>
              <w:jc w:val="right"/>
              <w:rPr>
                <w:b/>
              </w:rPr>
            </w:pPr>
            <w:r w:rsidRPr="002F17B5">
              <w:rPr>
                <w:b/>
              </w:rPr>
              <w:t>£m</w:t>
            </w:r>
          </w:p>
        </w:tc>
      </w:tr>
      <w:tr w:rsidR="00274914" w:rsidRPr="002F17B5" w:rsidTr="00274914">
        <w:tc>
          <w:tcPr>
            <w:tcW w:w="5058" w:type="dxa"/>
          </w:tcPr>
          <w:p w:rsidR="00274914" w:rsidRPr="002F17B5" w:rsidRDefault="00274914" w:rsidP="00ED01E3">
            <w:pPr>
              <w:spacing w:after="60"/>
            </w:pPr>
            <w:r w:rsidRPr="002F17B5">
              <w:lastRenderedPageBreak/>
              <w:t>Other local authorities</w:t>
            </w:r>
          </w:p>
        </w:tc>
        <w:tc>
          <w:tcPr>
            <w:tcW w:w="1559" w:type="dxa"/>
          </w:tcPr>
          <w:p w:rsidR="00274914" w:rsidRPr="002F17B5" w:rsidRDefault="00274914" w:rsidP="00ED01E3">
            <w:pPr>
              <w:spacing w:after="60"/>
              <w:jc w:val="right"/>
            </w:pPr>
            <w:r w:rsidRPr="002F17B5">
              <w:t>15.5</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left w:val="single" w:sz="4" w:space="0" w:color="FFFFFF" w:themeColor="background1"/>
            </w:tcBorders>
          </w:tcPr>
          <w:p w:rsidR="00274914" w:rsidRPr="002F17B5" w:rsidRDefault="00274914" w:rsidP="00ED01E3">
            <w:pPr>
              <w:spacing w:after="60"/>
              <w:jc w:val="right"/>
            </w:pPr>
            <w:r w:rsidRPr="002F17B5">
              <w:t>18.9</w:t>
            </w:r>
          </w:p>
        </w:tc>
      </w:tr>
      <w:tr w:rsidR="00274914" w:rsidRPr="002F17B5" w:rsidTr="00274914">
        <w:tc>
          <w:tcPr>
            <w:tcW w:w="5058" w:type="dxa"/>
          </w:tcPr>
          <w:p w:rsidR="00274914" w:rsidRPr="002F17B5" w:rsidRDefault="00274914" w:rsidP="00ED01E3">
            <w:pPr>
              <w:spacing w:after="60"/>
            </w:pPr>
            <w:r w:rsidRPr="002F17B5">
              <w:t>NHS bodies</w:t>
            </w:r>
          </w:p>
        </w:tc>
        <w:tc>
          <w:tcPr>
            <w:tcW w:w="1559" w:type="dxa"/>
          </w:tcPr>
          <w:p w:rsidR="00274914" w:rsidRPr="002F17B5" w:rsidRDefault="00274914" w:rsidP="00ED01E3">
            <w:pPr>
              <w:spacing w:after="60"/>
              <w:jc w:val="right"/>
            </w:pPr>
            <w:r w:rsidRPr="002F17B5">
              <w:t>0.1</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left w:val="single" w:sz="4" w:space="0" w:color="FFFFFF" w:themeColor="background1"/>
            </w:tcBorders>
          </w:tcPr>
          <w:p w:rsidR="00274914" w:rsidRPr="002F17B5" w:rsidRDefault="00274914" w:rsidP="00ED01E3">
            <w:pPr>
              <w:spacing w:after="60"/>
              <w:jc w:val="right"/>
            </w:pPr>
            <w:r w:rsidRPr="002F17B5">
              <w:t>0.1</w:t>
            </w:r>
          </w:p>
        </w:tc>
      </w:tr>
      <w:tr w:rsidR="00274914" w:rsidRPr="002F17B5" w:rsidTr="00274914">
        <w:tc>
          <w:tcPr>
            <w:tcW w:w="5058" w:type="dxa"/>
          </w:tcPr>
          <w:p w:rsidR="00274914" w:rsidRPr="002F17B5" w:rsidRDefault="00274914" w:rsidP="00ED01E3">
            <w:pPr>
              <w:spacing w:after="60"/>
            </w:pPr>
            <w:r w:rsidRPr="002F17B5">
              <w:t>Public corporations and trading funds</w:t>
            </w:r>
          </w:p>
        </w:tc>
        <w:tc>
          <w:tcPr>
            <w:tcW w:w="1559" w:type="dxa"/>
          </w:tcPr>
          <w:p w:rsidR="00274914" w:rsidRPr="002F17B5" w:rsidRDefault="00274914" w:rsidP="00ED01E3">
            <w:pPr>
              <w:spacing w:after="60"/>
              <w:jc w:val="right"/>
            </w:pPr>
            <w:r w:rsidRPr="002F17B5">
              <w:t>0.1</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left w:val="single" w:sz="4" w:space="0" w:color="FFFFFF" w:themeColor="background1"/>
            </w:tcBorders>
          </w:tcPr>
          <w:p w:rsidR="00274914" w:rsidRPr="002F17B5" w:rsidRDefault="00274914" w:rsidP="00ED01E3">
            <w:pPr>
              <w:spacing w:after="60"/>
              <w:jc w:val="right"/>
            </w:pPr>
            <w:r w:rsidRPr="002F17B5">
              <w:t>0.1</w:t>
            </w:r>
          </w:p>
        </w:tc>
      </w:tr>
      <w:tr w:rsidR="00274914" w:rsidRPr="002F17B5" w:rsidTr="00274914">
        <w:tc>
          <w:tcPr>
            <w:tcW w:w="5058" w:type="dxa"/>
          </w:tcPr>
          <w:p w:rsidR="00274914" w:rsidRPr="002F17B5" w:rsidRDefault="00274914" w:rsidP="00ED01E3">
            <w:pPr>
              <w:spacing w:after="60"/>
            </w:pPr>
            <w:r w:rsidRPr="002F17B5">
              <w:t>Other entities and individuals</w:t>
            </w:r>
          </w:p>
        </w:tc>
        <w:tc>
          <w:tcPr>
            <w:tcW w:w="1559" w:type="dxa"/>
          </w:tcPr>
          <w:p w:rsidR="00274914" w:rsidRPr="002F17B5" w:rsidRDefault="00274914" w:rsidP="00ED01E3">
            <w:pPr>
              <w:spacing w:after="60"/>
              <w:jc w:val="right"/>
            </w:pPr>
            <w:r w:rsidRPr="002F17B5">
              <w:t>12.6</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left w:val="single" w:sz="4" w:space="0" w:color="FFFFFF" w:themeColor="background1"/>
            </w:tcBorders>
          </w:tcPr>
          <w:p w:rsidR="00274914" w:rsidRPr="002F17B5" w:rsidRDefault="00274914" w:rsidP="00ED01E3">
            <w:pPr>
              <w:spacing w:after="60"/>
              <w:jc w:val="right"/>
            </w:pPr>
            <w:r w:rsidRPr="002F17B5">
              <w:t>12.6</w:t>
            </w:r>
          </w:p>
        </w:tc>
      </w:tr>
      <w:tr w:rsidR="00274914" w:rsidRPr="002F17B5" w:rsidTr="00274914">
        <w:tc>
          <w:tcPr>
            <w:tcW w:w="5058" w:type="dxa"/>
          </w:tcPr>
          <w:p w:rsidR="00274914" w:rsidRPr="002F17B5" w:rsidRDefault="00274914" w:rsidP="00ED01E3">
            <w:pPr>
              <w:spacing w:after="60"/>
            </w:pPr>
          </w:p>
        </w:tc>
        <w:tc>
          <w:tcPr>
            <w:tcW w:w="1559" w:type="dxa"/>
            <w:tcBorders>
              <w:top w:val="single" w:sz="18" w:space="0" w:color="auto"/>
              <w:bottom w:val="single" w:sz="18" w:space="0" w:color="auto"/>
            </w:tcBorders>
          </w:tcPr>
          <w:p w:rsidR="00274914" w:rsidRPr="002F17B5" w:rsidRDefault="00274914" w:rsidP="00ED01E3">
            <w:pPr>
              <w:spacing w:after="60"/>
              <w:jc w:val="right"/>
            </w:pPr>
            <w:r w:rsidRPr="002F17B5">
              <w:t>28.3</w:t>
            </w:r>
          </w:p>
        </w:tc>
        <w:tc>
          <w:tcPr>
            <w:tcW w:w="430" w:type="dxa"/>
            <w:tcBorders>
              <w:right w:val="single" w:sz="4" w:space="0" w:color="FFFFFF" w:themeColor="background1"/>
            </w:tcBorders>
          </w:tcPr>
          <w:p w:rsidR="00274914" w:rsidRPr="002F17B5" w:rsidRDefault="00274914" w:rsidP="00ED01E3">
            <w:pPr>
              <w:spacing w:after="6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ED01E3">
            <w:pPr>
              <w:spacing w:after="60"/>
              <w:jc w:val="right"/>
            </w:pPr>
            <w:r w:rsidRPr="002F17B5">
              <w:t>31.7</w:t>
            </w:r>
          </w:p>
        </w:tc>
      </w:tr>
    </w:tbl>
    <w:p w:rsidR="00274914" w:rsidRPr="002F17B5" w:rsidRDefault="00274914" w:rsidP="00ED01E3">
      <w:pPr>
        <w:pStyle w:val="BodyTextIndent"/>
        <w:spacing w:after="60"/>
        <w:ind w:left="709"/>
        <w:rPr>
          <w:szCs w:val="24"/>
        </w:rPr>
      </w:pPr>
    </w:p>
    <w:p w:rsidR="00274914" w:rsidRPr="002F17B5" w:rsidRDefault="00274914" w:rsidP="00274914">
      <w:pPr>
        <w:pStyle w:val="BodyTextIndent"/>
        <w:spacing w:after="0"/>
        <w:ind w:left="709"/>
        <w:rPr>
          <w:szCs w:val="24"/>
        </w:rPr>
      </w:pPr>
    </w:p>
    <w:p w:rsidR="00274914" w:rsidRPr="002F17B5" w:rsidRDefault="00274914" w:rsidP="009A4C35">
      <w:pPr>
        <w:numPr>
          <w:ilvl w:val="0"/>
          <w:numId w:val="89"/>
        </w:numPr>
        <w:autoSpaceDE/>
        <w:autoSpaceDN/>
        <w:adjustRightInd/>
        <w:spacing w:before="0" w:after="0"/>
        <w:ind w:left="720"/>
        <w:jc w:val="left"/>
        <w:rPr>
          <w:b/>
        </w:rPr>
      </w:pPr>
      <w:r w:rsidRPr="002F17B5">
        <w:rPr>
          <w:b/>
        </w:rPr>
        <w:t>Current liabilities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4F533E">
            <w:pPr>
              <w:spacing w:after="60"/>
              <w:rPr>
                <w:b/>
              </w:rPr>
            </w:pPr>
          </w:p>
        </w:tc>
        <w:tc>
          <w:tcPr>
            <w:tcW w:w="1559" w:type="dxa"/>
          </w:tcPr>
          <w:p w:rsidR="00274914" w:rsidRPr="002F17B5" w:rsidRDefault="00BD5FF0" w:rsidP="004F533E">
            <w:pPr>
              <w:spacing w:after="60"/>
              <w:jc w:val="right"/>
              <w:rPr>
                <w:b/>
              </w:rPr>
            </w:pPr>
            <w:r w:rsidRPr="002F17B5">
              <w:rPr>
                <w:b/>
              </w:rPr>
              <w:t>31/03/14</w:t>
            </w:r>
          </w:p>
          <w:p w:rsidR="00274914" w:rsidRPr="002F17B5" w:rsidRDefault="00274914" w:rsidP="004F533E">
            <w:pPr>
              <w:spacing w:after="60"/>
              <w:jc w:val="right"/>
              <w:rPr>
                <w:b/>
              </w:rPr>
            </w:pPr>
            <w:r w:rsidRPr="002F17B5">
              <w:rPr>
                <w:b/>
              </w:rPr>
              <w:t>£m</w:t>
            </w:r>
          </w:p>
        </w:tc>
        <w:tc>
          <w:tcPr>
            <w:tcW w:w="430" w:type="dxa"/>
            <w:tcBorders>
              <w:right w:val="single" w:sz="4" w:space="0" w:color="FFFFFF" w:themeColor="background1"/>
            </w:tcBorders>
          </w:tcPr>
          <w:p w:rsidR="00274914" w:rsidRPr="002F17B5" w:rsidRDefault="00274914" w:rsidP="004F533E">
            <w:pPr>
              <w:spacing w:after="60"/>
              <w:jc w:val="right"/>
              <w:rPr>
                <w:b/>
              </w:rPr>
            </w:pPr>
          </w:p>
          <w:p w:rsidR="00274914" w:rsidRPr="002F17B5" w:rsidRDefault="00274914" w:rsidP="004F533E">
            <w:pPr>
              <w:spacing w:after="60"/>
              <w:jc w:val="right"/>
              <w:rPr>
                <w:b/>
              </w:rPr>
            </w:pPr>
          </w:p>
        </w:tc>
        <w:tc>
          <w:tcPr>
            <w:tcW w:w="1696" w:type="dxa"/>
            <w:tcBorders>
              <w:left w:val="single" w:sz="4" w:space="0" w:color="FFFFFF" w:themeColor="background1"/>
            </w:tcBorders>
          </w:tcPr>
          <w:p w:rsidR="00274914" w:rsidRPr="002F17B5" w:rsidRDefault="00BD5FF0" w:rsidP="004F533E">
            <w:pPr>
              <w:spacing w:after="60"/>
              <w:jc w:val="right"/>
              <w:rPr>
                <w:b/>
              </w:rPr>
            </w:pPr>
            <w:r w:rsidRPr="002F17B5">
              <w:rPr>
                <w:b/>
              </w:rPr>
              <w:t>31/03/13</w:t>
            </w:r>
          </w:p>
          <w:p w:rsidR="00274914" w:rsidRPr="002F17B5" w:rsidRDefault="00ED01E3" w:rsidP="00ED01E3">
            <w:pPr>
              <w:spacing w:after="60"/>
              <w:jc w:val="right"/>
              <w:rPr>
                <w:b/>
              </w:rPr>
            </w:pPr>
            <w:r w:rsidRPr="002F17B5">
              <w:rPr>
                <w:b/>
              </w:rPr>
              <w:t>£m</w:t>
            </w:r>
          </w:p>
        </w:tc>
      </w:tr>
      <w:tr w:rsidR="00274914" w:rsidRPr="002F17B5" w:rsidTr="00274914">
        <w:tc>
          <w:tcPr>
            <w:tcW w:w="5058" w:type="dxa"/>
          </w:tcPr>
          <w:p w:rsidR="00274914" w:rsidRPr="002F17B5" w:rsidRDefault="00274914" w:rsidP="004F533E">
            <w:pPr>
              <w:spacing w:after="60"/>
            </w:pPr>
            <w:r w:rsidRPr="002F17B5">
              <w:t>Unpaid benefits</w:t>
            </w:r>
          </w:p>
        </w:tc>
        <w:tc>
          <w:tcPr>
            <w:tcW w:w="1559" w:type="dxa"/>
          </w:tcPr>
          <w:p w:rsidR="00274914" w:rsidRPr="002F17B5" w:rsidRDefault="00274914" w:rsidP="004F533E">
            <w:pPr>
              <w:spacing w:after="60"/>
              <w:jc w:val="right"/>
            </w:pPr>
            <w:r w:rsidRPr="002F17B5">
              <w:t>0.6</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left w:val="single" w:sz="4" w:space="0" w:color="FFFFFF" w:themeColor="background1"/>
            </w:tcBorders>
          </w:tcPr>
          <w:p w:rsidR="00274914" w:rsidRPr="002F17B5" w:rsidRDefault="00274914" w:rsidP="004F533E">
            <w:pPr>
              <w:spacing w:after="60"/>
              <w:jc w:val="right"/>
            </w:pPr>
            <w:r w:rsidRPr="002F17B5">
              <w:t>2.3</w:t>
            </w:r>
          </w:p>
        </w:tc>
      </w:tr>
      <w:tr w:rsidR="00274914" w:rsidRPr="002F17B5" w:rsidTr="00274914">
        <w:tc>
          <w:tcPr>
            <w:tcW w:w="5058" w:type="dxa"/>
          </w:tcPr>
          <w:p w:rsidR="00274914" w:rsidRPr="002F17B5" w:rsidRDefault="00274914" w:rsidP="004F533E">
            <w:pPr>
              <w:spacing w:after="60"/>
            </w:pPr>
            <w:r w:rsidRPr="002F17B5">
              <w:t>Accrued expenses</w:t>
            </w:r>
          </w:p>
        </w:tc>
        <w:tc>
          <w:tcPr>
            <w:tcW w:w="1559" w:type="dxa"/>
          </w:tcPr>
          <w:p w:rsidR="00274914" w:rsidRPr="002F17B5" w:rsidRDefault="00274914" w:rsidP="004F533E">
            <w:pPr>
              <w:spacing w:after="60"/>
              <w:jc w:val="right"/>
            </w:pPr>
            <w:r w:rsidRPr="002F17B5">
              <w:t>11.1</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left w:val="single" w:sz="4" w:space="0" w:color="FFFFFF" w:themeColor="background1"/>
            </w:tcBorders>
          </w:tcPr>
          <w:p w:rsidR="00274914" w:rsidRPr="002F17B5" w:rsidRDefault="00274914" w:rsidP="004F533E">
            <w:pPr>
              <w:spacing w:after="60"/>
              <w:jc w:val="right"/>
            </w:pPr>
            <w:r w:rsidRPr="002F17B5">
              <w:t>7.4</w:t>
            </w:r>
          </w:p>
        </w:tc>
      </w:tr>
      <w:tr w:rsidR="00274914" w:rsidRPr="002F17B5" w:rsidTr="00274914">
        <w:tc>
          <w:tcPr>
            <w:tcW w:w="5058" w:type="dxa"/>
          </w:tcPr>
          <w:p w:rsidR="00274914" w:rsidRPr="002F17B5" w:rsidRDefault="00274914" w:rsidP="004F533E">
            <w:pPr>
              <w:spacing w:after="60"/>
            </w:pPr>
          </w:p>
        </w:tc>
        <w:tc>
          <w:tcPr>
            <w:tcW w:w="1559" w:type="dxa"/>
            <w:tcBorders>
              <w:top w:val="single" w:sz="18" w:space="0" w:color="auto"/>
              <w:bottom w:val="single" w:sz="18" w:space="0" w:color="auto"/>
            </w:tcBorders>
          </w:tcPr>
          <w:p w:rsidR="00274914" w:rsidRPr="002F17B5" w:rsidRDefault="00274914" w:rsidP="004F533E">
            <w:pPr>
              <w:spacing w:after="60"/>
              <w:jc w:val="right"/>
            </w:pPr>
            <w:r w:rsidRPr="002F17B5">
              <w:t>11.7</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4F533E">
            <w:pPr>
              <w:spacing w:after="60"/>
              <w:jc w:val="right"/>
            </w:pPr>
            <w:r w:rsidRPr="002F17B5">
              <w:t>9.7</w:t>
            </w:r>
          </w:p>
        </w:tc>
      </w:tr>
    </w:tbl>
    <w:p w:rsidR="00274914" w:rsidRPr="002F17B5" w:rsidRDefault="00274914" w:rsidP="00274914">
      <w:pPr>
        <w:ind w:left="720"/>
      </w:pPr>
    </w:p>
    <w:p w:rsidR="00274914" w:rsidRPr="002F17B5" w:rsidRDefault="00274914" w:rsidP="00274914">
      <w:pPr>
        <w:ind w:left="720"/>
        <w:rPr>
          <w:sz w:val="14"/>
        </w:rPr>
      </w:pPr>
    </w:p>
    <w:p w:rsidR="00274914" w:rsidRPr="002F17B5" w:rsidRDefault="00274914" w:rsidP="00274914">
      <w:pPr>
        <w:ind w:left="862"/>
        <w:rPr>
          <w:b/>
          <w:sz w:val="1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274914" w:rsidRPr="002F17B5" w:rsidTr="00274914">
        <w:tc>
          <w:tcPr>
            <w:tcW w:w="5058" w:type="dxa"/>
          </w:tcPr>
          <w:p w:rsidR="00274914" w:rsidRPr="002F17B5" w:rsidRDefault="00274914" w:rsidP="004F533E">
            <w:pPr>
              <w:spacing w:after="60"/>
              <w:rPr>
                <w:b/>
              </w:rPr>
            </w:pPr>
          </w:p>
        </w:tc>
        <w:tc>
          <w:tcPr>
            <w:tcW w:w="1559" w:type="dxa"/>
          </w:tcPr>
          <w:p w:rsidR="00274914" w:rsidRPr="002F17B5" w:rsidRDefault="00BD5FF0" w:rsidP="004F533E">
            <w:pPr>
              <w:spacing w:after="60"/>
              <w:jc w:val="right"/>
              <w:rPr>
                <w:b/>
              </w:rPr>
            </w:pPr>
            <w:r w:rsidRPr="002F17B5">
              <w:rPr>
                <w:b/>
              </w:rPr>
              <w:t>31/03/14</w:t>
            </w:r>
          </w:p>
          <w:p w:rsidR="00274914" w:rsidRPr="002F17B5" w:rsidRDefault="00274914" w:rsidP="004F533E">
            <w:pPr>
              <w:spacing w:after="60"/>
              <w:jc w:val="right"/>
              <w:rPr>
                <w:b/>
              </w:rPr>
            </w:pPr>
            <w:r w:rsidRPr="002F17B5">
              <w:rPr>
                <w:b/>
              </w:rPr>
              <w:t>£m</w:t>
            </w:r>
          </w:p>
        </w:tc>
        <w:tc>
          <w:tcPr>
            <w:tcW w:w="430" w:type="dxa"/>
            <w:tcBorders>
              <w:right w:val="single" w:sz="4" w:space="0" w:color="FFFFFF" w:themeColor="background1"/>
            </w:tcBorders>
          </w:tcPr>
          <w:p w:rsidR="00274914" w:rsidRPr="002F17B5" w:rsidRDefault="00274914" w:rsidP="004F533E">
            <w:pPr>
              <w:spacing w:after="60"/>
              <w:jc w:val="right"/>
              <w:rPr>
                <w:b/>
              </w:rPr>
            </w:pPr>
          </w:p>
          <w:p w:rsidR="00274914" w:rsidRPr="002F17B5" w:rsidRDefault="00274914" w:rsidP="004F533E">
            <w:pPr>
              <w:spacing w:after="60"/>
              <w:jc w:val="right"/>
              <w:rPr>
                <w:b/>
              </w:rPr>
            </w:pPr>
          </w:p>
        </w:tc>
        <w:tc>
          <w:tcPr>
            <w:tcW w:w="1696" w:type="dxa"/>
            <w:tcBorders>
              <w:left w:val="single" w:sz="4" w:space="0" w:color="FFFFFF" w:themeColor="background1"/>
            </w:tcBorders>
          </w:tcPr>
          <w:p w:rsidR="00274914" w:rsidRPr="002F17B5" w:rsidRDefault="00BD5FF0" w:rsidP="004F533E">
            <w:pPr>
              <w:spacing w:after="60"/>
              <w:jc w:val="right"/>
              <w:rPr>
                <w:b/>
              </w:rPr>
            </w:pPr>
            <w:r w:rsidRPr="002F17B5">
              <w:rPr>
                <w:b/>
              </w:rPr>
              <w:t>31/03/13</w:t>
            </w:r>
          </w:p>
          <w:p w:rsidR="00274914" w:rsidRPr="002F17B5" w:rsidRDefault="00274914" w:rsidP="004F533E">
            <w:pPr>
              <w:spacing w:after="60"/>
              <w:jc w:val="right"/>
              <w:rPr>
                <w:b/>
              </w:rPr>
            </w:pPr>
            <w:r w:rsidRPr="002F17B5">
              <w:rPr>
                <w:b/>
              </w:rPr>
              <w:t>£m</w:t>
            </w:r>
          </w:p>
          <w:p w:rsidR="00274914" w:rsidRPr="002F17B5" w:rsidRDefault="00274914" w:rsidP="004F533E">
            <w:pPr>
              <w:spacing w:after="60"/>
              <w:jc w:val="right"/>
              <w:rPr>
                <w:b/>
                <w:sz w:val="12"/>
              </w:rPr>
            </w:pPr>
          </w:p>
        </w:tc>
      </w:tr>
      <w:tr w:rsidR="00274914" w:rsidRPr="002F17B5" w:rsidTr="00274914">
        <w:tc>
          <w:tcPr>
            <w:tcW w:w="5058" w:type="dxa"/>
          </w:tcPr>
          <w:p w:rsidR="00274914" w:rsidRPr="002F17B5" w:rsidRDefault="00274914" w:rsidP="004F533E">
            <w:pPr>
              <w:spacing w:after="60"/>
            </w:pPr>
            <w:r w:rsidRPr="002F17B5">
              <w:t>Other local authorities</w:t>
            </w:r>
          </w:p>
        </w:tc>
        <w:tc>
          <w:tcPr>
            <w:tcW w:w="1559" w:type="dxa"/>
          </w:tcPr>
          <w:p w:rsidR="00274914" w:rsidRPr="002F17B5" w:rsidRDefault="00274914" w:rsidP="004F533E">
            <w:pPr>
              <w:spacing w:after="60"/>
              <w:jc w:val="right"/>
            </w:pPr>
            <w:r w:rsidRPr="002F17B5">
              <w:t>4.0</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left w:val="single" w:sz="4" w:space="0" w:color="FFFFFF" w:themeColor="background1"/>
            </w:tcBorders>
          </w:tcPr>
          <w:p w:rsidR="00274914" w:rsidRPr="002F17B5" w:rsidRDefault="00274914" w:rsidP="004F533E">
            <w:pPr>
              <w:spacing w:after="60"/>
              <w:jc w:val="right"/>
            </w:pPr>
            <w:r w:rsidRPr="002F17B5">
              <w:t>4.2</w:t>
            </w:r>
          </w:p>
        </w:tc>
      </w:tr>
      <w:tr w:rsidR="00274914" w:rsidRPr="002F17B5" w:rsidTr="00274914">
        <w:tc>
          <w:tcPr>
            <w:tcW w:w="5058" w:type="dxa"/>
          </w:tcPr>
          <w:p w:rsidR="00274914" w:rsidRPr="002F17B5" w:rsidRDefault="00274914" w:rsidP="004F533E">
            <w:pPr>
              <w:spacing w:after="60"/>
            </w:pPr>
            <w:r w:rsidRPr="002F17B5">
              <w:t>NHS bodies</w:t>
            </w:r>
          </w:p>
        </w:tc>
        <w:tc>
          <w:tcPr>
            <w:tcW w:w="1559" w:type="dxa"/>
          </w:tcPr>
          <w:p w:rsidR="00274914" w:rsidRPr="002F17B5" w:rsidRDefault="00C47C8E" w:rsidP="004F533E">
            <w:pPr>
              <w:spacing w:after="60"/>
              <w:jc w:val="right"/>
            </w:pPr>
            <w:r>
              <w:t>-</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left w:val="single" w:sz="4" w:space="0" w:color="FFFFFF" w:themeColor="background1"/>
            </w:tcBorders>
          </w:tcPr>
          <w:p w:rsidR="00274914" w:rsidRPr="002F17B5" w:rsidRDefault="00274914" w:rsidP="004F533E">
            <w:pPr>
              <w:spacing w:after="60"/>
              <w:jc w:val="right"/>
            </w:pPr>
            <w:r w:rsidRPr="002F17B5">
              <w:t>0.4</w:t>
            </w:r>
          </w:p>
        </w:tc>
      </w:tr>
      <w:tr w:rsidR="00274914" w:rsidRPr="002F17B5" w:rsidTr="00274914">
        <w:tc>
          <w:tcPr>
            <w:tcW w:w="5058" w:type="dxa"/>
          </w:tcPr>
          <w:p w:rsidR="00274914" w:rsidRPr="002F17B5" w:rsidRDefault="00274914" w:rsidP="004F533E">
            <w:pPr>
              <w:spacing w:after="60"/>
            </w:pPr>
            <w:r w:rsidRPr="002F17B5">
              <w:t>Other entities and individuals</w:t>
            </w:r>
          </w:p>
        </w:tc>
        <w:tc>
          <w:tcPr>
            <w:tcW w:w="1559" w:type="dxa"/>
          </w:tcPr>
          <w:p w:rsidR="00274914" w:rsidRPr="002F17B5" w:rsidRDefault="00274914" w:rsidP="004F533E">
            <w:pPr>
              <w:spacing w:after="60"/>
              <w:jc w:val="right"/>
            </w:pPr>
            <w:r w:rsidRPr="002F17B5">
              <w:t>7.7</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left w:val="single" w:sz="4" w:space="0" w:color="FFFFFF" w:themeColor="background1"/>
            </w:tcBorders>
          </w:tcPr>
          <w:p w:rsidR="00274914" w:rsidRPr="002F17B5" w:rsidRDefault="00274914" w:rsidP="004F533E">
            <w:pPr>
              <w:spacing w:after="60"/>
              <w:jc w:val="right"/>
            </w:pPr>
            <w:r w:rsidRPr="002F17B5">
              <w:t>5.1</w:t>
            </w:r>
          </w:p>
        </w:tc>
      </w:tr>
      <w:tr w:rsidR="00274914" w:rsidRPr="002F17B5" w:rsidTr="00274914">
        <w:tc>
          <w:tcPr>
            <w:tcW w:w="5058" w:type="dxa"/>
          </w:tcPr>
          <w:p w:rsidR="00274914" w:rsidRPr="002F17B5" w:rsidRDefault="00274914" w:rsidP="004F533E">
            <w:pPr>
              <w:spacing w:after="60"/>
            </w:pPr>
          </w:p>
        </w:tc>
        <w:tc>
          <w:tcPr>
            <w:tcW w:w="1559" w:type="dxa"/>
            <w:tcBorders>
              <w:top w:val="single" w:sz="18" w:space="0" w:color="auto"/>
              <w:bottom w:val="single" w:sz="18" w:space="0" w:color="auto"/>
            </w:tcBorders>
          </w:tcPr>
          <w:p w:rsidR="00274914" w:rsidRPr="002F17B5" w:rsidRDefault="00274914" w:rsidP="004F533E">
            <w:pPr>
              <w:spacing w:after="60"/>
              <w:jc w:val="right"/>
            </w:pPr>
            <w:r w:rsidRPr="002F17B5">
              <w:t>11.7</w:t>
            </w:r>
          </w:p>
        </w:tc>
        <w:tc>
          <w:tcPr>
            <w:tcW w:w="430" w:type="dxa"/>
            <w:tcBorders>
              <w:right w:val="single" w:sz="4" w:space="0" w:color="FFFFFF" w:themeColor="background1"/>
            </w:tcBorders>
          </w:tcPr>
          <w:p w:rsidR="00274914" w:rsidRPr="002F17B5" w:rsidRDefault="00274914" w:rsidP="004F533E">
            <w:pPr>
              <w:spacing w:after="60"/>
              <w:jc w:val="right"/>
            </w:pPr>
          </w:p>
        </w:tc>
        <w:tc>
          <w:tcPr>
            <w:tcW w:w="1696" w:type="dxa"/>
            <w:tcBorders>
              <w:top w:val="single" w:sz="18" w:space="0" w:color="auto"/>
              <w:left w:val="single" w:sz="4" w:space="0" w:color="FFFFFF" w:themeColor="background1"/>
              <w:bottom w:val="single" w:sz="18" w:space="0" w:color="auto"/>
            </w:tcBorders>
          </w:tcPr>
          <w:p w:rsidR="00274914" w:rsidRPr="002F17B5" w:rsidRDefault="00274914" w:rsidP="004F533E">
            <w:pPr>
              <w:spacing w:after="60"/>
              <w:jc w:val="right"/>
            </w:pPr>
            <w:r w:rsidRPr="002F17B5">
              <w:t>9.7</w:t>
            </w:r>
          </w:p>
        </w:tc>
      </w:tr>
    </w:tbl>
    <w:p w:rsidR="00274914" w:rsidRPr="002F17B5" w:rsidRDefault="00274914" w:rsidP="00274914">
      <w:pPr>
        <w:rPr>
          <w:rFonts w:cs="Arial"/>
          <w:b/>
          <w:bCs/>
        </w:rPr>
      </w:pPr>
    </w:p>
    <w:p w:rsidR="00274914" w:rsidRPr="002F17B5" w:rsidRDefault="00274914" w:rsidP="00274914">
      <w:pPr>
        <w:ind w:left="720"/>
        <w:rPr>
          <w:rFonts w:cs="Arial"/>
          <w:b/>
          <w:bCs/>
          <w:sz w:val="20"/>
        </w:rPr>
      </w:pPr>
    </w:p>
    <w:p w:rsidR="00274914" w:rsidRPr="002F17B5" w:rsidRDefault="00274914" w:rsidP="00274914">
      <w:pPr>
        <w:ind w:left="720"/>
        <w:rPr>
          <w:rFonts w:cs="Arial"/>
          <w:b/>
          <w:bCs/>
        </w:rPr>
      </w:pPr>
    </w:p>
    <w:p w:rsidR="00274914" w:rsidRPr="002F17B5" w:rsidRDefault="00274914" w:rsidP="009A4C35">
      <w:pPr>
        <w:numPr>
          <w:ilvl w:val="0"/>
          <w:numId w:val="89"/>
        </w:numPr>
        <w:autoSpaceDE/>
        <w:autoSpaceDN/>
        <w:adjustRightInd/>
        <w:spacing w:before="0" w:after="240"/>
        <w:jc w:val="left"/>
        <w:rPr>
          <w:b/>
        </w:rPr>
      </w:pPr>
      <w:r w:rsidRPr="002F17B5">
        <w:rPr>
          <w:b/>
        </w:rPr>
        <w:t>Contingent Asset and Liability</w:t>
      </w:r>
    </w:p>
    <w:p w:rsidR="00274914" w:rsidRPr="002F17B5" w:rsidRDefault="00274914" w:rsidP="004F533E">
      <w:pPr>
        <w:pStyle w:val="BodyTextIndent"/>
        <w:spacing w:after="300"/>
        <w:ind w:left="709"/>
        <w:rPr>
          <w:szCs w:val="24"/>
        </w:rPr>
      </w:pPr>
      <w:r w:rsidRPr="002F17B5">
        <w:rPr>
          <w:szCs w:val="24"/>
        </w:rPr>
        <w:t>The Pension Fund is a member of two group litigation actions aimed at reclaiming tax credits on overseas dividends and foreign income dividends on the basis that the original denial of a full tax credit was in contravention of EU non-discrimination law.  If successful the estimated potential income to the Pension Fund is in the region of £10m.  The estimated fees payable in respect of the litigation, regardless of the outcome, are approximately £0.3m.  This issue is still progressing through the courts.</w:t>
      </w:r>
    </w:p>
    <w:p w:rsidR="00ED01E3" w:rsidRPr="002F17B5" w:rsidRDefault="00ED01E3" w:rsidP="004F533E">
      <w:pPr>
        <w:pStyle w:val="BodyTextIndent"/>
        <w:spacing w:after="300"/>
        <w:ind w:left="709"/>
        <w:rPr>
          <w:sz w:val="2"/>
          <w:szCs w:val="24"/>
        </w:rPr>
      </w:pPr>
    </w:p>
    <w:p w:rsidR="00274914" w:rsidRPr="002F17B5" w:rsidRDefault="00274914" w:rsidP="00274914">
      <w:pPr>
        <w:pStyle w:val="BodyTextIndent"/>
        <w:ind w:left="709"/>
        <w:rPr>
          <w:szCs w:val="24"/>
        </w:rPr>
      </w:pPr>
      <w:r w:rsidRPr="002F17B5">
        <w:rPr>
          <w:szCs w:val="24"/>
        </w:rPr>
        <w:t>The Pension Fund has entered into a number of other claims that are not financially material which may result in additional income for the Fund.</w:t>
      </w:r>
    </w:p>
    <w:p w:rsidR="00274914" w:rsidRPr="002F17B5" w:rsidRDefault="00274914" w:rsidP="009A4C35">
      <w:pPr>
        <w:pStyle w:val="BodyTextIndent"/>
        <w:numPr>
          <w:ilvl w:val="0"/>
          <w:numId w:val="89"/>
        </w:numPr>
        <w:spacing w:before="0"/>
        <w:rPr>
          <w:szCs w:val="24"/>
        </w:rPr>
      </w:pPr>
      <w:r w:rsidRPr="002F17B5">
        <w:rPr>
          <w:b/>
          <w:szCs w:val="24"/>
        </w:rPr>
        <w:lastRenderedPageBreak/>
        <w:t>Contractual Commitments</w:t>
      </w:r>
    </w:p>
    <w:p w:rsidR="00274914" w:rsidRPr="002F17B5" w:rsidRDefault="00274914" w:rsidP="00274914">
      <w:pPr>
        <w:pStyle w:val="BodyTextIndent"/>
        <w:tabs>
          <w:tab w:val="left" w:pos="709"/>
        </w:tabs>
        <w:ind w:left="709"/>
        <w:rPr>
          <w:szCs w:val="24"/>
        </w:rPr>
      </w:pPr>
      <w:r w:rsidRPr="002F17B5">
        <w:rPr>
          <w:szCs w:val="24"/>
        </w:rPr>
        <w:tab/>
        <w:t xml:space="preserve">The commitments relating to outstanding call payments due to unquoted limited partnership funds held in the venture capital and infrastructure part of the portfolio totalled £594.5m. The amounts 'called' by these funds are irregular in both size and timing and commitments to these partnerships are drawn down over a number of years.  The term of an individual investment can be up to 10 years.  Realisation of these investments in the form of distributions normally occurs towards the end of the investment period, when portfolio companies have built value and can be liquidated.  </w:t>
      </w:r>
    </w:p>
    <w:p w:rsidR="00ED01E3" w:rsidRPr="002F17B5" w:rsidRDefault="00ED01E3" w:rsidP="00274914">
      <w:pPr>
        <w:pStyle w:val="BodyTextIndent"/>
        <w:tabs>
          <w:tab w:val="left" w:pos="709"/>
        </w:tabs>
        <w:ind w:left="709"/>
        <w:rPr>
          <w:sz w:val="2"/>
          <w:szCs w:val="24"/>
        </w:rPr>
      </w:pPr>
    </w:p>
    <w:p w:rsidR="00274914" w:rsidRPr="002F17B5" w:rsidRDefault="00274914" w:rsidP="00274914">
      <w:pPr>
        <w:pStyle w:val="BodyTextIndent"/>
        <w:tabs>
          <w:tab w:val="left" w:pos="709"/>
        </w:tabs>
        <w:ind w:left="709"/>
        <w:rPr>
          <w:szCs w:val="24"/>
        </w:rPr>
      </w:pPr>
      <w:r w:rsidRPr="002F17B5">
        <w:rPr>
          <w:szCs w:val="24"/>
        </w:rPr>
        <w:t>The Fund entered into a new venture capital commitment in November 2013.  This will be internally managed and as at 31</w:t>
      </w:r>
      <w:r w:rsidRPr="002F17B5">
        <w:rPr>
          <w:szCs w:val="24"/>
          <w:vertAlign w:val="superscript"/>
        </w:rPr>
        <w:t>st</w:t>
      </w:r>
      <w:r w:rsidRPr="002F17B5">
        <w:rPr>
          <w:szCs w:val="24"/>
        </w:rPr>
        <w:t xml:space="preserve"> March 2014 there had been no drawdowns on the commitment of £17.9m.</w:t>
      </w:r>
    </w:p>
    <w:p w:rsidR="00ED01E3" w:rsidRPr="002F17B5" w:rsidRDefault="00ED01E3" w:rsidP="00274914">
      <w:pPr>
        <w:pStyle w:val="BodyTextIndent"/>
        <w:tabs>
          <w:tab w:val="left" w:pos="709"/>
        </w:tabs>
        <w:ind w:left="709"/>
        <w:rPr>
          <w:sz w:val="2"/>
          <w:szCs w:val="24"/>
        </w:rPr>
      </w:pPr>
    </w:p>
    <w:p w:rsidR="00274914" w:rsidRPr="002F17B5" w:rsidRDefault="00274914" w:rsidP="00274914">
      <w:pPr>
        <w:pStyle w:val="BodyTextIndent"/>
        <w:tabs>
          <w:tab w:val="left" w:pos="709"/>
        </w:tabs>
        <w:ind w:left="709"/>
        <w:rPr>
          <w:szCs w:val="24"/>
        </w:rPr>
      </w:pPr>
      <w:r w:rsidRPr="002F17B5">
        <w:rPr>
          <w:szCs w:val="24"/>
        </w:rPr>
        <w:t>In April 2013, the Fund approved the direct investment into a property development in St Albans.  The Fund is the sole investor in this town centre hotel and retail development   The Fund has a commitment to pay monthly staged payments to fund the development plus a balancing payment at completion.  The outstanding commitment at 31</w:t>
      </w:r>
      <w:r w:rsidRPr="002F17B5">
        <w:rPr>
          <w:szCs w:val="24"/>
          <w:vertAlign w:val="superscript"/>
        </w:rPr>
        <w:t>st</w:t>
      </w:r>
      <w:r w:rsidRPr="002F17B5">
        <w:rPr>
          <w:szCs w:val="24"/>
        </w:rPr>
        <w:t xml:space="preserve"> March 2014 amounts to £7.1m.</w:t>
      </w:r>
    </w:p>
    <w:p w:rsidR="00ED01E3" w:rsidRPr="002F17B5" w:rsidRDefault="00ED01E3" w:rsidP="00AA5305">
      <w:pPr>
        <w:pStyle w:val="BodyTextIndent"/>
        <w:tabs>
          <w:tab w:val="left" w:pos="709"/>
        </w:tabs>
        <w:ind w:left="0"/>
        <w:rPr>
          <w:szCs w:val="24"/>
        </w:rPr>
      </w:pPr>
    </w:p>
    <w:p w:rsidR="00274914" w:rsidRPr="002F17B5" w:rsidRDefault="00274914" w:rsidP="009A4C35">
      <w:pPr>
        <w:numPr>
          <w:ilvl w:val="0"/>
          <w:numId w:val="89"/>
        </w:numPr>
        <w:autoSpaceDE/>
        <w:autoSpaceDN/>
        <w:adjustRightInd/>
        <w:spacing w:before="0" w:after="240"/>
        <w:ind w:left="709"/>
        <w:jc w:val="left"/>
      </w:pPr>
      <w:r w:rsidRPr="002F17B5">
        <w:rPr>
          <w:b/>
        </w:rPr>
        <w:t>Related Party Transactions</w:t>
      </w:r>
    </w:p>
    <w:p w:rsidR="00274914" w:rsidRPr="002F17B5" w:rsidRDefault="00274914" w:rsidP="00274914">
      <w:pPr>
        <w:pStyle w:val="BodyTextIndent"/>
        <w:tabs>
          <w:tab w:val="left" w:pos="709"/>
        </w:tabs>
        <w:ind w:left="709"/>
        <w:rPr>
          <w:szCs w:val="24"/>
        </w:rPr>
      </w:pPr>
      <w:r w:rsidRPr="002F17B5">
        <w:rPr>
          <w:szCs w:val="24"/>
        </w:rPr>
        <w:t>In accordance with IFRS, the financial statements must contain the disclosures necessary to draw attention to the possibility that the reported financial position of the Pension Fund may have been affected by the existence of related parties and associated material transactions.  They include:</w:t>
      </w:r>
    </w:p>
    <w:p w:rsidR="00274914" w:rsidRPr="002F17B5" w:rsidRDefault="00274914" w:rsidP="009A4C35">
      <w:pPr>
        <w:pStyle w:val="BodyTextIndent"/>
        <w:numPr>
          <w:ilvl w:val="0"/>
          <w:numId w:val="77"/>
        </w:numPr>
        <w:tabs>
          <w:tab w:val="clear" w:pos="360"/>
          <w:tab w:val="num" w:pos="1080"/>
        </w:tabs>
        <w:spacing w:before="0"/>
        <w:ind w:left="1080"/>
        <w:rPr>
          <w:szCs w:val="24"/>
        </w:rPr>
      </w:pPr>
      <w:r w:rsidRPr="002F17B5">
        <w:rPr>
          <w:szCs w:val="24"/>
        </w:rPr>
        <w:t>At 31 March 2014, Gill Kilpatrick, CPFA, was Treasurer to the Pension Fund and County Treasurer for Lancashire County Council.</w:t>
      </w:r>
    </w:p>
    <w:p w:rsidR="00274914" w:rsidRPr="002F17B5" w:rsidRDefault="00274914" w:rsidP="009A4C35">
      <w:pPr>
        <w:pStyle w:val="BodyTextIndent"/>
        <w:numPr>
          <w:ilvl w:val="0"/>
          <w:numId w:val="77"/>
        </w:numPr>
        <w:tabs>
          <w:tab w:val="clear" w:pos="360"/>
          <w:tab w:val="num" w:pos="1080"/>
        </w:tabs>
        <w:spacing w:before="0"/>
        <w:ind w:left="1080"/>
        <w:rPr>
          <w:szCs w:val="24"/>
        </w:rPr>
      </w:pPr>
      <w:r w:rsidRPr="002F17B5">
        <w:rPr>
          <w:szCs w:val="24"/>
        </w:rPr>
        <w:t xml:space="preserve">The Pension Fund includes 99 scheduled and 198 admitted bodies. </w:t>
      </w:r>
    </w:p>
    <w:p w:rsidR="00274914" w:rsidRPr="002F17B5" w:rsidRDefault="00274914" w:rsidP="009A4C35">
      <w:pPr>
        <w:pStyle w:val="BodyTextIndent"/>
        <w:numPr>
          <w:ilvl w:val="0"/>
          <w:numId w:val="77"/>
        </w:numPr>
        <w:tabs>
          <w:tab w:val="clear" w:pos="360"/>
          <w:tab w:val="num" w:pos="1080"/>
        </w:tabs>
        <w:spacing w:before="0"/>
        <w:ind w:left="1080"/>
        <w:rPr>
          <w:szCs w:val="24"/>
        </w:rPr>
      </w:pPr>
      <w:r w:rsidRPr="002F17B5">
        <w:rPr>
          <w:szCs w:val="24"/>
        </w:rPr>
        <w:t>Members of the Pension Fund Committee, comprising 14 County Councillors, 2 Councillors from Unitary Authorities, 2 Councillors from District Councils, 2 Trade Union representatives, 1 representative from the Higher/Further education establishments and the Investment Advisory Panel.</w:t>
      </w:r>
    </w:p>
    <w:p w:rsidR="00274914" w:rsidRDefault="00274914" w:rsidP="00274914">
      <w:pPr>
        <w:pStyle w:val="BodyTextIndent"/>
        <w:rPr>
          <w:szCs w:val="24"/>
        </w:rPr>
      </w:pPr>
      <w:r w:rsidRPr="002F17B5">
        <w:rPr>
          <w:szCs w:val="24"/>
        </w:rPr>
        <w:t>The Pension Fund Committee members and senior officers of the Pension Fund were asked to complete a related party declaration for 2013/14. This revealed no material transactions between the Council and the members / officers and their families affecting involvement with the Pension Fund.  Each member of the Pension Fund Committee formally considers conflicts of interest at each meeting.</w:t>
      </w:r>
    </w:p>
    <w:p w:rsidR="00226F26" w:rsidRPr="002F17B5" w:rsidRDefault="00226F26" w:rsidP="00274914">
      <w:pPr>
        <w:pStyle w:val="BodyTextIndent"/>
        <w:rPr>
          <w:szCs w:val="24"/>
        </w:rPr>
      </w:pPr>
    </w:p>
    <w:p w:rsidR="004F533E" w:rsidRPr="002F17B5" w:rsidRDefault="004F533E" w:rsidP="00274914">
      <w:pPr>
        <w:ind w:left="709"/>
        <w:rPr>
          <w:b/>
        </w:rPr>
      </w:pPr>
    </w:p>
    <w:p w:rsidR="00274914" w:rsidRPr="002F17B5" w:rsidRDefault="00274914" w:rsidP="00274914">
      <w:pPr>
        <w:ind w:left="709"/>
        <w:rPr>
          <w:b/>
        </w:rPr>
      </w:pPr>
      <w:r w:rsidRPr="002F17B5">
        <w:rPr>
          <w:b/>
        </w:rPr>
        <w:lastRenderedPageBreak/>
        <w:t>Lancashire County Council</w:t>
      </w:r>
    </w:p>
    <w:p w:rsidR="00274914" w:rsidRPr="002F17B5" w:rsidRDefault="00274914" w:rsidP="00274914">
      <w:pPr>
        <w:ind w:left="709"/>
        <w:rPr>
          <w:sz w:val="10"/>
        </w:rPr>
      </w:pPr>
    </w:p>
    <w:p w:rsidR="00274914" w:rsidRPr="002F17B5" w:rsidRDefault="00274914" w:rsidP="00274914">
      <w:pPr>
        <w:ind w:left="709"/>
      </w:pPr>
      <w:r w:rsidRPr="002F17B5">
        <w:t>The Lancashire County Pension Fund is administered by Lancashire County Council. Consequently there is a strong relationship between the council and the pension fund.</w:t>
      </w:r>
    </w:p>
    <w:p w:rsidR="00274914" w:rsidRPr="002F17B5" w:rsidRDefault="00274914" w:rsidP="00274914">
      <w:pPr>
        <w:ind w:left="709"/>
        <w:rPr>
          <w:sz w:val="18"/>
        </w:rPr>
      </w:pPr>
    </w:p>
    <w:p w:rsidR="004F533E" w:rsidRDefault="00274914" w:rsidP="0033508C">
      <w:pPr>
        <w:ind w:left="709"/>
      </w:pPr>
      <w:r w:rsidRPr="002F17B5">
        <w:t>The council incurred costs of £4.2 million (2012/13: £3.8 million) in relation to the administration of the fund.  This includes a proportion of relevant officers' salaries in respect of time allocated to Pension and Investment issues.  The council was subsequently reimbursed by the fund for these expenses. The council is also the single largest employer of the members of the pension fund and contributed £69.1 million to the fund in 2013/14 (2012/13:£63.4m million). All monies owing to and due from the fund were paid in year.</w:t>
      </w:r>
    </w:p>
    <w:p w:rsidR="0033508C" w:rsidRPr="002F17B5" w:rsidRDefault="0033508C" w:rsidP="0033508C">
      <w:pPr>
        <w:ind w:left="709"/>
      </w:pPr>
    </w:p>
    <w:p w:rsidR="00274914" w:rsidRPr="002F17B5" w:rsidRDefault="00274914" w:rsidP="00274914">
      <w:pPr>
        <w:pStyle w:val="BodyTextIndent"/>
        <w:rPr>
          <w:b/>
        </w:rPr>
      </w:pPr>
      <w:r w:rsidRPr="002F17B5">
        <w:rPr>
          <w:b/>
        </w:rPr>
        <w:t>Key management personnel</w:t>
      </w:r>
    </w:p>
    <w:p w:rsidR="00274914" w:rsidRPr="002F17B5" w:rsidRDefault="00274914" w:rsidP="00274914">
      <w:pPr>
        <w:pStyle w:val="BodyTextIndent"/>
      </w:pPr>
      <w:r w:rsidRPr="002F17B5">
        <w:t>Paragraph 3.9.4.3 of the Code exempts local authorities from key management personnel disclosure requirements of IAS24, on the basis that the disclosure requirements for officer remuneration and members' allowances detailed in section 3.4 of the code (which are derived from the requirements of Regulation 7 (2)-(4) of the Accounts and Audit (England) Regulations 2011 and Regulation 7A of the Accounts and Audit (Wales) Regulations 2005) satisfy the key management disclosure requirements of paragraph 16 of IAS24.  This applies in equal measure to the accounts of the Lancashire County Pension Fund.</w:t>
      </w:r>
    </w:p>
    <w:p w:rsidR="00274914" w:rsidRPr="002F17B5" w:rsidRDefault="00274914" w:rsidP="00274914">
      <w:pPr>
        <w:pStyle w:val="BodyTextIndent"/>
      </w:pPr>
      <w:r w:rsidRPr="002F17B5">
        <w:t>The disclosure required by Regulation 7 (2)-(4) of the Accounts and Audit (England) Regulations can be found in the main accounts of Lancashire County Council.</w:t>
      </w:r>
    </w:p>
    <w:p w:rsidR="00274914" w:rsidRPr="002F17B5" w:rsidRDefault="00274914" w:rsidP="00274914">
      <w:pPr>
        <w:pStyle w:val="BodyTextIndent"/>
      </w:pPr>
    </w:p>
    <w:p w:rsidR="00274914" w:rsidRPr="002F17B5" w:rsidRDefault="00274914" w:rsidP="009A4C35">
      <w:pPr>
        <w:numPr>
          <w:ilvl w:val="0"/>
          <w:numId w:val="89"/>
        </w:numPr>
        <w:autoSpaceDE/>
        <w:autoSpaceDN/>
        <w:adjustRightInd/>
        <w:spacing w:before="0" w:after="240"/>
        <w:jc w:val="left"/>
        <w:rPr>
          <w:b/>
        </w:rPr>
      </w:pPr>
      <w:r w:rsidRPr="002F17B5">
        <w:rPr>
          <w:b/>
        </w:rPr>
        <w:t>Icelandic Investment</w:t>
      </w:r>
    </w:p>
    <w:p w:rsidR="00274914" w:rsidRPr="002F17B5" w:rsidRDefault="00274914" w:rsidP="00274914">
      <w:pPr>
        <w:widowControl w:val="0"/>
        <w:suppressAutoHyphens/>
        <w:ind w:left="709"/>
      </w:pPr>
      <w:r w:rsidRPr="002F17B5">
        <w:rPr>
          <w:szCs w:val="22"/>
        </w:rPr>
        <w:t xml:space="preserve">The Lancashire County Pension Fund had £2.4m on deposit with the Icelandic Bank </w:t>
      </w:r>
      <w:proofErr w:type="spellStart"/>
      <w:r w:rsidRPr="002F17B5">
        <w:rPr>
          <w:szCs w:val="22"/>
        </w:rPr>
        <w:t>Landsbanki</w:t>
      </w:r>
      <w:proofErr w:type="spellEnd"/>
      <w:r w:rsidRPr="002F17B5">
        <w:rPr>
          <w:szCs w:val="22"/>
        </w:rPr>
        <w:t xml:space="preserve"> (LBI) when it collapsed in October 2008.  </w:t>
      </w:r>
      <w:r w:rsidRPr="002F17B5">
        <w:t>The Winding up Board published details of LBI's financial position as at 31 December 2013; this showed that LBI's assets, including partial payments already made in respect of priority claims were greater than the sum of priority claims. It is therefore still considered likely that UK local authorities will recover 100% of their deposits, subject to potential future exchange rate fluctuations.  Approximately 51.8% of the total claim has now been repaid and the outstanding balance at 31</w:t>
      </w:r>
      <w:r w:rsidRPr="002F17B5">
        <w:rPr>
          <w:vertAlign w:val="superscript"/>
        </w:rPr>
        <w:t>st</w:t>
      </w:r>
      <w:r w:rsidRPr="002F17B5">
        <w:t xml:space="preserve"> March 2014 is £1.2m.  The exact timing and amount of future distributions is not known at this stage. The deposit is treated as an asset on the net asset statement and the carrying value is written down as distributions are received.</w:t>
      </w:r>
    </w:p>
    <w:p w:rsidR="00274914" w:rsidRDefault="00274914" w:rsidP="00274914">
      <w:pPr>
        <w:widowControl w:val="0"/>
        <w:suppressAutoHyphens/>
        <w:ind w:left="709"/>
      </w:pPr>
    </w:p>
    <w:p w:rsidR="00A85B2E" w:rsidRDefault="00A85B2E" w:rsidP="00274914">
      <w:pPr>
        <w:widowControl w:val="0"/>
        <w:suppressAutoHyphens/>
        <w:ind w:left="709"/>
      </w:pPr>
    </w:p>
    <w:p w:rsidR="00A85B2E" w:rsidRDefault="00A85B2E" w:rsidP="00274914">
      <w:pPr>
        <w:widowControl w:val="0"/>
        <w:suppressAutoHyphens/>
        <w:ind w:left="709"/>
      </w:pPr>
    </w:p>
    <w:p w:rsidR="00A85B2E" w:rsidRDefault="00A85B2E" w:rsidP="00274914">
      <w:pPr>
        <w:widowControl w:val="0"/>
        <w:suppressAutoHyphens/>
        <w:ind w:left="709"/>
      </w:pPr>
    </w:p>
    <w:p w:rsidR="00A85B2E" w:rsidRDefault="00A85B2E" w:rsidP="00274914">
      <w:pPr>
        <w:widowControl w:val="0"/>
        <w:suppressAutoHyphens/>
        <w:ind w:left="709"/>
      </w:pPr>
    </w:p>
    <w:p w:rsidR="00A85B2E" w:rsidRPr="002F17B5" w:rsidRDefault="00A85B2E" w:rsidP="00274914">
      <w:pPr>
        <w:widowControl w:val="0"/>
        <w:suppressAutoHyphens/>
        <w:ind w:left="709"/>
      </w:pPr>
    </w:p>
    <w:p w:rsidR="00274914" w:rsidRPr="002F17B5" w:rsidRDefault="00274914" w:rsidP="009A4C35">
      <w:pPr>
        <w:pStyle w:val="ListParagraph"/>
        <w:widowControl w:val="0"/>
        <w:numPr>
          <w:ilvl w:val="0"/>
          <w:numId w:val="89"/>
        </w:numPr>
        <w:suppressAutoHyphens/>
        <w:autoSpaceDE/>
        <w:autoSpaceDN/>
        <w:adjustRightInd/>
        <w:spacing w:before="0" w:after="0"/>
        <w:jc w:val="left"/>
        <w:rPr>
          <w:b/>
        </w:rPr>
      </w:pPr>
      <w:r w:rsidRPr="002F17B5">
        <w:rPr>
          <w:b/>
        </w:rPr>
        <w:lastRenderedPageBreak/>
        <w:t>Funding Arrangements</w:t>
      </w:r>
    </w:p>
    <w:p w:rsidR="00274914" w:rsidRPr="002F17B5" w:rsidRDefault="00274914" w:rsidP="00274914">
      <w:pPr>
        <w:widowControl w:val="0"/>
        <w:tabs>
          <w:tab w:val="num" w:pos="567"/>
        </w:tabs>
        <w:suppressAutoHyphens/>
        <w:rPr>
          <w:b/>
          <w:sz w:val="14"/>
        </w:rPr>
      </w:pPr>
    </w:p>
    <w:p w:rsidR="00274914" w:rsidRPr="006977BB" w:rsidRDefault="00274914" w:rsidP="00274914">
      <w:pPr>
        <w:pStyle w:val="Heading3"/>
        <w:spacing w:after="60" w:line="300" w:lineRule="atLeast"/>
        <w:ind w:left="709"/>
        <w:rPr>
          <w:rFonts w:ascii="Arial" w:hAnsi="Arial" w:cs="Arial"/>
          <w:i w:val="0"/>
          <w:sz w:val="24"/>
          <w:szCs w:val="24"/>
        </w:rPr>
      </w:pPr>
      <w:r w:rsidRPr="006977BB">
        <w:rPr>
          <w:rFonts w:ascii="Arial" w:hAnsi="Arial" w:cs="Arial"/>
          <w:i w:val="0"/>
          <w:sz w:val="24"/>
          <w:szCs w:val="24"/>
        </w:rPr>
        <w:t>Accounts for the year ended 31 March 2014 - Statement by the Consulting Actuary</w:t>
      </w:r>
    </w:p>
    <w:p w:rsidR="00274914" w:rsidRPr="002F17B5" w:rsidRDefault="00274914" w:rsidP="00274914">
      <w:pPr>
        <w:rPr>
          <w:sz w:val="14"/>
        </w:rPr>
      </w:pPr>
    </w:p>
    <w:p w:rsidR="00274914" w:rsidRPr="002F17B5" w:rsidRDefault="00274914" w:rsidP="00274914">
      <w:pPr>
        <w:ind w:left="709"/>
        <w:rPr>
          <w:noProof/>
        </w:rPr>
      </w:pPr>
      <w:r w:rsidRPr="002F17B5">
        <w:rPr>
          <w:noProof/>
        </w:rPr>
        <w:t>This statement has been provided to meet the requirements under Regulation 57(1)(d) of The Local Government Pension Scheme Regulations 2013.</w:t>
      </w:r>
    </w:p>
    <w:p w:rsidR="00274914" w:rsidRPr="002F17B5" w:rsidRDefault="00274914" w:rsidP="00274914">
      <w:pPr>
        <w:ind w:left="709"/>
        <w:rPr>
          <w:noProof/>
          <w:sz w:val="14"/>
        </w:rPr>
      </w:pPr>
    </w:p>
    <w:p w:rsidR="00274914" w:rsidRPr="002F17B5" w:rsidRDefault="00274914" w:rsidP="00274914">
      <w:pPr>
        <w:ind w:left="709"/>
        <w:rPr>
          <w:noProof/>
        </w:rPr>
      </w:pPr>
      <w:r w:rsidRPr="002F17B5">
        <w:rPr>
          <w:noProof/>
        </w:rPr>
        <w:t>An actuarial valuation of the Lancashire County Pension Fund was carried out as at 31 March 2013 to determine the contribution rates with effect from 1 April 2014 to 31 March 2017.</w:t>
      </w:r>
      <w:r w:rsidR="00A85B2E">
        <w:rPr>
          <w:noProof/>
        </w:rPr>
        <w:t xml:space="preserve"> Fulll detalis of the valuation are available as part of the funding strategy statement.</w:t>
      </w:r>
    </w:p>
    <w:p w:rsidR="00274914" w:rsidRPr="002F17B5" w:rsidRDefault="00274914" w:rsidP="00274914">
      <w:pPr>
        <w:ind w:left="709"/>
        <w:rPr>
          <w:noProof/>
          <w:sz w:val="16"/>
        </w:rPr>
      </w:pPr>
    </w:p>
    <w:p w:rsidR="00274914" w:rsidRPr="002F17B5" w:rsidRDefault="00274914" w:rsidP="00274914">
      <w:pPr>
        <w:pStyle w:val="Header"/>
        <w:spacing w:after="240"/>
        <w:ind w:left="709"/>
      </w:pPr>
      <w:r w:rsidRPr="002F17B5">
        <w:t xml:space="preserve">On the basis of the assumptions adopted, the Fund’s assets of £5,011 million represented 78% of the Fund’s past service liabilities of £6,388 million (the “Funding Target”) at the valuation date. The deficit at the valuation date was therefore £1,377 million. </w:t>
      </w:r>
    </w:p>
    <w:p w:rsidR="00274914" w:rsidRPr="002F17B5" w:rsidRDefault="00274914" w:rsidP="00274914">
      <w:pPr>
        <w:widowControl w:val="0"/>
        <w:tabs>
          <w:tab w:val="num" w:pos="567"/>
        </w:tabs>
        <w:suppressAutoHyphens/>
        <w:rPr>
          <w:b/>
          <w:sz w:val="10"/>
        </w:rPr>
      </w:pPr>
    </w:p>
    <w:p w:rsidR="00274914" w:rsidRPr="002F17B5" w:rsidRDefault="00274914" w:rsidP="00274914">
      <w:pPr>
        <w:pStyle w:val="Header"/>
        <w:spacing w:after="240"/>
      </w:pPr>
      <w:r w:rsidRPr="002F17B5">
        <w:t xml:space="preserve">. </w:t>
      </w:r>
    </w:p>
    <w:p w:rsidR="00274914" w:rsidRPr="002F17B5" w:rsidRDefault="00274914" w:rsidP="00274914">
      <w:pPr>
        <w:pStyle w:val="Header"/>
        <w:spacing w:after="240"/>
        <w:ind w:left="567"/>
      </w:pPr>
      <w:r w:rsidRPr="002F17B5">
        <w:t xml:space="preserve"> </w:t>
      </w:r>
      <w:r w:rsidRPr="002F17B5">
        <w:rPr>
          <w:noProof/>
          <w:lang w:eastAsia="en-GB"/>
        </w:rPr>
        <w:drawing>
          <wp:inline distT="0" distB="0" distL="0" distR="0">
            <wp:extent cx="615124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6151245" cy="2743200"/>
                    </a:xfrm>
                    <a:prstGeom prst="rect">
                      <a:avLst/>
                    </a:prstGeom>
                    <a:noFill/>
                  </pic:spPr>
                </pic:pic>
              </a:graphicData>
            </a:graphic>
          </wp:inline>
        </w:drawing>
      </w:r>
    </w:p>
    <w:p w:rsidR="00274914" w:rsidRPr="002F17B5" w:rsidRDefault="00274914" w:rsidP="00274914">
      <w:pPr>
        <w:pStyle w:val="Header"/>
        <w:spacing w:after="240"/>
        <w:ind w:left="567"/>
      </w:pPr>
      <w:r w:rsidRPr="002F17B5">
        <w:t xml:space="preserve">The valuation also showed that a common rate of contribution of 13.1% of pensionable pay per annum was required from employers.  The common rate is calculated as being sufficient in the long term, together with contributions paid by members, to meet all liabilities arising in respect of service after the valuation date. It allows for the new LGPS benefit structure effective from 1 April 2014. </w:t>
      </w:r>
    </w:p>
    <w:p w:rsidR="00ED01E3" w:rsidRPr="002F17B5" w:rsidRDefault="00ED01E3" w:rsidP="00274914">
      <w:pPr>
        <w:pStyle w:val="Header"/>
        <w:spacing w:after="240"/>
        <w:ind w:left="567"/>
        <w:rPr>
          <w:sz w:val="2"/>
        </w:rPr>
      </w:pPr>
    </w:p>
    <w:p w:rsidR="00274914" w:rsidRPr="002F17B5" w:rsidRDefault="00274914" w:rsidP="00274914">
      <w:pPr>
        <w:pStyle w:val="Header"/>
        <w:ind w:left="567"/>
      </w:pPr>
      <w:r w:rsidRPr="002F17B5">
        <w:t xml:space="preserve">After the valuation date, there were significant changes in financial markets. In particular there was an increase in gilt yields, which underpin the liability assessment. This improved the funding position materially to 82% with a resulting deficit of £1,088 million. This improvement was taken into account when setting the deficit contribution requirements for employers where required to stabilise contribution rates. On average across the Fund, the updated deficit would be eliminated by a contribution addition of £65m per annum increasing </w:t>
      </w:r>
      <w:r w:rsidRPr="002F17B5">
        <w:lastRenderedPageBreak/>
        <w:t>at 4.1% per annum (equivalent to 7.6% of projected Pensionable Pay at the valuation date) for 19 years if all assumptions are borne out in practice.</w:t>
      </w:r>
    </w:p>
    <w:p w:rsidR="00ED01E3" w:rsidRPr="002F17B5" w:rsidRDefault="00ED01E3" w:rsidP="00274914">
      <w:pPr>
        <w:pStyle w:val="Header"/>
        <w:ind w:left="567"/>
      </w:pPr>
    </w:p>
    <w:p w:rsidR="00274914" w:rsidRPr="002F17B5" w:rsidRDefault="00274914" w:rsidP="00274914">
      <w:pPr>
        <w:ind w:left="567"/>
        <w:rPr>
          <w:noProof/>
        </w:rPr>
      </w:pPr>
      <w:r w:rsidRPr="002F17B5">
        <w:rPr>
          <w:noProof/>
        </w:rPr>
        <w:t xml:space="preserve">Further details regarding the results of the valuation are contained in the formal report on the actuarial valuation dated March 2014. </w:t>
      </w:r>
    </w:p>
    <w:p w:rsidR="00274914" w:rsidRPr="002F17B5" w:rsidRDefault="00274914" w:rsidP="00274914">
      <w:pPr>
        <w:ind w:left="567"/>
        <w:rPr>
          <w:sz w:val="16"/>
        </w:rPr>
      </w:pPr>
    </w:p>
    <w:p w:rsidR="00274914" w:rsidRPr="002F17B5" w:rsidRDefault="00274914" w:rsidP="00274914">
      <w:pPr>
        <w:pStyle w:val="Header"/>
        <w:spacing w:after="240"/>
        <w:ind w:left="567"/>
      </w:pPr>
      <w:r w:rsidRPr="002F17B5">
        <w:t>In practice, each individual employer’s position is assessed separately and the contributions required are set out in the report. In addition to the certified contribution rates, payments to cover additional liabilities arising from early retirements (other than ill-health retirements) will be made to the Fund by the employers.</w:t>
      </w:r>
    </w:p>
    <w:p w:rsidR="00274914" w:rsidRPr="002F17B5" w:rsidRDefault="00274914" w:rsidP="00274914">
      <w:pPr>
        <w:pStyle w:val="Header"/>
        <w:spacing w:after="240"/>
        <w:ind w:left="567"/>
      </w:pPr>
      <w:r w:rsidRPr="002F17B5">
        <w:t xml:space="preserve">The funding plan adopted in assessing the contributions for each individual employer is in accordance with the Funding Strategy Statement (FSS). Any different approaches adopted, e.g. with regard to the implementation of contribution increases and deficit recovery periods, are as determined through the FSS consultation process. </w:t>
      </w:r>
    </w:p>
    <w:p w:rsidR="00274914" w:rsidRPr="002F17B5" w:rsidRDefault="00274914" w:rsidP="00274914">
      <w:pPr>
        <w:pStyle w:val="Header"/>
        <w:ind w:left="567"/>
      </w:pPr>
      <w:r w:rsidRPr="002F17B5">
        <w:t>The valuation was carried out using the projected unit actuarial method and the main actuarial assumptions used for assessing the Funding Target and the common contribution rate were as follows:</w:t>
      </w:r>
    </w:p>
    <w:p w:rsidR="00274914" w:rsidRPr="002F17B5" w:rsidRDefault="00274914" w:rsidP="00274914">
      <w:pPr>
        <w:pStyle w:val="Header"/>
        <w:ind w:left="567"/>
        <w:rPr>
          <w:sz w:val="14"/>
        </w:rPr>
      </w:pPr>
    </w:p>
    <w:p w:rsidR="00274914" w:rsidRPr="002F17B5" w:rsidRDefault="00274914" w:rsidP="00274914">
      <w:pPr>
        <w:pStyle w:val="Header"/>
        <w:ind w:left="567"/>
      </w:pPr>
    </w:p>
    <w:tbl>
      <w:tblPr>
        <w:tblW w:w="0" w:type="auto"/>
        <w:tblInd w:w="725" w:type="dxa"/>
        <w:tblBorders>
          <w:top w:val="single" w:sz="4" w:space="0" w:color="auto"/>
          <w:bottom w:val="single" w:sz="4" w:space="0" w:color="auto"/>
          <w:insideH w:val="single" w:sz="4" w:space="0" w:color="auto"/>
        </w:tblBorders>
        <w:tblLayout w:type="fixed"/>
        <w:tblCellMar>
          <w:left w:w="72" w:type="dxa"/>
          <w:right w:w="72" w:type="dxa"/>
        </w:tblCellMar>
        <w:tblLook w:val="0000" w:firstRow="0" w:lastRow="0" w:firstColumn="0" w:lastColumn="0" w:noHBand="0" w:noVBand="0"/>
      </w:tblPr>
      <w:tblGrid>
        <w:gridCol w:w="4217"/>
        <w:gridCol w:w="2245"/>
        <w:gridCol w:w="2565"/>
      </w:tblGrid>
      <w:tr w:rsidR="00274914" w:rsidRPr="002F17B5" w:rsidTr="00274914">
        <w:trPr>
          <w:cantSplit/>
          <w:tblHeader/>
        </w:trPr>
        <w:tc>
          <w:tcPr>
            <w:tcW w:w="4217" w:type="dxa"/>
            <w:tcBorders>
              <w:top w:val="nil"/>
              <w:bottom w:val="nil"/>
            </w:tcBorders>
            <w:shd w:val="clear" w:color="auto" w:fill="002C77"/>
            <w:vAlign w:val="bottom"/>
          </w:tcPr>
          <w:p w:rsidR="00274914" w:rsidRPr="002F17B5" w:rsidRDefault="00274914" w:rsidP="00274914">
            <w:pPr>
              <w:pStyle w:val="TableHeadingText"/>
              <w:rPr>
                <w:color w:val="FFFFFF"/>
              </w:rPr>
            </w:pPr>
          </w:p>
        </w:tc>
        <w:tc>
          <w:tcPr>
            <w:tcW w:w="2245" w:type="dxa"/>
            <w:tcBorders>
              <w:top w:val="nil"/>
              <w:bottom w:val="nil"/>
            </w:tcBorders>
            <w:shd w:val="clear" w:color="auto" w:fill="002C77"/>
            <w:vAlign w:val="bottom"/>
          </w:tcPr>
          <w:p w:rsidR="00274914" w:rsidRPr="002F17B5" w:rsidRDefault="00274914" w:rsidP="00274914">
            <w:pPr>
              <w:pStyle w:val="TableHeadingText"/>
              <w:rPr>
                <w:color w:val="FFFFFF"/>
              </w:rPr>
            </w:pPr>
            <w:r w:rsidRPr="002F17B5">
              <w:rPr>
                <w:color w:val="FFFFFF"/>
              </w:rPr>
              <w:t>For past service liabilities (Funding Target)</w:t>
            </w:r>
          </w:p>
        </w:tc>
        <w:tc>
          <w:tcPr>
            <w:tcW w:w="2565" w:type="dxa"/>
            <w:tcBorders>
              <w:top w:val="nil"/>
              <w:bottom w:val="nil"/>
            </w:tcBorders>
            <w:shd w:val="clear" w:color="auto" w:fill="002C77"/>
            <w:vAlign w:val="bottom"/>
          </w:tcPr>
          <w:p w:rsidR="00274914" w:rsidRPr="002F17B5" w:rsidRDefault="00274914" w:rsidP="00274914">
            <w:pPr>
              <w:pStyle w:val="TableHeadingText"/>
              <w:rPr>
                <w:color w:val="FFFFFF"/>
              </w:rPr>
            </w:pPr>
            <w:r w:rsidRPr="002F17B5">
              <w:rPr>
                <w:color w:val="FFFFFF"/>
              </w:rPr>
              <w:t>For future service liabilities (Common Contribution Rate)</w:t>
            </w:r>
          </w:p>
        </w:tc>
      </w:tr>
      <w:tr w:rsidR="00274914" w:rsidRPr="002F17B5" w:rsidTr="00274914">
        <w:trPr>
          <w:cantSplit/>
        </w:trPr>
        <w:tc>
          <w:tcPr>
            <w:tcW w:w="4217" w:type="dxa"/>
            <w:tcBorders>
              <w:top w:val="nil"/>
            </w:tcBorders>
            <w:shd w:val="clear" w:color="auto" w:fill="auto"/>
          </w:tcPr>
          <w:p w:rsidR="00274914" w:rsidRPr="002F17B5" w:rsidRDefault="00274914" w:rsidP="00274914">
            <w:pPr>
              <w:pStyle w:val="TableText"/>
            </w:pPr>
            <w:r w:rsidRPr="002F17B5">
              <w:t>Rate of return on investments (discount rate)</w:t>
            </w:r>
          </w:p>
        </w:tc>
        <w:tc>
          <w:tcPr>
            <w:tcW w:w="2245" w:type="dxa"/>
            <w:tcBorders>
              <w:top w:val="nil"/>
            </w:tcBorders>
            <w:shd w:val="clear" w:color="auto" w:fill="auto"/>
          </w:tcPr>
          <w:p w:rsidR="00274914" w:rsidRPr="002F17B5" w:rsidRDefault="00274914" w:rsidP="00274914">
            <w:pPr>
              <w:pStyle w:val="TableText"/>
              <w:spacing w:before="0" w:after="0"/>
            </w:pPr>
            <w:r w:rsidRPr="002F17B5">
              <w:t>4.8% per annum</w:t>
            </w:r>
          </w:p>
        </w:tc>
        <w:tc>
          <w:tcPr>
            <w:tcW w:w="2565" w:type="dxa"/>
            <w:tcBorders>
              <w:top w:val="nil"/>
            </w:tcBorders>
            <w:shd w:val="clear" w:color="auto" w:fill="auto"/>
          </w:tcPr>
          <w:p w:rsidR="00274914" w:rsidRPr="002F17B5" w:rsidRDefault="00274914" w:rsidP="00274914">
            <w:pPr>
              <w:pStyle w:val="TableText"/>
              <w:spacing w:before="0" w:after="0"/>
            </w:pPr>
            <w:r w:rsidRPr="002F17B5">
              <w:t>5.6% per annum</w:t>
            </w:r>
          </w:p>
        </w:tc>
      </w:tr>
      <w:tr w:rsidR="00274914" w:rsidRPr="002F17B5" w:rsidTr="00274914">
        <w:trPr>
          <w:cantSplit/>
        </w:trPr>
        <w:tc>
          <w:tcPr>
            <w:tcW w:w="4217" w:type="dxa"/>
            <w:shd w:val="clear" w:color="auto" w:fill="auto"/>
          </w:tcPr>
          <w:p w:rsidR="00274914" w:rsidRPr="002F17B5" w:rsidRDefault="00274914" w:rsidP="00274914">
            <w:pPr>
              <w:pStyle w:val="TableText"/>
            </w:pPr>
            <w:r w:rsidRPr="002F17B5">
              <w:t>Rate of pay increases (long term)*</w:t>
            </w:r>
          </w:p>
        </w:tc>
        <w:tc>
          <w:tcPr>
            <w:tcW w:w="2245" w:type="dxa"/>
            <w:shd w:val="clear" w:color="auto" w:fill="auto"/>
          </w:tcPr>
          <w:p w:rsidR="00274914" w:rsidRPr="002F17B5" w:rsidRDefault="00274914" w:rsidP="00274914">
            <w:pPr>
              <w:pStyle w:val="TableText"/>
            </w:pPr>
            <w:r w:rsidRPr="002F17B5">
              <w:t>4.1% per annum</w:t>
            </w:r>
          </w:p>
        </w:tc>
        <w:tc>
          <w:tcPr>
            <w:tcW w:w="2565" w:type="dxa"/>
            <w:shd w:val="clear" w:color="auto" w:fill="auto"/>
          </w:tcPr>
          <w:p w:rsidR="00274914" w:rsidRPr="002F17B5" w:rsidRDefault="00274914" w:rsidP="00274914">
            <w:pPr>
              <w:pStyle w:val="TableText"/>
            </w:pPr>
            <w:r w:rsidRPr="002F17B5">
              <w:t>4.1% per annum</w:t>
            </w:r>
          </w:p>
        </w:tc>
      </w:tr>
      <w:tr w:rsidR="00274914" w:rsidRPr="002F17B5" w:rsidTr="00274914">
        <w:trPr>
          <w:cantSplit/>
        </w:trPr>
        <w:tc>
          <w:tcPr>
            <w:tcW w:w="4217" w:type="dxa"/>
            <w:shd w:val="clear" w:color="auto" w:fill="auto"/>
          </w:tcPr>
          <w:p w:rsidR="00274914" w:rsidRPr="002F17B5" w:rsidRDefault="00274914" w:rsidP="00274914">
            <w:pPr>
              <w:pStyle w:val="TableText"/>
              <w:spacing w:before="0" w:after="0"/>
            </w:pPr>
            <w:r w:rsidRPr="002F17B5">
              <w:t xml:space="preserve">Rate of increases in pensions </w:t>
            </w:r>
          </w:p>
          <w:p w:rsidR="00274914" w:rsidRPr="002F17B5" w:rsidRDefault="00274914" w:rsidP="00274914">
            <w:pPr>
              <w:pStyle w:val="TableText"/>
              <w:spacing w:before="0" w:after="0"/>
            </w:pPr>
            <w:r w:rsidRPr="002F17B5">
              <w:t xml:space="preserve">in payment (in excess of </w:t>
            </w:r>
          </w:p>
          <w:p w:rsidR="00274914" w:rsidRPr="002F17B5" w:rsidRDefault="00274914" w:rsidP="00274914">
            <w:pPr>
              <w:pStyle w:val="TableText"/>
              <w:spacing w:before="0" w:after="0"/>
            </w:pPr>
            <w:r w:rsidRPr="002F17B5">
              <w:t>Guaranteed Minimum Pension)</w:t>
            </w:r>
          </w:p>
        </w:tc>
        <w:tc>
          <w:tcPr>
            <w:tcW w:w="2245" w:type="dxa"/>
            <w:shd w:val="clear" w:color="auto" w:fill="auto"/>
            <w:vAlign w:val="center"/>
          </w:tcPr>
          <w:p w:rsidR="00274914" w:rsidRPr="002F17B5" w:rsidRDefault="00274914" w:rsidP="00274914">
            <w:pPr>
              <w:pStyle w:val="TableText"/>
              <w:spacing w:before="0" w:after="0"/>
            </w:pPr>
            <w:r w:rsidRPr="002F17B5">
              <w:t>2.6% per annum</w:t>
            </w:r>
          </w:p>
        </w:tc>
        <w:tc>
          <w:tcPr>
            <w:tcW w:w="2565" w:type="dxa"/>
            <w:shd w:val="clear" w:color="auto" w:fill="auto"/>
            <w:vAlign w:val="center"/>
          </w:tcPr>
          <w:p w:rsidR="00274914" w:rsidRPr="002F17B5" w:rsidRDefault="00274914" w:rsidP="00274914">
            <w:pPr>
              <w:pStyle w:val="TableText"/>
              <w:spacing w:before="0" w:after="0"/>
            </w:pPr>
            <w:r w:rsidRPr="002F17B5">
              <w:t>2.6% per annum</w:t>
            </w:r>
          </w:p>
        </w:tc>
      </w:tr>
    </w:tbl>
    <w:p w:rsidR="00274914" w:rsidRPr="002F17B5" w:rsidRDefault="00274914" w:rsidP="00274914">
      <w:pPr>
        <w:pStyle w:val="Header"/>
        <w:spacing w:after="240"/>
        <w:ind w:firstLine="709"/>
        <w:rPr>
          <w:sz w:val="16"/>
          <w:szCs w:val="16"/>
        </w:rPr>
      </w:pPr>
      <w:r w:rsidRPr="002F17B5">
        <w:rPr>
          <w:sz w:val="16"/>
          <w:szCs w:val="16"/>
        </w:rPr>
        <w:t>* allowance was also made for short-term public sector pay restraint over a 3 year period.</w:t>
      </w:r>
    </w:p>
    <w:p w:rsidR="00274914" w:rsidRPr="002F17B5" w:rsidRDefault="00274914" w:rsidP="00274914">
      <w:pPr>
        <w:pStyle w:val="Header"/>
        <w:spacing w:after="240"/>
        <w:ind w:left="567"/>
      </w:pPr>
      <w:r w:rsidRPr="002F17B5">
        <w:t>The assets were assessed at market value.</w:t>
      </w:r>
    </w:p>
    <w:p w:rsidR="00274914" w:rsidRPr="002F17B5" w:rsidRDefault="00274914" w:rsidP="00274914">
      <w:pPr>
        <w:pStyle w:val="Header"/>
        <w:ind w:left="567"/>
      </w:pPr>
      <w:r w:rsidRPr="002F17B5">
        <w:t>The next triennial actuarial valuation of the Fund is due as at 31 March 2016.  Based on the results of that valuation, the contribution rates payable by the individual employers will be revised with effect from 1 April 2017.</w:t>
      </w:r>
    </w:p>
    <w:p w:rsidR="00274914" w:rsidRPr="002F17B5" w:rsidRDefault="00274914" w:rsidP="00274914">
      <w:pPr>
        <w:pStyle w:val="Header"/>
        <w:ind w:left="567"/>
      </w:pPr>
    </w:p>
    <w:p w:rsidR="00274914" w:rsidRPr="002F17B5" w:rsidRDefault="00274914" w:rsidP="00274914">
      <w:pPr>
        <w:pStyle w:val="Header"/>
        <w:ind w:left="567"/>
      </w:pPr>
    </w:p>
    <w:p w:rsidR="00274914" w:rsidRPr="002F17B5" w:rsidRDefault="00274914" w:rsidP="00274914">
      <w:pPr>
        <w:pStyle w:val="Header"/>
        <w:ind w:left="567"/>
      </w:pPr>
    </w:p>
    <w:p w:rsidR="00274914" w:rsidRPr="002F17B5" w:rsidRDefault="00274914" w:rsidP="009A4C35">
      <w:pPr>
        <w:pStyle w:val="Header"/>
        <w:numPr>
          <w:ilvl w:val="0"/>
          <w:numId w:val="89"/>
        </w:numPr>
        <w:tabs>
          <w:tab w:val="clear" w:pos="4320"/>
          <w:tab w:val="clear" w:pos="8640"/>
        </w:tabs>
        <w:autoSpaceDE/>
        <w:autoSpaceDN/>
        <w:adjustRightInd/>
        <w:spacing w:before="0"/>
        <w:jc w:val="left"/>
        <w:rPr>
          <w:b/>
        </w:rPr>
      </w:pPr>
      <w:r w:rsidRPr="002F17B5">
        <w:rPr>
          <w:b/>
        </w:rPr>
        <w:t xml:space="preserve">Actuarial Present Value of Promised Retirement Benefits </w:t>
      </w:r>
    </w:p>
    <w:p w:rsidR="00274914" w:rsidRPr="002F17B5" w:rsidRDefault="00274914" w:rsidP="00274914">
      <w:pPr>
        <w:pStyle w:val="Header"/>
        <w:ind w:left="567"/>
      </w:pPr>
    </w:p>
    <w:p w:rsidR="00274914" w:rsidRPr="002F17B5" w:rsidRDefault="00274914" w:rsidP="00274914">
      <w:pPr>
        <w:pStyle w:val="Header"/>
        <w:ind w:left="567"/>
      </w:pPr>
      <w:r w:rsidRPr="002F17B5">
        <w:t>IAS 26 requires the present value of the Fund’s promised retirement benefits to be disclosed, and for this purpose the actuarial assumptions and methodology used should be based on IAS 19 rather than the assumptions and methodology used for funding purposes.</w:t>
      </w:r>
    </w:p>
    <w:p w:rsidR="004F533E" w:rsidRPr="002F17B5" w:rsidRDefault="004F533E" w:rsidP="00274914">
      <w:pPr>
        <w:pStyle w:val="Header"/>
        <w:ind w:left="567"/>
      </w:pPr>
    </w:p>
    <w:p w:rsidR="00274914" w:rsidRPr="002F17B5" w:rsidRDefault="00274914" w:rsidP="00274914">
      <w:pPr>
        <w:pStyle w:val="Header"/>
        <w:ind w:left="567"/>
      </w:pPr>
      <w:r w:rsidRPr="002F17B5">
        <w:t>To assess the value of the benefits on this basis, we have used the following financial assumptions as at 31 March 2014 (the 31 March 2013 assumptions are included for comparison):</w:t>
      </w:r>
    </w:p>
    <w:p w:rsidR="00274914" w:rsidRPr="002F17B5" w:rsidRDefault="00274914" w:rsidP="00274914">
      <w:pPr>
        <w:pStyle w:val="Header"/>
        <w:ind w:left="567"/>
        <w:rPr>
          <w:sz w:val="10"/>
        </w:rPr>
      </w:pPr>
    </w:p>
    <w:tbl>
      <w:tblPr>
        <w:tblW w:w="0" w:type="auto"/>
        <w:tblInd w:w="639" w:type="dxa"/>
        <w:tblBorders>
          <w:top w:val="single" w:sz="4" w:space="0" w:color="auto"/>
          <w:bottom w:val="single" w:sz="4" w:space="0" w:color="auto"/>
          <w:insideH w:val="single" w:sz="4" w:space="0" w:color="auto"/>
        </w:tblBorders>
        <w:tblLayout w:type="fixed"/>
        <w:tblCellMar>
          <w:left w:w="72" w:type="dxa"/>
          <w:right w:w="72" w:type="dxa"/>
        </w:tblCellMar>
        <w:tblLook w:val="0000" w:firstRow="0" w:lastRow="0" w:firstColumn="0" w:lastColumn="0" w:noHBand="0" w:noVBand="0"/>
      </w:tblPr>
      <w:tblGrid>
        <w:gridCol w:w="3708"/>
        <w:gridCol w:w="2223"/>
        <w:gridCol w:w="2565"/>
      </w:tblGrid>
      <w:tr w:rsidR="00274914" w:rsidRPr="002F17B5" w:rsidTr="00274914">
        <w:trPr>
          <w:cantSplit/>
          <w:tblHeader/>
        </w:trPr>
        <w:tc>
          <w:tcPr>
            <w:tcW w:w="3708" w:type="dxa"/>
            <w:tcBorders>
              <w:top w:val="nil"/>
              <w:bottom w:val="nil"/>
            </w:tcBorders>
            <w:shd w:val="clear" w:color="auto" w:fill="002C77"/>
            <w:vAlign w:val="bottom"/>
          </w:tcPr>
          <w:p w:rsidR="00274914" w:rsidRPr="002F17B5" w:rsidRDefault="00274914" w:rsidP="00274914">
            <w:pPr>
              <w:pStyle w:val="TableHeadingText"/>
              <w:rPr>
                <w:color w:val="FFFFFF"/>
              </w:rPr>
            </w:pPr>
          </w:p>
        </w:tc>
        <w:tc>
          <w:tcPr>
            <w:tcW w:w="2223" w:type="dxa"/>
            <w:tcBorders>
              <w:top w:val="nil"/>
              <w:bottom w:val="nil"/>
            </w:tcBorders>
            <w:shd w:val="clear" w:color="auto" w:fill="002C77"/>
            <w:vAlign w:val="bottom"/>
          </w:tcPr>
          <w:p w:rsidR="00274914" w:rsidRPr="002F17B5" w:rsidRDefault="00274914" w:rsidP="00274914">
            <w:pPr>
              <w:pStyle w:val="TableHeadingText"/>
              <w:rPr>
                <w:color w:val="FFFFFF"/>
              </w:rPr>
            </w:pPr>
            <w:r w:rsidRPr="002F17B5">
              <w:rPr>
                <w:color w:val="FFFFFF"/>
              </w:rPr>
              <w:t>31 March 2013</w:t>
            </w:r>
          </w:p>
        </w:tc>
        <w:tc>
          <w:tcPr>
            <w:tcW w:w="2565" w:type="dxa"/>
            <w:tcBorders>
              <w:top w:val="nil"/>
              <w:bottom w:val="nil"/>
            </w:tcBorders>
            <w:shd w:val="clear" w:color="auto" w:fill="002C77"/>
            <w:vAlign w:val="bottom"/>
          </w:tcPr>
          <w:p w:rsidR="00274914" w:rsidRPr="002F17B5" w:rsidRDefault="00274914" w:rsidP="00274914">
            <w:pPr>
              <w:pStyle w:val="TableHeadingText"/>
              <w:rPr>
                <w:color w:val="FFFFFF"/>
              </w:rPr>
            </w:pPr>
            <w:r w:rsidRPr="002F17B5">
              <w:rPr>
                <w:color w:val="FFFFFF"/>
              </w:rPr>
              <w:t>31 March 2014</w:t>
            </w:r>
          </w:p>
        </w:tc>
      </w:tr>
      <w:tr w:rsidR="00274914" w:rsidRPr="002F17B5" w:rsidTr="00274914">
        <w:trPr>
          <w:cantSplit/>
        </w:trPr>
        <w:tc>
          <w:tcPr>
            <w:tcW w:w="3708" w:type="dxa"/>
            <w:tcBorders>
              <w:top w:val="nil"/>
            </w:tcBorders>
            <w:shd w:val="clear" w:color="auto" w:fill="auto"/>
          </w:tcPr>
          <w:p w:rsidR="00274914" w:rsidRPr="002F17B5" w:rsidRDefault="00274914" w:rsidP="00274914">
            <w:pPr>
              <w:pStyle w:val="TableText"/>
            </w:pPr>
            <w:r w:rsidRPr="002F17B5">
              <w:t>Rate of return on investments (discount rate)</w:t>
            </w:r>
          </w:p>
        </w:tc>
        <w:tc>
          <w:tcPr>
            <w:tcW w:w="2223" w:type="dxa"/>
            <w:tcBorders>
              <w:top w:val="nil"/>
            </w:tcBorders>
            <w:shd w:val="clear" w:color="auto" w:fill="auto"/>
          </w:tcPr>
          <w:p w:rsidR="00274914" w:rsidRPr="002F17B5" w:rsidRDefault="00274914" w:rsidP="00274914">
            <w:pPr>
              <w:pStyle w:val="TableText"/>
              <w:spacing w:before="0" w:after="0"/>
            </w:pPr>
            <w:r w:rsidRPr="002F17B5">
              <w:t>4.2% per annum</w:t>
            </w:r>
          </w:p>
        </w:tc>
        <w:tc>
          <w:tcPr>
            <w:tcW w:w="2565" w:type="dxa"/>
            <w:tcBorders>
              <w:top w:val="nil"/>
            </w:tcBorders>
            <w:shd w:val="clear" w:color="auto" w:fill="auto"/>
          </w:tcPr>
          <w:p w:rsidR="00274914" w:rsidRPr="002F17B5" w:rsidRDefault="00274914" w:rsidP="00274914">
            <w:pPr>
              <w:pStyle w:val="TableText"/>
              <w:spacing w:before="0" w:after="0"/>
            </w:pPr>
            <w:r w:rsidRPr="002F17B5">
              <w:t>4.5% per annum</w:t>
            </w:r>
          </w:p>
        </w:tc>
      </w:tr>
      <w:tr w:rsidR="00274914" w:rsidRPr="002F17B5" w:rsidTr="00274914">
        <w:trPr>
          <w:cantSplit/>
        </w:trPr>
        <w:tc>
          <w:tcPr>
            <w:tcW w:w="3708" w:type="dxa"/>
            <w:shd w:val="clear" w:color="auto" w:fill="auto"/>
          </w:tcPr>
          <w:p w:rsidR="00274914" w:rsidRPr="002F17B5" w:rsidRDefault="00274914" w:rsidP="00274914">
            <w:pPr>
              <w:pStyle w:val="TableText"/>
            </w:pPr>
            <w:r w:rsidRPr="002F17B5">
              <w:t xml:space="preserve">Rate of pay increases </w:t>
            </w:r>
          </w:p>
        </w:tc>
        <w:tc>
          <w:tcPr>
            <w:tcW w:w="2223" w:type="dxa"/>
            <w:shd w:val="clear" w:color="auto" w:fill="auto"/>
          </w:tcPr>
          <w:p w:rsidR="00274914" w:rsidRPr="002F17B5" w:rsidRDefault="00274914" w:rsidP="00274914">
            <w:pPr>
              <w:pStyle w:val="TableText"/>
            </w:pPr>
            <w:r w:rsidRPr="002F17B5">
              <w:t>4.4% per annum</w:t>
            </w:r>
          </w:p>
        </w:tc>
        <w:tc>
          <w:tcPr>
            <w:tcW w:w="2565" w:type="dxa"/>
            <w:shd w:val="clear" w:color="auto" w:fill="auto"/>
          </w:tcPr>
          <w:p w:rsidR="00274914" w:rsidRPr="002F17B5" w:rsidRDefault="00274914" w:rsidP="00274914">
            <w:pPr>
              <w:pStyle w:val="TableText"/>
            </w:pPr>
            <w:r w:rsidRPr="002F17B5">
              <w:t>3.9% per annum*</w:t>
            </w:r>
          </w:p>
        </w:tc>
      </w:tr>
      <w:tr w:rsidR="00274914" w:rsidRPr="002F17B5" w:rsidTr="00274914">
        <w:trPr>
          <w:cantSplit/>
        </w:trPr>
        <w:tc>
          <w:tcPr>
            <w:tcW w:w="3708" w:type="dxa"/>
            <w:shd w:val="clear" w:color="auto" w:fill="auto"/>
          </w:tcPr>
          <w:p w:rsidR="00274914" w:rsidRPr="002F17B5" w:rsidRDefault="00274914" w:rsidP="00274914">
            <w:pPr>
              <w:pStyle w:val="TableText"/>
              <w:spacing w:before="0" w:after="0"/>
            </w:pPr>
            <w:r w:rsidRPr="002F17B5">
              <w:t xml:space="preserve">Rate of increases in pensions </w:t>
            </w:r>
          </w:p>
          <w:p w:rsidR="00274914" w:rsidRPr="002F17B5" w:rsidRDefault="00274914" w:rsidP="00274914">
            <w:pPr>
              <w:pStyle w:val="TableText"/>
              <w:spacing w:before="0" w:after="0"/>
            </w:pPr>
            <w:r w:rsidRPr="002F17B5">
              <w:t xml:space="preserve">in payment (in excess of </w:t>
            </w:r>
          </w:p>
          <w:p w:rsidR="00274914" w:rsidRPr="002F17B5" w:rsidRDefault="00274914" w:rsidP="00274914">
            <w:pPr>
              <w:pStyle w:val="TableText"/>
              <w:spacing w:before="0" w:after="0"/>
            </w:pPr>
            <w:r w:rsidRPr="002F17B5">
              <w:t>Guaranteed Minimum Pension)</w:t>
            </w:r>
          </w:p>
        </w:tc>
        <w:tc>
          <w:tcPr>
            <w:tcW w:w="2223" w:type="dxa"/>
            <w:shd w:val="clear" w:color="auto" w:fill="auto"/>
            <w:vAlign w:val="center"/>
          </w:tcPr>
          <w:p w:rsidR="00274914" w:rsidRPr="002F17B5" w:rsidRDefault="00274914" w:rsidP="00274914">
            <w:pPr>
              <w:pStyle w:val="TableText"/>
              <w:spacing w:before="0" w:after="0"/>
            </w:pPr>
            <w:r w:rsidRPr="002F17B5">
              <w:t>2.4% per annum</w:t>
            </w:r>
          </w:p>
        </w:tc>
        <w:tc>
          <w:tcPr>
            <w:tcW w:w="2565" w:type="dxa"/>
            <w:shd w:val="clear" w:color="auto" w:fill="auto"/>
            <w:vAlign w:val="center"/>
          </w:tcPr>
          <w:p w:rsidR="00274914" w:rsidRPr="002F17B5" w:rsidRDefault="00274914" w:rsidP="00274914">
            <w:pPr>
              <w:pStyle w:val="TableText"/>
              <w:spacing w:before="0" w:after="0"/>
            </w:pPr>
            <w:r w:rsidRPr="002F17B5">
              <w:t>2.4% per annum</w:t>
            </w:r>
          </w:p>
        </w:tc>
      </w:tr>
    </w:tbl>
    <w:p w:rsidR="00274914" w:rsidRPr="002F17B5" w:rsidRDefault="00274914" w:rsidP="0033508C">
      <w:pPr>
        <w:pStyle w:val="Header"/>
        <w:ind w:firstLine="567"/>
        <w:rPr>
          <w:sz w:val="16"/>
          <w:szCs w:val="16"/>
        </w:rPr>
      </w:pPr>
      <w:r w:rsidRPr="002F17B5">
        <w:rPr>
          <w:sz w:val="16"/>
          <w:szCs w:val="16"/>
        </w:rPr>
        <w:t xml:space="preserve"> * includes a corresponding allowance to that made in the actuarial valuation for short-term public sector pay restraint.</w:t>
      </w:r>
    </w:p>
    <w:p w:rsidR="00274914" w:rsidRPr="002F17B5" w:rsidRDefault="00274914" w:rsidP="00274914">
      <w:pPr>
        <w:pStyle w:val="Header"/>
        <w:ind w:left="567"/>
        <w:rPr>
          <w:sz w:val="10"/>
        </w:rPr>
      </w:pPr>
    </w:p>
    <w:p w:rsidR="00274914" w:rsidRPr="002F17B5" w:rsidRDefault="00274914" w:rsidP="00274914">
      <w:pPr>
        <w:pStyle w:val="Header"/>
        <w:ind w:left="567"/>
      </w:pPr>
      <w:r w:rsidRPr="002F17B5">
        <w:t xml:space="preserve">The demographic assumptions are the same as those used for funding purposes.  Full details of these assumptions are set out in the </w:t>
      </w:r>
      <w:r w:rsidRPr="002F17B5">
        <w:rPr>
          <w:noProof/>
        </w:rPr>
        <w:t>formal report on the actuarial valuation dated March 2014</w:t>
      </w:r>
      <w:r w:rsidRPr="002F17B5">
        <w:t>.</w:t>
      </w:r>
    </w:p>
    <w:p w:rsidR="00274914" w:rsidRPr="002F17B5" w:rsidRDefault="00274914" w:rsidP="00274914">
      <w:pPr>
        <w:ind w:left="567"/>
        <w:rPr>
          <w:sz w:val="22"/>
        </w:rPr>
      </w:pPr>
    </w:p>
    <w:p w:rsidR="00274914" w:rsidRPr="002F17B5" w:rsidRDefault="00274914" w:rsidP="00274914">
      <w:pPr>
        <w:pStyle w:val="Header"/>
        <w:ind w:left="567"/>
      </w:pPr>
      <w:r w:rsidRPr="002F17B5">
        <w:t>During the year, corporate bond yields increased, resulting in a higher discount rate being used for IAS26 purposes at the year end than at the beginning of the year (4.5% p.a. versus 4.2% p.a.). The pay increase assumption at the year end has also changed to allow for a short-term public sector pay restraint as detailed in the actuarial valuation alongside a reduction in the long-term rate of real pay growth (1.5% p.a. versus 2.0% p.a.).</w:t>
      </w:r>
    </w:p>
    <w:p w:rsidR="00274914" w:rsidRPr="002F17B5" w:rsidRDefault="00274914" w:rsidP="00274914">
      <w:pPr>
        <w:ind w:left="567"/>
      </w:pPr>
    </w:p>
    <w:p w:rsidR="00274914" w:rsidRPr="002F17B5" w:rsidRDefault="00274914" w:rsidP="00274914">
      <w:pPr>
        <w:ind w:left="567"/>
      </w:pPr>
      <w:r w:rsidRPr="002F17B5">
        <w:t xml:space="preserve">The value of the Fund’s promised retirement benefits for the purposes of IAS26 as at 31 March 2013 was estimated as £7,373 million.  The effect of the changes in actuarial assumptions between 31 March 2013 and 31 March 2014 as described above is to decrease the liabilities by </w:t>
      </w:r>
      <w:r w:rsidRPr="002F17B5">
        <w:rPr>
          <w:i/>
          <w:sz w:val="20"/>
        </w:rPr>
        <w:t>c</w:t>
      </w:r>
      <w:r w:rsidRPr="002F17B5">
        <w:t xml:space="preserve">£614 million.  Adding interest over the year increases the liabilities by </w:t>
      </w:r>
    </w:p>
    <w:p w:rsidR="00274914" w:rsidRPr="0033508C" w:rsidRDefault="00274914" w:rsidP="0033508C">
      <w:pPr>
        <w:ind w:left="567"/>
      </w:pPr>
      <w:r w:rsidRPr="002F17B5">
        <w:t xml:space="preserve">c£310million, and allowing for net benefits accrued/paid over the period increases the liabilities by another </w:t>
      </w:r>
      <w:r w:rsidRPr="002F17B5">
        <w:rPr>
          <w:i/>
          <w:sz w:val="20"/>
        </w:rPr>
        <w:t>c£</w:t>
      </w:r>
      <w:r w:rsidRPr="002F17B5">
        <w:t>33 million (including any increase in liabilities arising as a result of early retirements/augmentations). Finally, allowing for actual vs expected membership experience, which emerged at the 2013 valuation, gives a reduction in liabilities of c£185 million.</w:t>
      </w:r>
    </w:p>
    <w:p w:rsidR="00274914" w:rsidRDefault="00274914" w:rsidP="00274914">
      <w:pPr>
        <w:ind w:left="567"/>
      </w:pPr>
      <w:r w:rsidRPr="002F17B5">
        <w:t>The net effect of all the above is that the estimated total value of the Fund’s promised retirement benefits as at 31 March 2014 is £6,917 million.</w:t>
      </w:r>
    </w:p>
    <w:p w:rsidR="00274914" w:rsidRPr="002F17B5" w:rsidRDefault="00274914" w:rsidP="00274914">
      <w:pPr>
        <w:ind w:left="567"/>
        <w:rPr>
          <w:sz w:val="8"/>
        </w:rPr>
      </w:pPr>
    </w:p>
    <w:p w:rsidR="00274914" w:rsidRPr="002F17B5" w:rsidRDefault="00274914" w:rsidP="009A4C35">
      <w:pPr>
        <w:pStyle w:val="Header"/>
        <w:numPr>
          <w:ilvl w:val="0"/>
          <w:numId w:val="89"/>
        </w:numPr>
        <w:tabs>
          <w:tab w:val="clear" w:pos="4320"/>
          <w:tab w:val="clear" w:pos="8640"/>
        </w:tabs>
        <w:autoSpaceDE/>
        <w:autoSpaceDN/>
        <w:adjustRightInd/>
        <w:spacing w:before="0"/>
        <w:jc w:val="left"/>
        <w:rPr>
          <w:b/>
        </w:rPr>
      </w:pPr>
      <w:r w:rsidRPr="002F17B5">
        <w:rPr>
          <w:b/>
        </w:rPr>
        <w:t xml:space="preserve">Events after the </w:t>
      </w:r>
      <w:r w:rsidR="00231F92">
        <w:rPr>
          <w:b/>
        </w:rPr>
        <w:t>net asset statement date</w:t>
      </w:r>
    </w:p>
    <w:p w:rsidR="00274914" w:rsidRPr="002F17B5" w:rsidRDefault="00274914" w:rsidP="00274914">
      <w:pPr>
        <w:ind w:left="862"/>
      </w:pPr>
    </w:p>
    <w:p w:rsidR="00274914" w:rsidRPr="002F17B5" w:rsidRDefault="00274914" w:rsidP="00274914">
      <w:pPr>
        <w:ind w:left="567"/>
      </w:pPr>
      <w:r w:rsidRPr="002F17B5">
        <w:t>Greater Manchester Pension Fund has been chosen by the Ministry of Justice to administer the Local Government Pension Scheme in respect of the National Probation Service and Community Rehabilitation Companies with effect from 1</w:t>
      </w:r>
      <w:r w:rsidRPr="002F17B5">
        <w:rPr>
          <w:vertAlign w:val="superscript"/>
        </w:rPr>
        <w:t>st</w:t>
      </w:r>
      <w:r w:rsidRPr="002F17B5">
        <w:t xml:space="preserve"> June 2014.  Active and deferred members of Lancashire County Pension Fund who are affected by this change transferred to the Greater Manchester Pension Fund on 1</w:t>
      </w:r>
      <w:r w:rsidRPr="002F17B5">
        <w:rPr>
          <w:vertAlign w:val="superscript"/>
        </w:rPr>
        <w:t>st</w:t>
      </w:r>
      <w:r w:rsidRPr="002F17B5">
        <w:t xml:space="preserve"> June 2014.  Probation Service pensioners who are currently members of the Lancashire County Pension Fund are scheduled to transfer out to Greater Manchester Pension Fund at the end of September 2014.  The transfer share of assets is expected to be in the region of £85m and the share of liabilities of the order of £109m.</w:t>
      </w:r>
    </w:p>
    <w:p w:rsidR="00144349" w:rsidRPr="002F17B5" w:rsidRDefault="00144349" w:rsidP="00144349">
      <w:pPr>
        <w:pStyle w:val="Heading1"/>
        <w:spacing w:after="240"/>
        <w:jc w:val="center"/>
        <w:rPr>
          <w:sz w:val="36"/>
        </w:rPr>
      </w:pPr>
      <w:r w:rsidRPr="002F17B5">
        <w:rPr>
          <w:sz w:val="36"/>
        </w:rPr>
        <w:t>Glossary</w:t>
      </w:r>
    </w:p>
    <w:p w:rsidR="00144349" w:rsidRPr="002F17B5" w:rsidRDefault="00144349" w:rsidP="00E9438F">
      <w:pPr>
        <w:spacing w:after="0"/>
        <w:rPr>
          <w:b/>
        </w:rPr>
      </w:pPr>
      <w:r w:rsidRPr="002F17B5">
        <w:rPr>
          <w:b/>
        </w:rPr>
        <w:t>Accounting Policies</w:t>
      </w:r>
    </w:p>
    <w:p w:rsidR="00144349" w:rsidRPr="002F17B5" w:rsidRDefault="00144349" w:rsidP="00144349">
      <w:pPr>
        <w:spacing w:after="240"/>
      </w:pPr>
      <w:r w:rsidRPr="002F17B5">
        <w:lastRenderedPageBreak/>
        <w:t>The specific principles, bases, conventions, rules and practices applied by the authority in preparing and presenting financial statements.</w:t>
      </w:r>
    </w:p>
    <w:p w:rsidR="00144349" w:rsidRPr="002F17B5" w:rsidRDefault="00144349" w:rsidP="00E9438F">
      <w:pPr>
        <w:spacing w:after="0"/>
        <w:rPr>
          <w:b/>
        </w:rPr>
      </w:pPr>
      <w:r w:rsidRPr="002F17B5">
        <w:rPr>
          <w:b/>
        </w:rPr>
        <w:t>Accrual</w:t>
      </w:r>
    </w:p>
    <w:p w:rsidR="00144349" w:rsidRPr="002F17B5" w:rsidRDefault="00144349" w:rsidP="00144349">
      <w:pPr>
        <w:spacing w:after="240"/>
      </w:pPr>
      <w:r w:rsidRPr="002F17B5">
        <w:t>The concept that income and expenditure are recognised as they are earned or incurred, not as cash is received or paid.</w:t>
      </w:r>
    </w:p>
    <w:p w:rsidR="00256BD3" w:rsidRPr="002F17B5" w:rsidRDefault="00256BD3" w:rsidP="00E9438F">
      <w:pPr>
        <w:spacing w:after="0"/>
        <w:rPr>
          <w:b/>
        </w:rPr>
      </w:pPr>
      <w:r w:rsidRPr="002F17B5">
        <w:rPr>
          <w:b/>
        </w:rPr>
        <w:t xml:space="preserve">Accumulated Absences Account </w:t>
      </w:r>
    </w:p>
    <w:p w:rsidR="00256BD3" w:rsidRPr="002F17B5" w:rsidRDefault="00256BD3" w:rsidP="00256BD3">
      <w:pPr>
        <w:rPr>
          <w:b/>
        </w:rPr>
      </w:pPr>
      <w:r w:rsidRPr="002F17B5">
        <w:t xml:space="preserve">The accumulated absences account absorbs the differences that would otherwise arise on the County Fund balance from accruing for compensated absences earned but not taken in the year, </w:t>
      </w:r>
    </w:p>
    <w:p w:rsidR="00144349" w:rsidRPr="002F17B5" w:rsidRDefault="00144349" w:rsidP="00E9438F">
      <w:pPr>
        <w:spacing w:after="0"/>
        <w:rPr>
          <w:b/>
        </w:rPr>
      </w:pPr>
      <w:r w:rsidRPr="002F17B5">
        <w:rPr>
          <w:b/>
        </w:rPr>
        <w:t>Actuary</w:t>
      </w:r>
    </w:p>
    <w:p w:rsidR="00144349" w:rsidRPr="002F17B5" w:rsidRDefault="00144349" w:rsidP="00144349">
      <w:pPr>
        <w:spacing w:after="240"/>
      </w:pPr>
      <w:r w:rsidRPr="002F17B5">
        <w:t>An expert on pension scheme assets and liabilities. The Local Government Pension Scheme Actuary reassesses the rate of employer contributions to the pension fund every three years.</w:t>
      </w:r>
    </w:p>
    <w:p w:rsidR="00144349" w:rsidRPr="002F17B5" w:rsidRDefault="00144349" w:rsidP="00E9438F">
      <w:pPr>
        <w:spacing w:after="0"/>
        <w:rPr>
          <w:b/>
        </w:rPr>
      </w:pPr>
      <w:r w:rsidRPr="002F17B5">
        <w:rPr>
          <w:b/>
        </w:rPr>
        <w:t>Actuarial gains and losses</w:t>
      </w:r>
    </w:p>
    <w:p w:rsidR="00144349" w:rsidRPr="002F17B5" w:rsidRDefault="00144349" w:rsidP="00144349">
      <w:pPr>
        <w:spacing w:after="240"/>
        <w:rPr>
          <w:rFonts w:cs="Arial"/>
        </w:rPr>
      </w:pPr>
      <w:r w:rsidRPr="002F17B5">
        <w:t xml:space="preserve">A change in pension fund liability due to the effects of differences between the previous actuarial assumptions and what has actually occurred.  Outcomes are better or worse than the actuary had predicted or assumed – for example, because the fund’s assets earn more than expected, salaries do not increase as fast as </w:t>
      </w:r>
      <w:r w:rsidRPr="002F17B5">
        <w:rPr>
          <w:rFonts w:cs="Arial"/>
        </w:rPr>
        <w:t xml:space="preserve">assumed or members retire later than assumed.  </w:t>
      </w:r>
    </w:p>
    <w:p w:rsidR="004D073E" w:rsidRPr="002F17B5" w:rsidRDefault="004D073E" w:rsidP="00E9438F">
      <w:pPr>
        <w:spacing w:after="0"/>
        <w:rPr>
          <w:rFonts w:cs="Arial"/>
          <w:b/>
        </w:rPr>
      </w:pPr>
      <w:r w:rsidRPr="002F17B5">
        <w:rPr>
          <w:rFonts w:cs="Arial"/>
          <w:b/>
        </w:rPr>
        <w:t>Administrative Expenses (IAS 19)</w:t>
      </w:r>
    </w:p>
    <w:p w:rsidR="004D073E" w:rsidRPr="002F17B5" w:rsidRDefault="00E9438F" w:rsidP="00144349">
      <w:r w:rsidRPr="002F17B5">
        <w:t>T</w:t>
      </w:r>
      <w:r w:rsidR="004D073E" w:rsidRPr="002F17B5">
        <w:t xml:space="preserve">he administration costs of running the pension fund </w:t>
      </w:r>
    </w:p>
    <w:p w:rsidR="004D073E" w:rsidRPr="002F17B5" w:rsidRDefault="004D073E" w:rsidP="00144349">
      <w:pPr>
        <w:rPr>
          <w:sz w:val="2"/>
        </w:rPr>
      </w:pPr>
    </w:p>
    <w:p w:rsidR="00144349" w:rsidRPr="002F17B5" w:rsidRDefault="00144349" w:rsidP="00E9438F">
      <w:pPr>
        <w:spacing w:after="0"/>
        <w:rPr>
          <w:b/>
        </w:rPr>
      </w:pPr>
      <w:r w:rsidRPr="002F17B5">
        <w:rPr>
          <w:b/>
        </w:rPr>
        <w:t>Agency services</w:t>
      </w:r>
    </w:p>
    <w:p w:rsidR="00144349" w:rsidRPr="002F17B5" w:rsidRDefault="00144349" w:rsidP="00144349">
      <w:pPr>
        <w:spacing w:after="240"/>
      </w:pPr>
      <w:r w:rsidRPr="002F17B5">
        <w:t>Services which one council is responsible for, but which another council provides (as the agent). The council responsible pays the agent council the cost of the services provided.</w:t>
      </w:r>
    </w:p>
    <w:p w:rsidR="00144349" w:rsidRPr="002F17B5" w:rsidRDefault="00144349" w:rsidP="00E9438F">
      <w:pPr>
        <w:spacing w:after="0"/>
        <w:rPr>
          <w:b/>
        </w:rPr>
      </w:pPr>
      <w:r w:rsidRPr="002F17B5">
        <w:rPr>
          <w:b/>
        </w:rPr>
        <w:t>Amortisation</w:t>
      </w:r>
    </w:p>
    <w:p w:rsidR="00144349" w:rsidRPr="002F17B5" w:rsidRDefault="00144349" w:rsidP="00144349">
      <w:pPr>
        <w:spacing w:after="240"/>
      </w:pPr>
      <w:r w:rsidRPr="002F17B5">
        <w:t>An annual charge to the revenue account that spreads the cost of an asset over a period of time.</w:t>
      </w:r>
    </w:p>
    <w:p w:rsidR="00144349" w:rsidRPr="002F17B5" w:rsidRDefault="00144349" w:rsidP="00E9438F">
      <w:pPr>
        <w:spacing w:after="0"/>
        <w:rPr>
          <w:b/>
        </w:rPr>
      </w:pPr>
      <w:r w:rsidRPr="002F17B5">
        <w:rPr>
          <w:b/>
        </w:rPr>
        <w:t>Appropriation</w:t>
      </w:r>
    </w:p>
    <w:p w:rsidR="00144349" w:rsidRPr="002F17B5" w:rsidRDefault="00144349" w:rsidP="00144349">
      <w:pPr>
        <w:spacing w:after="240"/>
      </w:pPr>
      <w:r w:rsidRPr="002F17B5">
        <w:t>A contribution to or from a financial reserve.</w:t>
      </w:r>
    </w:p>
    <w:p w:rsidR="00144349" w:rsidRPr="002F17B5" w:rsidRDefault="00144349" w:rsidP="00E9438F">
      <w:pPr>
        <w:spacing w:after="0"/>
        <w:rPr>
          <w:b/>
        </w:rPr>
      </w:pPr>
      <w:r w:rsidRPr="002F17B5">
        <w:rPr>
          <w:b/>
        </w:rPr>
        <w:t>Audit qualification</w:t>
      </w:r>
    </w:p>
    <w:p w:rsidR="00144349" w:rsidRPr="002F17B5" w:rsidRDefault="00144349" w:rsidP="00144349">
      <w:pPr>
        <w:spacing w:after="240"/>
      </w:pPr>
      <w:r w:rsidRPr="002F17B5">
        <w:t>A comment made by the auditors if they are not completely satisfied with the accounts.</w:t>
      </w:r>
    </w:p>
    <w:p w:rsidR="00144349" w:rsidRPr="002F17B5" w:rsidRDefault="00144349" w:rsidP="00E9438F">
      <w:pPr>
        <w:spacing w:after="0"/>
        <w:rPr>
          <w:b/>
        </w:rPr>
      </w:pPr>
      <w:r w:rsidRPr="002F17B5">
        <w:rPr>
          <w:b/>
        </w:rPr>
        <w:t>Budget</w:t>
      </w:r>
    </w:p>
    <w:p w:rsidR="00144349" w:rsidRPr="002F17B5" w:rsidRDefault="00144349" w:rsidP="00144349">
      <w:pPr>
        <w:spacing w:after="240"/>
      </w:pPr>
      <w:r w:rsidRPr="002F17B5">
        <w:t>A statement which reflects the County Council’s policies in financial terms and which sets out its spending plans for a given period.</w:t>
      </w:r>
    </w:p>
    <w:p w:rsidR="00144349" w:rsidRPr="002F17B5" w:rsidRDefault="00144349" w:rsidP="00E9438F">
      <w:pPr>
        <w:spacing w:after="0"/>
        <w:rPr>
          <w:b/>
        </w:rPr>
      </w:pPr>
      <w:r w:rsidRPr="002F17B5">
        <w:rPr>
          <w:b/>
        </w:rPr>
        <w:t>Capital assets</w:t>
      </w:r>
    </w:p>
    <w:p w:rsidR="00144349" w:rsidRPr="002F17B5" w:rsidRDefault="00144349" w:rsidP="00144349">
      <w:pPr>
        <w:spacing w:after="240"/>
        <w:rPr>
          <w:b/>
        </w:rPr>
      </w:pPr>
      <w:r w:rsidRPr="002F17B5">
        <w:t>Assets bought through capital expenditure. They are also known as ‘capital items’ and ‘fixed assets’.</w:t>
      </w:r>
    </w:p>
    <w:p w:rsidR="00E9438F" w:rsidRPr="002F17B5" w:rsidRDefault="00E9438F" w:rsidP="00E9438F">
      <w:pPr>
        <w:spacing w:after="0"/>
        <w:rPr>
          <w:b/>
        </w:rPr>
      </w:pPr>
    </w:p>
    <w:p w:rsidR="00144349" w:rsidRPr="002F17B5" w:rsidRDefault="00144349" w:rsidP="00E9438F">
      <w:pPr>
        <w:spacing w:after="0"/>
        <w:rPr>
          <w:b/>
        </w:rPr>
      </w:pPr>
      <w:r w:rsidRPr="002F17B5">
        <w:rPr>
          <w:b/>
        </w:rPr>
        <w:t>Capital creditors</w:t>
      </w:r>
    </w:p>
    <w:p w:rsidR="00144349" w:rsidRPr="002F17B5" w:rsidRDefault="00144349" w:rsidP="00144349">
      <w:pPr>
        <w:spacing w:after="240"/>
      </w:pPr>
      <w:r w:rsidRPr="002F17B5">
        <w:t>Amounts owed by the county council for spending on buying or improving assets.</w:t>
      </w:r>
    </w:p>
    <w:p w:rsidR="00144349" w:rsidRPr="002F17B5" w:rsidRDefault="00144349" w:rsidP="00E9438F">
      <w:pPr>
        <w:spacing w:after="0"/>
        <w:rPr>
          <w:b/>
        </w:rPr>
      </w:pPr>
      <w:r w:rsidRPr="002F17B5">
        <w:rPr>
          <w:b/>
        </w:rPr>
        <w:lastRenderedPageBreak/>
        <w:t>Capital expenditure</w:t>
      </w:r>
    </w:p>
    <w:p w:rsidR="00144349" w:rsidRPr="002F17B5" w:rsidRDefault="00144349" w:rsidP="00144349">
      <w:pPr>
        <w:spacing w:after="240"/>
      </w:pPr>
      <w:r w:rsidRPr="002F17B5">
        <w:t xml:space="preserve">Spending on buying or improving assets that have a long-term benefit – for example land, buildings and roads. </w:t>
      </w:r>
    </w:p>
    <w:p w:rsidR="00144349" w:rsidRPr="002F17B5" w:rsidRDefault="00144349" w:rsidP="00E9438F">
      <w:pPr>
        <w:spacing w:after="0"/>
        <w:rPr>
          <w:b/>
        </w:rPr>
      </w:pPr>
      <w:r w:rsidRPr="002F17B5">
        <w:rPr>
          <w:b/>
        </w:rPr>
        <w:t>Capital funding</w:t>
      </w:r>
    </w:p>
    <w:p w:rsidR="00144349" w:rsidRPr="002F17B5" w:rsidRDefault="00144349" w:rsidP="00144349">
      <w:pPr>
        <w:spacing w:after="240"/>
      </w:pPr>
      <w:r w:rsidRPr="002F17B5">
        <w:t>Money to support spending on capital projects.</w:t>
      </w:r>
    </w:p>
    <w:p w:rsidR="00144349" w:rsidRPr="002F17B5" w:rsidRDefault="00144349" w:rsidP="00E9438F">
      <w:pPr>
        <w:spacing w:after="0"/>
        <w:rPr>
          <w:b/>
        </w:rPr>
      </w:pPr>
      <w:r w:rsidRPr="002F17B5">
        <w:rPr>
          <w:b/>
        </w:rPr>
        <w:t>Capital grant</w:t>
      </w:r>
    </w:p>
    <w:p w:rsidR="00144349" w:rsidRPr="002F17B5" w:rsidRDefault="00144349" w:rsidP="00144349">
      <w:pPr>
        <w:spacing w:after="240"/>
      </w:pPr>
      <w:r w:rsidRPr="002F17B5">
        <w:t>Money received for capital items (see ‘capital expenditure’ above).</w:t>
      </w:r>
    </w:p>
    <w:p w:rsidR="00144349" w:rsidRPr="002F17B5" w:rsidRDefault="00144349" w:rsidP="00E9438F">
      <w:pPr>
        <w:spacing w:after="0"/>
        <w:rPr>
          <w:b/>
        </w:rPr>
      </w:pPr>
      <w:r w:rsidRPr="002F17B5">
        <w:rPr>
          <w:b/>
        </w:rPr>
        <w:t>Capital investment</w:t>
      </w:r>
    </w:p>
    <w:p w:rsidR="00144349" w:rsidRPr="002F17B5" w:rsidRDefault="00144349" w:rsidP="00144349">
      <w:pPr>
        <w:spacing w:after="240"/>
      </w:pPr>
      <w:r w:rsidRPr="002F17B5">
        <w:t>Money invested in capital projects.</w:t>
      </w:r>
    </w:p>
    <w:p w:rsidR="00144349" w:rsidRPr="002F17B5" w:rsidRDefault="00144349" w:rsidP="00E9438F">
      <w:pPr>
        <w:spacing w:after="0"/>
        <w:rPr>
          <w:b/>
        </w:rPr>
      </w:pPr>
      <w:r w:rsidRPr="002F17B5">
        <w:rPr>
          <w:b/>
        </w:rPr>
        <w:t>Capital projects</w:t>
      </w:r>
    </w:p>
    <w:p w:rsidR="00144349" w:rsidRPr="002F17B5" w:rsidRDefault="00144349" w:rsidP="00144349">
      <w:pPr>
        <w:spacing w:after="240"/>
      </w:pPr>
      <w:r w:rsidRPr="002F17B5">
        <w:t>Projects to buy or improve assets that have a long-term benefit – for example, land, buildings and roads. These projects are funded by capital expenditure.</w:t>
      </w:r>
    </w:p>
    <w:p w:rsidR="00144349" w:rsidRPr="002F17B5" w:rsidRDefault="00144349" w:rsidP="00E9438F">
      <w:pPr>
        <w:spacing w:after="0"/>
        <w:rPr>
          <w:b/>
        </w:rPr>
      </w:pPr>
      <w:r w:rsidRPr="002F17B5">
        <w:rPr>
          <w:b/>
        </w:rPr>
        <w:t>Capital receipts</w:t>
      </w:r>
    </w:p>
    <w:p w:rsidR="00144349" w:rsidRPr="002F17B5" w:rsidRDefault="00144349" w:rsidP="00144349">
      <w:pPr>
        <w:spacing w:after="240"/>
      </w:pPr>
      <w:r w:rsidRPr="002F17B5">
        <w:t>Proceeds received from the sale of capital assets. The proceeds are set aside in the Capital reserve in order to repay the county council’s borrowings or to finance new capital expenditure.</w:t>
      </w:r>
    </w:p>
    <w:p w:rsidR="00144349" w:rsidRPr="002F17B5" w:rsidRDefault="00144349" w:rsidP="00E9438F">
      <w:pPr>
        <w:spacing w:after="0"/>
        <w:rPr>
          <w:b/>
        </w:rPr>
      </w:pPr>
      <w:r w:rsidRPr="002F17B5">
        <w:rPr>
          <w:b/>
        </w:rPr>
        <w:t>Capital value</w:t>
      </w:r>
    </w:p>
    <w:p w:rsidR="00144349" w:rsidRPr="002F17B5" w:rsidRDefault="00144349" w:rsidP="00144349">
      <w:pPr>
        <w:spacing w:after="240"/>
      </w:pPr>
      <w:r w:rsidRPr="002F17B5">
        <w:t>Amount spent on capital.</w:t>
      </w:r>
    </w:p>
    <w:p w:rsidR="00144349" w:rsidRPr="002F17B5" w:rsidRDefault="00144349" w:rsidP="00E9438F">
      <w:pPr>
        <w:spacing w:after="0"/>
        <w:rPr>
          <w:b/>
        </w:rPr>
      </w:pPr>
      <w:r w:rsidRPr="002F17B5">
        <w:rPr>
          <w:b/>
        </w:rPr>
        <w:t>Capitalise</w:t>
      </w:r>
    </w:p>
    <w:p w:rsidR="00144349" w:rsidRPr="002F17B5" w:rsidRDefault="00144349" w:rsidP="00144349">
      <w:pPr>
        <w:spacing w:after="240"/>
      </w:pPr>
      <w:r w:rsidRPr="002F17B5">
        <w:t>To treat as capital expenditure rather than revenue expenditure.</w:t>
      </w:r>
    </w:p>
    <w:p w:rsidR="00144349" w:rsidRPr="002F17B5" w:rsidRDefault="00144349" w:rsidP="00E9438F">
      <w:pPr>
        <w:spacing w:after="0"/>
        <w:rPr>
          <w:b/>
        </w:rPr>
      </w:pPr>
      <w:r w:rsidRPr="002F17B5">
        <w:rPr>
          <w:b/>
        </w:rPr>
        <w:t>Cash equivalents</w:t>
      </w:r>
    </w:p>
    <w:p w:rsidR="00144349" w:rsidRPr="002F17B5" w:rsidRDefault="00144349" w:rsidP="00144349">
      <w:pPr>
        <w:spacing w:after="240"/>
      </w:pPr>
      <w:r w:rsidRPr="002F17B5">
        <w:t>Short term (less than 3 months), highly liquid investments that are readily convertible to known amounts of cash and which are subject to an insignificant risk of changes in value.</w:t>
      </w:r>
    </w:p>
    <w:p w:rsidR="00144349" w:rsidRPr="002F17B5" w:rsidRDefault="00144349" w:rsidP="00E9438F">
      <w:pPr>
        <w:spacing w:after="0"/>
        <w:rPr>
          <w:b/>
        </w:rPr>
      </w:pPr>
      <w:r w:rsidRPr="002F17B5">
        <w:rPr>
          <w:b/>
        </w:rPr>
        <w:t>Cash transactions</w:t>
      </w:r>
    </w:p>
    <w:p w:rsidR="00144349" w:rsidRPr="002F17B5" w:rsidRDefault="00144349" w:rsidP="00144349">
      <w:pPr>
        <w:spacing w:after="240"/>
      </w:pPr>
      <w:r w:rsidRPr="002F17B5">
        <w:t>Cash amounts entering or leaving the accounts – for example, to pay for goods or services, or income from fees and charges.</w:t>
      </w:r>
    </w:p>
    <w:p w:rsidR="00144349" w:rsidRPr="002F17B5" w:rsidRDefault="00144349" w:rsidP="00E9438F">
      <w:pPr>
        <w:spacing w:after="0"/>
        <w:rPr>
          <w:b/>
        </w:rPr>
      </w:pPr>
      <w:r w:rsidRPr="002F17B5">
        <w:rPr>
          <w:b/>
        </w:rPr>
        <w:t>Central items</w:t>
      </w:r>
    </w:p>
    <w:p w:rsidR="00144349" w:rsidRPr="002F17B5" w:rsidRDefault="00144349" w:rsidP="00144349">
      <w:pPr>
        <w:spacing w:after="240"/>
      </w:pPr>
      <w:r w:rsidRPr="002F17B5">
        <w:t xml:space="preserve">Central overheads </w:t>
      </w:r>
      <w:r w:rsidR="0079660B" w:rsidRPr="002F17B5">
        <w:t>e.g.</w:t>
      </w:r>
      <w:r w:rsidRPr="002F17B5">
        <w:t xml:space="preserve"> payroll costs.</w:t>
      </w:r>
    </w:p>
    <w:p w:rsidR="00144349" w:rsidRPr="002F17B5" w:rsidRDefault="00144349" w:rsidP="00E9438F">
      <w:pPr>
        <w:spacing w:after="0"/>
        <w:rPr>
          <w:b/>
        </w:rPr>
      </w:pPr>
      <w:r w:rsidRPr="002F17B5">
        <w:rPr>
          <w:b/>
        </w:rPr>
        <w:t>CIPFA</w:t>
      </w:r>
    </w:p>
    <w:p w:rsidR="00144349" w:rsidRDefault="00144349" w:rsidP="00144349">
      <w:pPr>
        <w:spacing w:after="240"/>
      </w:pPr>
      <w:r w:rsidRPr="002F17B5">
        <w:t>The Chartered Institute of Public Finance and Accountants is the accountancy body which recommends accounting practice for the preparation of local authority accounts.</w:t>
      </w:r>
    </w:p>
    <w:p w:rsidR="00226F26" w:rsidRDefault="00226F26" w:rsidP="00144349">
      <w:pPr>
        <w:spacing w:after="240"/>
      </w:pPr>
    </w:p>
    <w:p w:rsidR="00226F26" w:rsidRPr="002F17B5" w:rsidRDefault="00226F26" w:rsidP="00144349">
      <w:pPr>
        <w:spacing w:after="240"/>
      </w:pPr>
    </w:p>
    <w:p w:rsidR="00144349" w:rsidRPr="002F17B5" w:rsidRDefault="00144349" w:rsidP="00E9438F">
      <w:pPr>
        <w:spacing w:after="0"/>
        <w:rPr>
          <w:b/>
        </w:rPr>
      </w:pPr>
      <w:r w:rsidRPr="002F17B5">
        <w:rPr>
          <w:b/>
        </w:rPr>
        <w:t>Collection fund</w:t>
      </w:r>
    </w:p>
    <w:p w:rsidR="00144349" w:rsidRPr="002F17B5" w:rsidRDefault="00144349" w:rsidP="00144349">
      <w:pPr>
        <w:spacing w:after="240"/>
      </w:pPr>
      <w:r w:rsidRPr="002F17B5">
        <w:lastRenderedPageBreak/>
        <w:t>The system used by district and borough councils to keep council tax separate from their own accounts. The amount in the fund each year is fed into the council tax calculation for the following year.</w:t>
      </w:r>
    </w:p>
    <w:p w:rsidR="00256BD3" w:rsidRPr="002F17B5" w:rsidRDefault="00256BD3" w:rsidP="00E9438F">
      <w:pPr>
        <w:spacing w:after="0"/>
        <w:rPr>
          <w:b/>
        </w:rPr>
      </w:pPr>
      <w:r w:rsidRPr="002F17B5">
        <w:rPr>
          <w:b/>
        </w:rPr>
        <w:t xml:space="preserve">Collection Fund Adjustment Account </w:t>
      </w:r>
    </w:p>
    <w:p w:rsidR="00256BD3" w:rsidRPr="002F17B5" w:rsidRDefault="00256BD3" w:rsidP="00E9438F">
      <w:pPr>
        <w:spacing w:after="240"/>
      </w:pPr>
      <w:r w:rsidRPr="002F17B5">
        <w:t>The Collection Fund Adjustment Account manages the difference arising from the recognition of council tax and non-domestic rates income in the Comprehensive Income and Expenditure Statement as it falls due from council tax payers and business rates payers compared with the statutory arrangements for paying across amounts to the County Fund from the Collection Fund.</w:t>
      </w:r>
    </w:p>
    <w:p w:rsidR="00144349" w:rsidRPr="002F17B5" w:rsidRDefault="00144349" w:rsidP="00E9438F">
      <w:pPr>
        <w:spacing w:after="0"/>
        <w:rPr>
          <w:b/>
        </w:rPr>
      </w:pPr>
      <w:r w:rsidRPr="002F17B5">
        <w:rPr>
          <w:b/>
        </w:rPr>
        <w:t>Construction contract</w:t>
      </w:r>
    </w:p>
    <w:p w:rsidR="00144349" w:rsidRPr="002F17B5" w:rsidRDefault="00144349" w:rsidP="00144349">
      <w:pPr>
        <w:spacing w:after="240"/>
      </w:pPr>
      <w:r w:rsidRPr="002F17B5">
        <w:t>A contract specifically negotiated for the construction of an asset and services related to the construction, for example architects.</w:t>
      </w:r>
    </w:p>
    <w:p w:rsidR="00144349" w:rsidRPr="002F17B5" w:rsidRDefault="00144349" w:rsidP="00E9438F">
      <w:pPr>
        <w:spacing w:after="0"/>
        <w:rPr>
          <w:b/>
        </w:rPr>
      </w:pPr>
      <w:r w:rsidRPr="002F17B5">
        <w:rPr>
          <w:b/>
        </w:rPr>
        <w:t>Contingent liabilities</w:t>
      </w:r>
    </w:p>
    <w:p w:rsidR="00144349" w:rsidRPr="002F17B5" w:rsidRDefault="00144349" w:rsidP="00144349">
      <w:pPr>
        <w:spacing w:after="240"/>
      </w:pPr>
      <w:r w:rsidRPr="002F17B5">
        <w:t>Liabilities relating to a known set of circumstances which may or may not arise. They can also be liabilities which are likely to arise but which are very difficult to measure until future developments make things clearer.</w:t>
      </w:r>
    </w:p>
    <w:p w:rsidR="00144349" w:rsidRPr="002F17B5" w:rsidRDefault="00144349" w:rsidP="00E9438F">
      <w:pPr>
        <w:spacing w:after="0"/>
        <w:rPr>
          <w:b/>
        </w:rPr>
      </w:pPr>
      <w:r w:rsidRPr="002F17B5">
        <w:rPr>
          <w:b/>
        </w:rPr>
        <w:t>Corporate governance</w:t>
      </w:r>
    </w:p>
    <w:p w:rsidR="00144349" w:rsidRPr="002F17B5" w:rsidRDefault="00144349" w:rsidP="00144349">
      <w:pPr>
        <w:spacing w:after="240"/>
      </w:pPr>
      <w:r w:rsidRPr="002F17B5">
        <w:t>The authoritative rules and controls in place within an organisation required to promote openness, inclusivity, integrity and accountability.</w:t>
      </w:r>
    </w:p>
    <w:p w:rsidR="00144349" w:rsidRPr="002F17B5" w:rsidRDefault="00144349" w:rsidP="00E9438F">
      <w:pPr>
        <w:spacing w:after="0"/>
        <w:rPr>
          <w:b/>
        </w:rPr>
      </w:pPr>
      <w:r w:rsidRPr="002F17B5">
        <w:rPr>
          <w:b/>
        </w:rPr>
        <w:t>County Fund</w:t>
      </w:r>
    </w:p>
    <w:p w:rsidR="00144349" w:rsidRPr="002F17B5" w:rsidRDefault="00144349" w:rsidP="00144349">
      <w:pPr>
        <w:spacing w:after="240"/>
        <w:rPr>
          <w:b/>
        </w:rPr>
      </w:pPr>
      <w:r w:rsidRPr="002F17B5">
        <w:t>The main revenue fund used to provide County Council services. Income to the fund consists of the county precept on the collection funds, government grants and other income.</w:t>
      </w:r>
    </w:p>
    <w:p w:rsidR="00144349" w:rsidRPr="002F17B5" w:rsidRDefault="00144349" w:rsidP="00E9438F">
      <w:pPr>
        <w:spacing w:after="0"/>
        <w:rPr>
          <w:b/>
        </w:rPr>
      </w:pPr>
      <w:r w:rsidRPr="002F17B5">
        <w:rPr>
          <w:b/>
        </w:rPr>
        <w:t>Creditors</w:t>
      </w:r>
    </w:p>
    <w:p w:rsidR="00144349" w:rsidRPr="002F17B5" w:rsidRDefault="00144349" w:rsidP="00144349">
      <w:pPr>
        <w:spacing w:after="240"/>
      </w:pPr>
      <w:r w:rsidRPr="002F17B5">
        <w:t>Amounts owed by the County Council for work carried out, goods received or services provided, which had not been paid by the date of the balance sheet.</w:t>
      </w:r>
    </w:p>
    <w:p w:rsidR="00144349" w:rsidRPr="002F17B5" w:rsidRDefault="00144349" w:rsidP="00E9438F">
      <w:pPr>
        <w:spacing w:after="0"/>
        <w:rPr>
          <w:b/>
        </w:rPr>
      </w:pPr>
      <w:r w:rsidRPr="002F17B5">
        <w:rPr>
          <w:b/>
        </w:rPr>
        <w:t>Current assets and liabilities</w:t>
      </w:r>
    </w:p>
    <w:p w:rsidR="00144349" w:rsidRPr="002F17B5" w:rsidRDefault="00144349" w:rsidP="00144349">
      <w:pPr>
        <w:spacing w:after="240"/>
      </w:pPr>
      <w:r w:rsidRPr="002F17B5">
        <w:t>Current assets are cash, cash equivalents and items that can be readily converted into cash. Current liabilities are items that are due for payment immediately or in the short term.</w:t>
      </w:r>
    </w:p>
    <w:p w:rsidR="00144349" w:rsidRPr="002F17B5" w:rsidRDefault="00144349" w:rsidP="00144349">
      <w:pPr>
        <w:spacing w:after="240"/>
      </w:pPr>
      <w:r w:rsidRPr="002F17B5">
        <w:t>By convention these items are ordered by reference to the ease that the asset can be converted into cash, and the timescale in which the liability falls due.</w:t>
      </w:r>
    </w:p>
    <w:p w:rsidR="00144349" w:rsidRPr="002F17B5" w:rsidRDefault="00144349" w:rsidP="00E9438F">
      <w:pPr>
        <w:spacing w:after="0"/>
        <w:rPr>
          <w:b/>
        </w:rPr>
      </w:pPr>
      <w:r w:rsidRPr="002F17B5">
        <w:rPr>
          <w:b/>
        </w:rPr>
        <w:t>Current service cost (IAS 19)</w:t>
      </w:r>
    </w:p>
    <w:p w:rsidR="00144349" w:rsidRPr="002F17B5" w:rsidRDefault="00144349" w:rsidP="00144349">
      <w:pPr>
        <w:spacing w:after="240"/>
      </w:pPr>
      <w:r w:rsidRPr="002F17B5">
        <w:t>The increase in the County Council’s defined benefit scheme obligation (pension scheme liability) as a result of employees’ service during the current year.</w:t>
      </w:r>
    </w:p>
    <w:p w:rsidR="00144349" w:rsidRPr="002F17B5" w:rsidRDefault="00144349" w:rsidP="00E9438F">
      <w:pPr>
        <w:spacing w:after="0"/>
        <w:rPr>
          <w:b/>
        </w:rPr>
      </w:pPr>
      <w:r w:rsidRPr="002F17B5">
        <w:rPr>
          <w:b/>
        </w:rPr>
        <w:t>Curtailment cost (IAS 19)</w:t>
      </w:r>
    </w:p>
    <w:p w:rsidR="00144349" w:rsidRPr="002F17B5" w:rsidRDefault="00144349" w:rsidP="00144349">
      <w:pPr>
        <w:spacing w:after="240"/>
      </w:pPr>
      <w:r w:rsidRPr="002F17B5">
        <w:t>Additional pension scheme liabilities as a result of redundancies and efficiency retirements during the year.</w:t>
      </w:r>
    </w:p>
    <w:p w:rsidR="00144349" w:rsidRPr="002F17B5" w:rsidRDefault="00144349" w:rsidP="00E9438F">
      <w:pPr>
        <w:spacing w:after="0"/>
        <w:rPr>
          <w:b/>
        </w:rPr>
      </w:pPr>
      <w:r w:rsidRPr="002F17B5">
        <w:rPr>
          <w:b/>
        </w:rPr>
        <w:t>Debt redemption</w:t>
      </w:r>
    </w:p>
    <w:p w:rsidR="00144349" w:rsidRPr="002F17B5" w:rsidRDefault="00327C2D" w:rsidP="00144349">
      <w:pPr>
        <w:spacing w:after="240"/>
      </w:pPr>
      <w:r w:rsidRPr="002F17B5">
        <w:t>W</w:t>
      </w:r>
      <w:r w:rsidR="00144349" w:rsidRPr="002F17B5">
        <w:t>here a debt is repaid early.</w:t>
      </w:r>
    </w:p>
    <w:p w:rsidR="00144349" w:rsidRPr="002F17B5" w:rsidRDefault="00144349" w:rsidP="00E9438F">
      <w:pPr>
        <w:spacing w:after="0"/>
        <w:rPr>
          <w:b/>
        </w:rPr>
      </w:pPr>
      <w:r w:rsidRPr="002F17B5">
        <w:rPr>
          <w:b/>
        </w:rPr>
        <w:lastRenderedPageBreak/>
        <w:t>Debtors</w:t>
      </w:r>
    </w:p>
    <w:p w:rsidR="00E9438F" w:rsidRPr="002F17B5" w:rsidRDefault="00144349" w:rsidP="00226F26">
      <w:pPr>
        <w:spacing w:after="240"/>
        <w:rPr>
          <w:b/>
        </w:rPr>
      </w:pPr>
      <w:r w:rsidRPr="002F17B5">
        <w:t>Amounts owed to the County Council which had not been paid by the date of the balance sheet.</w:t>
      </w:r>
    </w:p>
    <w:p w:rsidR="00144349" w:rsidRPr="002F17B5" w:rsidRDefault="00144349" w:rsidP="00E9438F">
      <w:pPr>
        <w:spacing w:after="0"/>
        <w:rPr>
          <w:b/>
        </w:rPr>
      </w:pPr>
      <w:r w:rsidRPr="002F17B5">
        <w:rPr>
          <w:b/>
        </w:rPr>
        <w:t>Deferred liabilities</w:t>
      </w:r>
    </w:p>
    <w:p w:rsidR="00144349" w:rsidRPr="002F17B5" w:rsidRDefault="00144349" w:rsidP="00144349">
      <w:pPr>
        <w:spacing w:after="240"/>
      </w:pPr>
      <w:r w:rsidRPr="002F17B5">
        <w:t xml:space="preserve">Debts to be settled </w:t>
      </w:r>
      <w:r w:rsidR="00166DDD" w:rsidRPr="002F17B5">
        <w:t>sometime</w:t>
      </w:r>
      <w:r w:rsidRPr="002F17B5">
        <w:t xml:space="preserve"> in the future, but the actual date is not certain.</w:t>
      </w:r>
    </w:p>
    <w:p w:rsidR="00144349" w:rsidRPr="002F17B5" w:rsidRDefault="00144349" w:rsidP="00E9438F">
      <w:pPr>
        <w:spacing w:after="0"/>
        <w:rPr>
          <w:b/>
        </w:rPr>
      </w:pPr>
      <w:r w:rsidRPr="002F17B5">
        <w:rPr>
          <w:b/>
        </w:rPr>
        <w:t>Defined benefit scheme</w:t>
      </w:r>
    </w:p>
    <w:p w:rsidR="00144349" w:rsidRPr="002F17B5" w:rsidRDefault="00144349" w:rsidP="00144349">
      <w:pPr>
        <w:spacing w:after="240"/>
      </w:pPr>
      <w:r w:rsidRPr="002F17B5">
        <w:t>A pension or other retirement benefit scheme other than a defined contribution scheme. Usually, the scheme rules define the benefits independently of the contributions payable, and the benefits are not directly related to the investments of the scheme. The scheme may be funded or unfunded.</w:t>
      </w:r>
    </w:p>
    <w:p w:rsidR="00144349" w:rsidRPr="002F17B5" w:rsidRDefault="00144349" w:rsidP="00E9438F">
      <w:pPr>
        <w:spacing w:after="0"/>
      </w:pPr>
      <w:r w:rsidRPr="002F17B5">
        <w:rPr>
          <w:b/>
        </w:rPr>
        <w:t>Defined contribution scheme</w:t>
      </w:r>
    </w:p>
    <w:p w:rsidR="00144349" w:rsidRPr="002F17B5" w:rsidRDefault="00144349" w:rsidP="00144349">
      <w:pPr>
        <w:spacing w:after="240"/>
      </w:pPr>
      <w:r w:rsidRPr="002F17B5">
        <w:t>A pension or other retirement benefit scheme into which an employer pays regular contributions fixed as an amount or as a percentage of pay and will have no legal or constructive obligation to pay further contributions if the scheme does not have sufficient assets to pay all employee benefits relating to employee service in the current and prior periods.</w:t>
      </w:r>
    </w:p>
    <w:p w:rsidR="00144349" w:rsidRPr="002F17B5" w:rsidRDefault="00144349" w:rsidP="00E9438F">
      <w:pPr>
        <w:spacing w:after="0"/>
        <w:rPr>
          <w:b/>
        </w:rPr>
      </w:pPr>
      <w:r w:rsidRPr="002F17B5">
        <w:rPr>
          <w:b/>
        </w:rPr>
        <w:t>Depreciation</w:t>
      </w:r>
    </w:p>
    <w:p w:rsidR="00144349" w:rsidRPr="002F17B5" w:rsidRDefault="00144349" w:rsidP="00144349">
      <w:pPr>
        <w:spacing w:after="240"/>
      </w:pPr>
      <w:r w:rsidRPr="002F17B5">
        <w:t>Charges to the income and expenditure account to reflect a decrease in the value of assets as a result of use or ageing.</w:t>
      </w:r>
    </w:p>
    <w:p w:rsidR="00144349" w:rsidRPr="002F17B5" w:rsidRDefault="00144349" w:rsidP="00E9438F">
      <w:pPr>
        <w:spacing w:after="0"/>
        <w:rPr>
          <w:b/>
        </w:rPr>
      </w:pPr>
      <w:r w:rsidRPr="002F17B5">
        <w:rPr>
          <w:b/>
        </w:rPr>
        <w:t>Discretionary benefits</w:t>
      </w:r>
    </w:p>
    <w:p w:rsidR="00144349" w:rsidRPr="002F17B5" w:rsidRDefault="00144349" w:rsidP="00144349">
      <w:pPr>
        <w:spacing w:after="240"/>
      </w:pPr>
      <w:r w:rsidRPr="002F17B5">
        <w:t>Retirement benefits which the employer has no legal, contractual or constructive obligation to award and are awarded under the authority’s discretionary powers.</w:t>
      </w:r>
    </w:p>
    <w:p w:rsidR="00144349" w:rsidRPr="002F17B5" w:rsidRDefault="00144349" w:rsidP="00E9438F">
      <w:pPr>
        <w:spacing w:after="0"/>
        <w:rPr>
          <w:b/>
        </w:rPr>
      </w:pPr>
      <w:r w:rsidRPr="002F17B5">
        <w:rPr>
          <w:b/>
        </w:rPr>
        <w:t>Devolved financial management (DFM)</w:t>
      </w:r>
    </w:p>
    <w:p w:rsidR="00144349" w:rsidRPr="002F17B5" w:rsidRDefault="00144349" w:rsidP="00144349">
      <w:pPr>
        <w:spacing w:after="240"/>
      </w:pPr>
      <w:r w:rsidRPr="002F17B5">
        <w:t>The county council’s budget management system. The budget is managed by those who make the decisions in each area of responsibility (‘accountable officers’).</w:t>
      </w:r>
    </w:p>
    <w:p w:rsidR="00144349" w:rsidRPr="002F17B5" w:rsidRDefault="00144349" w:rsidP="00E9438F">
      <w:pPr>
        <w:spacing w:after="0"/>
        <w:rPr>
          <w:b/>
        </w:rPr>
      </w:pPr>
      <w:r w:rsidRPr="002F17B5">
        <w:rPr>
          <w:b/>
        </w:rPr>
        <w:t>Direct service organisation (DSO)</w:t>
      </w:r>
    </w:p>
    <w:p w:rsidR="00144349" w:rsidRPr="002F17B5" w:rsidRDefault="00144349" w:rsidP="00144349">
      <w:pPr>
        <w:spacing w:after="240"/>
      </w:pPr>
      <w:r w:rsidRPr="002F17B5">
        <w:t>An organisation set up within the county council to carry out certain activities subject to competitive tendering.</w:t>
      </w:r>
    </w:p>
    <w:p w:rsidR="00144349" w:rsidRPr="002F17B5" w:rsidRDefault="00144349" w:rsidP="00E9438F">
      <w:pPr>
        <w:spacing w:after="0"/>
        <w:rPr>
          <w:b/>
        </w:rPr>
      </w:pPr>
      <w:r w:rsidRPr="002F17B5">
        <w:rPr>
          <w:b/>
        </w:rPr>
        <w:t>Employer’s pension contributions</w:t>
      </w:r>
    </w:p>
    <w:p w:rsidR="00144349" w:rsidRPr="002F17B5" w:rsidRDefault="00144349" w:rsidP="00144349">
      <w:pPr>
        <w:spacing w:after="240"/>
      </w:pPr>
      <w:r w:rsidRPr="002F17B5">
        <w:t>Payments to the pension scheme made by the county council for current employees.</w:t>
      </w:r>
    </w:p>
    <w:p w:rsidR="00144349" w:rsidRPr="002F17B5" w:rsidRDefault="00144349" w:rsidP="00E9438F">
      <w:pPr>
        <w:spacing w:after="0"/>
        <w:rPr>
          <w:b/>
        </w:rPr>
      </w:pPr>
      <w:r w:rsidRPr="002F17B5">
        <w:rPr>
          <w:b/>
        </w:rPr>
        <w:t>Expected return on assets (IAS 19)</w:t>
      </w:r>
    </w:p>
    <w:p w:rsidR="00144349" w:rsidRPr="002F17B5" w:rsidRDefault="00144349" w:rsidP="00144349">
      <w:pPr>
        <w:spacing w:after="240"/>
      </w:pPr>
      <w:r w:rsidRPr="002F17B5">
        <w:t>The average rate of return expected on investment assets held by the pension scheme.</w:t>
      </w:r>
    </w:p>
    <w:p w:rsidR="00144349" w:rsidRPr="002F17B5" w:rsidRDefault="00144349" w:rsidP="00E9438F">
      <w:pPr>
        <w:spacing w:after="0"/>
        <w:rPr>
          <w:b/>
        </w:rPr>
      </w:pPr>
      <w:r w:rsidRPr="002F17B5">
        <w:rPr>
          <w:b/>
        </w:rPr>
        <w:t>Fair value</w:t>
      </w:r>
    </w:p>
    <w:p w:rsidR="00144349" w:rsidRPr="002F17B5" w:rsidRDefault="00144349" w:rsidP="00144349">
      <w:pPr>
        <w:spacing w:after="240"/>
      </w:pPr>
      <w:r w:rsidRPr="002F17B5">
        <w:t>The amount for which an asset could be exchanged, or a liability settled, in an arm’s length transaction less, where applicable, any grants receivable towards the purchase or use of the asset.</w:t>
      </w:r>
    </w:p>
    <w:p w:rsidR="00144349" w:rsidRPr="002F17B5" w:rsidRDefault="00144349" w:rsidP="00E9438F">
      <w:pPr>
        <w:spacing w:after="0"/>
        <w:rPr>
          <w:b/>
        </w:rPr>
      </w:pPr>
      <w:r w:rsidRPr="002F17B5">
        <w:rPr>
          <w:b/>
        </w:rPr>
        <w:t>Finance Lease</w:t>
      </w:r>
    </w:p>
    <w:p w:rsidR="00144349" w:rsidRPr="002F17B5" w:rsidRDefault="00144349" w:rsidP="00144349">
      <w:pPr>
        <w:spacing w:after="240"/>
      </w:pPr>
      <w:r w:rsidRPr="002F17B5">
        <w:t>A lease that transfers substantially all the risks and rewards related to the ownership of the asset to the lessee.</w:t>
      </w:r>
    </w:p>
    <w:p w:rsidR="00E34607" w:rsidRDefault="00E34607" w:rsidP="00E9438F">
      <w:pPr>
        <w:spacing w:after="0"/>
        <w:rPr>
          <w:b/>
        </w:rPr>
      </w:pPr>
    </w:p>
    <w:p w:rsidR="00256BD3" w:rsidRPr="002F17B5" w:rsidRDefault="00256BD3" w:rsidP="00E9438F">
      <w:pPr>
        <w:spacing w:after="0"/>
        <w:rPr>
          <w:b/>
        </w:rPr>
      </w:pPr>
      <w:r w:rsidRPr="002F17B5">
        <w:rPr>
          <w:b/>
        </w:rPr>
        <w:t xml:space="preserve">Financial Instruments Adjustment Account </w:t>
      </w:r>
      <w:r w:rsidRPr="002F17B5">
        <w:rPr>
          <w:b/>
        </w:rPr>
        <w:tab/>
      </w:r>
    </w:p>
    <w:p w:rsidR="00256BD3" w:rsidRPr="002F17B5" w:rsidRDefault="00256BD3" w:rsidP="00E9438F">
      <w:pPr>
        <w:spacing w:before="0" w:after="240"/>
      </w:pPr>
      <w:r w:rsidRPr="002F17B5">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w:t>
      </w:r>
    </w:p>
    <w:p w:rsidR="00144349" w:rsidRPr="002F17B5" w:rsidRDefault="00256BD3" w:rsidP="00E34607">
      <w:pPr>
        <w:spacing w:after="0"/>
        <w:rPr>
          <w:b/>
        </w:rPr>
      </w:pPr>
      <w:r w:rsidRPr="002F17B5">
        <w:rPr>
          <w:b/>
        </w:rPr>
        <w:t>F</w:t>
      </w:r>
      <w:r w:rsidR="00144349" w:rsidRPr="002F17B5">
        <w:rPr>
          <w:b/>
        </w:rPr>
        <w:t>inancial year</w:t>
      </w:r>
    </w:p>
    <w:p w:rsidR="00144349" w:rsidRPr="002F17B5" w:rsidRDefault="00144349" w:rsidP="00144349">
      <w:pPr>
        <w:spacing w:after="240"/>
      </w:pPr>
      <w:r w:rsidRPr="002F17B5">
        <w:t>The period of 12 months for which the accounts are drawn up. For local authorities the financial year (or ‘accounting period’) begins on 1 April and finishes on 31 March of the following year.</w:t>
      </w:r>
    </w:p>
    <w:p w:rsidR="00144349" w:rsidRPr="002F17B5" w:rsidRDefault="00144349" w:rsidP="00E34607">
      <w:pPr>
        <w:spacing w:after="0"/>
        <w:rPr>
          <w:b/>
        </w:rPr>
      </w:pPr>
      <w:r w:rsidRPr="002F17B5">
        <w:rPr>
          <w:b/>
        </w:rPr>
        <w:t>Financing charges</w:t>
      </w:r>
    </w:p>
    <w:p w:rsidR="00144349" w:rsidRPr="002F17B5" w:rsidRDefault="00144349" w:rsidP="00144349">
      <w:pPr>
        <w:spacing w:after="240"/>
      </w:pPr>
      <w:r w:rsidRPr="002F17B5">
        <w:t>Repayments on amounts loaned to the county council by external organisations. These charges include interest as well as repayment of the amount borrowed (the ‘principal’).</w:t>
      </w:r>
    </w:p>
    <w:p w:rsidR="00144349" w:rsidRPr="002F17B5" w:rsidRDefault="00144349" w:rsidP="00E34607">
      <w:pPr>
        <w:spacing w:after="0"/>
        <w:rPr>
          <w:b/>
        </w:rPr>
      </w:pPr>
      <w:r w:rsidRPr="002F17B5">
        <w:rPr>
          <w:b/>
        </w:rPr>
        <w:t>Financial instrument</w:t>
      </w:r>
    </w:p>
    <w:p w:rsidR="00144349" w:rsidRPr="002F17B5" w:rsidRDefault="00144349" w:rsidP="00144349">
      <w:pPr>
        <w:spacing w:after="240"/>
        <w:rPr>
          <w:b/>
        </w:rPr>
      </w:pPr>
      <w:r w:rsidRPr="002F17B5">
        <w:t>A financial instrument can be a financial asset or a financial liability.  A financial asset is a contract such as an investment or loan representing amounts due to the authority. A financial liability is a contract such as borrowing representing amounts owed by the authority.</w:t>
      </w:r>
    </w:p>
    <w:p w:rsidR="00144349" w:rsidRPr="002F17B5" w:rsidRDefault="00144349" w:rsidP="00E34607">
      <w:pPr>
        <w:spacing w:after="0"/>
        <w:rPr>
          <w:b/>
        </w:rPr>
      </w:pPr>
      <w:r w:rsidRPr="002F17B5">
        <w:rPr>
          <w:b/>
        </w:rPr>
        <w:t>Fixed assets</w:t>
      </w:r>
    </w:p>
    <w:p w:rsidR="00144349" w:rsidRPr="002F17B5" w:rsidRDefault="00144349" w:rsidP="00144349">
      <w:pPr>
        <w:spacing w:after="240"/>
      </w:pPr>
      <w:r w:rsidRPr="002F17B5">
        <w:t>Assets intended to be used for several years – for example, buildings, machinery and vehicles.</w:t>
      </w:r>
    </w:p>
    <w:p w:rsidR="00144349" w:rsidRPr="002F17B5" w:rsidRDefault="00144349" w:rsidP="00E34607">
      <w:pPr>
        <w:spacing w:after="0"/>
        <w:rPr>
          <w:b/>
        </w:rPr>
      </w:pPr>
      <w:r w:rsidRPr="002F17B5">
        <w:rPr>
          <w:b/>
        </w:rPr>
        <w:t>Global custodian</w:t>
      </w:r>
    </w:p>
    <w:p w:rsidR="00144349" w:rsidRPr="002F17B5" w:rsidRDefault="00144349" w:rsidP="00144349">
      <w:pPr>
        <w:spacing w:after="240"/>
      </w:pPr>
      <w:r w:rsidRPr="002F17B5">
        <w:t>A financial institution responsible for keeping up-to-date records of equities and bonds owned by a pension fund.</w:t>
      </w:r>
    </w:p>
    <w:p w:rsidR="00144349" w:rsidRPr="002F17B5" w:rsidRDefault="00144349" w:rsidP="00E34607">
      <w:pPr>
        <w:spacing w:after="0"/>
        <w:rPr>
          <w:b/>
        </w:rPr>
      </w:pPr>
      <w:r w:rsidRPr="002F17B5">
        <w:rPr>
          <w:b/>
        </w:rPr>
        <w:t>Government grants</w:t>
      </w:r>
    </w:p>
    <w:p w:rsidR="00144349" w:rsidRPr="002F17B5" w:rsidRDefault="00144349" w:rsidP="00144349">
      <w:pPr>
        <w:spacing w:after="240"/>
      </w:pPr>
      <w:r w:rsidRPr="002F17B5">
        <w:t>Assistance by government and inter-government agencies and similar bodies, whether local, national or international, in the form of cash or transfers of assets to an authority in return for past or future compliance with certain conditions relating to the activities of the authority.</w:t>
      </w:r>
    </w:p>
    <w:p w:rsidR="00144349" w:rsidRPr="002F17B5" w:rsidRDefault="00144349" w:rsidP="00E34607">
      <w:pPr>
        <w:spacing w:after="0"/>
        <w:rPr>
          <w:b/>
        </w:rPr>
      </w:pPr>
      <w:r w:rsidRPr="002F17B5">
        <w:rPr>
          <w:b/>
        </w:rPr>
        <w:t>Historic cost</w:t>
      </w:r>
    </w:p>
    <w:p w:rsidR="00144349" w:rsidRPr="002F17B5" w:rsidRDefault="00144349" w:rsidP="00144349">
      <w:pPr>
        <w:spacing w:after="240"/>
      </w:pPr>
      <w:r w:rsidRPr="002F17B5">
        <w:t>The cost of an asset at the time it was bought.</w:t>
      </w:r>
    </w:p>
    <w:p w:rsidR="00144349" w:rsidRPr="002F17B5" w:rsidRDefault="00144349" w:rsidP="00E34607">
      <w:pPr>
        <w:spacing w:after="0"/>
        <w:rPr>
          <w:b/>
        </w:rPr>
      </w:pPr>
      <w:r w:rsidRPr="002F17B5">
        <w:rPr>
          <w:b/>
        </w:rPr>
        <w:t>Impairment</w:t>
      </w:r>
    </w:p>
    <w:p w:rsidR="00144349" w:rsidRPr="002F17B5" w:rsidRDefault="00144349" w:rsidP="00144349">
      <w:pPr>
        <w:spacing w:after="240"/>
      </w:pPr>
      <w:r w:rsidRPr="002F17B5">
        <w:t>Where the useful working life of an asset is significantly reduced – for example, because of damage to a piece of equipment or changes in technology which mean that a service can be provided more efficiently in other ways.  When the amount at which the asset is held exceeds the amount the authority could receive for the asset, an impairment loss is recognised.</w:t>
      </w:r>
    </w:p>
    <w:p w:rsidR="00144349" w:rsidRPr="002F17B5" w:rsidRDefault="00144349" w:rsidP="00E34607">
      <w:pPr>
        <w:spacing w:after="0"/>
        <w:rPr>
          <w:b/>
        </w:rPr>
      </w:pPr>
      <w:r w:rsidRPr="002F17B5">
        <w:rPr>
          <w:b/>
        </w:rPr>
        <w:t>Infrastructure assets</w:t>
      </w:r>
    </w:p>
    <w:p w:rsidR="00144349" w:rsidRPr="002F17B5" w:rsidRDefault="00144349" w:rsidP="00144349">
      <w:pPr>
        <w:spacing w:after="240"/>
      </w:pPr>
      <w:r w:rsidRPr="002F17B5">
        <w:t>Highways fixed assets – for example, roads and bridges.</w:t>
      </w:r>
    </w:p>
    <w:p w:rsidR="00144349" w:rsidRPr="002F17B5" w:rsidRDefault="00144349" w:rsidP="00E34607">
      <w:pPr>
        <w:spacing w:after="0"/>
        <w:rPr>
          <w:b/>
        </w:rPr>
      </w:pPr>
      <w:r w:rsidRPr="002F17B5">
        <w:rPr>
          <w:b/>
        </w:rPr>
        <w:t>Intangible assets</w:t>
      </w:r>
    </w:p>
    <w:p w:rsidR="00144349" w:rsidRDefault="00144349" w:rsidP="00144349">
      <w:pPr>
        <w:spacing w:after="240"/>
      </w:pPr>
      <w:r w:rsidRPr="002F17B5">
        <w:t>Assets which do not have a physical form. Examples include computer software, brand names, patents and copyrights.</w:t>
      </w:r>
    </w:p>
    <w:p w:rsidR="00144349" w:rsidRPr="002F17B5" w:rsidRDefault="00144349" w:rsidP="00E34607">
      <w:pPr>
        <w:spacing w:after="0"/>
        <w:rPr>
          <w:b/>
        </w:rPr>
      </w:pPr>
      <w:r w:rsidRPr="002F17B5">
        <w:rPr>
          <w:b/>
        </w:rPr>
        <w:t>Interest cost (pensions)</w:t>
      </w:r>
    </w:p>
    <w:p w:rsidR="00144349" w:rsidRPr="002F17B5" w:rsidRDefault="00144349" w:rsidP="00144349">
      <w:pPr>
        <w:spacing w:after="240"/>
      </w:pPr>
      <w:r w:rsidRPr="002F17B5">
        <w:lastRenderedPageBreak/>
        <w:t>The expected increase in the value of pension scheme liabilities because benefits are one year closer to being paid.</w:t>
      </w:r>
    </w:p>
    <w:p w:rsidR="00144349" w:rsidRPr="002F17B5" w:rsidRDefault="00144349" w:rsidP="00E34607">
      <w:pPr>
        <w:spacing w:after="0"/>
        <w:jc w:val="left"/>
        <w:rPr>
          <w:b/>
        </w:rPr>
      </w:pPr>
      <w:r w:rsidRPr="002F17B5">
        <w:rPr>
          <w:b/>
        </w:rPr>
        <w:t>Investing activities</w:t>
      </w:r>
    </w:p>
    <w:p w:rsidR="00144349" w:rsidRPr="002F17B5" w:rsidRDefault="00144349" w:rsidP="00144349">
      <w:pPr>
        <w:jc w:val="left"/>
      </w:pPr>
      <w:r w:rsidRPr="002F17B5">
        <w:t>The acquisition of and disposal of long term assets and other investments not included as part of cash equivalents.</w:t>
      </w:r>
    </w:p>
    <w:p w:rsidR="00144349" w:rsidRPr="002F17B5" w:rsidRDefault="00144349" w:rsidP="00E34607">
      <w:pPr>
        <w:spacing w:after="0"/>
        <w:rPr>
          <w:b/>
        </w:rPr>
      </w:pPr>
      <w:r w:rsidRPr="002F17B5">
        <w:rPr>
          <w:b/>
        </w:rPr>
        <w:t>Investment property</w:t>
      </w:r>
    </w:p>
    <w:p w:rsidR="00144349" w:rsidRPr="002F17B5" w:rsidRDefault="00144349" w:rsidP="00144349">
      <w:pPr>
        <w:spacing w:after="240"/>
      </w:pPr>
      <w:r w:rsidRPr="002F17B5">
        <w:t>Property held solely to earn rentals or for capital appreciation, not as part of service delivery.</w:t>
      </w:r>
    </w:p>
    <w:p w:rsidR="00144349" w:rsidRPr="002F17B5" w:rsidRDefault="00144349" w:rsidP="00E34607">
      <w:pPr>
        <w:spacing w:after="0"/>
        <w:rPr>
          <w:b/>
        </w:rPr>
      </w:pPr>
      <w:r w:rsidRPr="002F17B5">
        <w:rPr>
          <w:b/>
        </w:rPr>
        <w:t>Market value</w:t>
      </w:r>
    </w:p>
    <w:p w:rsidR="00144349" w:rsidRPr="002F17B5" w:rsidRDefault="00144349" w:rsidP="00144349">
      <w:pPr>
        <w:spacing w:after="240"/>
      </w:pPr>
      <w:r w:rsidRPr="002F17B5">
        <w:t>The monetary value of an asset as determined by current market conditions at the balance sheet date.</w:t>
      </w:r>
    </w:p>
    <w:p w:rsidR="00144349" w:rsidRPr="002F17B5" w:rsidRDefault="00144349" w:rsidP="00E34607">
      <w:pPr>
        <w:spacing w:after="0"/>
        <w:rPr>
          <w:b/>
        </w:rPr>
      </w:pPr>
      <w:r w:rsidRPr="002F17B5">
        <w:rPr>
          <w:b/>
        </w:rPr>
        <w:t>Materiality</w:t>
      </w:r>
    </w:p>
    <w:p w:rsidR="00144349" w:rsidRPr="002F17B5" w:rsidRDefault="00144349" w:rsidP="00144349">
      <w:pPr>
        <w:spacing w:after="240"/>
      </w:pPr>
      <w:r w:rsidRPr="002F17B5">
        <w:t>The concept that any omission from or inaccuracy in the statement of accounts should not be so large as to affect the understanding of those statements by a reader.</w:t>
      </w:r>
    </w:p>
    <w:p w:rsidR="00144349" w:rsidRPr="002F17B5" w:rsidRDefault="00144349" w:rsidP="00E34607">
      <w:pPr>
        <w:spacing w:after="0"/>
        <w:rPr>
          <w:b/>
        </w:rPr>
      </w:pPr>
      <w:r w:rsidRPr="002F17B5">
        <w:rPr>
          <w:b/>
        </w:rPr>
        <w:t>Minimum revenue provision</w:t>
      </w:r>
    </w:p>
    <w:p w:rsidR="00144349" w:rsidRPr="002F17B5" w:rsidRDefault="00144349" w:rsidP="00144349">
      <w:pPr>
        <w:spacing w:after="240"/>
      </w:pPr>
      <w:r w:rsidRPr="002F17B5">
        <w:t>The minimum amount (as laid down in statute) that the county council must charge to the accounts each year in order to meet the costs of repaying amounts borrowed.</w:t>
      </w:r>
    </w:p>
    <w:p w:rsidR="00144349" w:rsidRPr="002F17B5" w:rsidRDefault="00144349" w:rsidP="00144349">
      <w:pPr>
        <w:rPr>
          <w:b/>
          <w:sz w:val="2"/>
        </w:rPr>
      </w:pPr>
    </w:p>
    <w:p w:rsidR="00144349" w:rsidRPr="002F17B5" w:rsidRDefault="00144349" w:rsidP="00E34607">
      <w:pPr>
        <w:spacing w:after="0"/>
        <w:rPr>
          <w:b/>
        </w:rPr>
      </w:pPr>
      <w:r w:rsidRPr="002F17B5">
        <w:rPr>
          <w:b/>
        </w:rPr>
        <w:t>National non-domestic rate</w:t>
      </w:r>
      <w:r w:rsidR="00327C2D" w:rsidRPr="002F17B5">
        <w:rPr>
          <w:b/>
        </w:rPr>
        <w:t xml:space="preserve"> (NNDR)</w:t>
      </w:r>
    </w:p>
    <w:p w:rsidR="00144349" w:rsidRPr="002F17B5" w:rsidRDefault="00144349" w:rsidP="00144349">
      <w:pPr>
        <w:spacing w:after="240"/>
      </w:pPr>
      <w:r w:rsidRPr="002F17B5">
        <w:t>The government levies a standard rate on all properties used for commercial purposes and cannot increase it by any more that the retail price index. Rates are collected on behalf of the government by district councils, and are then redistributed from a national pot as part of formula grant.</w:t>
      </w:r>
    </w:p>
    <w:p w:rsidR="00144349" w:rsidRPr="002F17B5" w:rsidRDefault="00144349" w:rsidP="00E34607">
      <w:pPr>
        <w:spacing w:after="0"/>
        <w:rPr>
          <w:b/>
        </w:rPr>
      </w:pPr>
      <w:r w:rsidRPr="002F17B5">
        <w:rPr>
          <w:b/>
        </w:rPr>
        <w:t>Net book value</w:t>
      </w:r>
    </w:p>
    <w:p w:rsidR="00144349" w:rsidRPr="002F17B5" w:rsidRDefault="00144349" w:rsidP="00144349">
      <w:pPr>
        <w:spacing w:after="240"/>
      </w:pPr>
      <w:r w:rsidRPr="002F17B5">
        <w:t>The amount at which fixed assets ar</w:t>
      </w:r>
      <w:r w:rsidR="004623EC" w:rsidRPr="002F17B5">
        <w:t>e included in the balance sheet</w:t>
      </w:r>
      <w:r w:rsidRPr="002F17B5">
        <w:t xml:space="preserve"> </w:t>
      </w:r>
      <w:r w:rsidR="004623EC" w:rsidRPr="002F17B5">
        <w:t>(</w:t>
      </w:r>
      <w:r w:rsidR="00166DDD" w:rsidRPr="002F17B5">
        <w:t>i.e.</w:t>
      </w:r>
      <w:r w:rsidRPr="002F17B5">
        <w:t xml:space="preserve"> their historical cost or current value less the cumulative amounts provided for depreciation</w:t>
      </w:r>
      <w:r w:rsidR="004623EC" w:rsidRPr="002F17B5">
        <w:t>)</w:t>
      </w:r>
      <w:r w:rsidRPr="002F17B5">
        <w:t>.</w:t>
      </w:r>
    </w:p>
    <w:p w:rsidR="00144349" w:rsidRPr="002F17B5" w:rsidRDefault="00144349" w:rsidP="00E34607">
      <w:pPr>
        <w:spacing w:after="0"/>
        <w:rPr>
          <w:b/>
        </w:rPr>
      </w:pPr>
      <w:r w:rsidRPr="002F17B5">
        <w:rPr>
          <w:b/>
        </w:rPr>
        <w:t>Net nil trading position</w:t>
      </w:r>
    </w:p>
    <w:p w:rsidR="00144349" w:rsidRPr="002F17B5" w:rsidRDefault="00144349" w:rsidP="00144349">
      <w:pPr>
        <w:spacing w:after="240"/>
      </w:pPr>
      <w:r w:rsidRPr="002F17B5">
        <w:t>This is where spending matches income.</w:t>
      </w:r>
    </w:p>
    <w:p w:rsidR="00144349" w:rsidRPr="002F17B5" w:rsidRDefault="00144349" w:rsidP="00E34607">
      <w:pPr>
        <w:spacing w:after="0"/>
        <w:rPr>
          <w:b/>
        </w:rPr>
      </w:pPr>
      <w:r w:rsidRPr="002F17B5">
        <w:rPr>
          <w:b/>
        </w:rPr>
        <w:t>Net pension liability</w:t>
      </w:r>
    </w:p>
    <w:p w:rsidR="00144349" w:rsidRPr="002F17B5" w:rsidRDefault="00144349" w:rsidP="00144349">
      <w:pPr>
        <w:spacing w:after="240"/>
      </w:pPr>
      <w:r w:rsidRPr="002F17B5">
        <w:t>The amount the pension scheme will have to pay out in the future, less the value of pension fund assets.</w:t>
      </w:r>
    </w:p>
    <w:p w:rsidR="00144349" w:rsidRPr="002F17B5" w:rsidRDefault="00144349" w:rsidP="00E34607">
      <w:pPr>
        <w:spacing w:after="0"/>
        <w:rPr>
          <w:b/>
        </w:rPr>
      </w:pPr>
      <w:r w:rsidRPr="002F17B5">
        <w:rPr>
          <w:b/>
        </w:rPr>
        <w:t>Net realisable value</w:t>
      </w:r>
    </w:p>
    <w:p w:rsidR="00144349" w:rsidRPr="002F17B5" w:rsidRDefault="00144349" w:rsidP="00144349">
      <w:pPr>
        <w:spacing w:after="240"/>
      </w:pPr>
      <w:r w:rsidRPr="002F17B5">
        <w:t>The amount for which an asset can be sold, less the cost of selling it.</w:t>
      </w:r>
    </w:p>
    <w:p w:rsidR="00144349" w:rsidRPr="002F17B5" w:rsidRDefault="00144349" w:rsidP="00E34607">
      <w:pPr>
        <w:spacing w:after="0"/>
        <w:rPr>
          <w:b/>
        </w:rPr>
      </w:pPr>
      <w:r w:rsidRPr="002F17B5">
        <w:rPr>
          <w:b/>
        </w:rPr>
        <w:t>Nil consideration</w:t>
      </w:r>
    </w:p>
    <w:p w:rsidR="00144349" w:rsidRPr="002F17B5" w:rsidRDefault="00144349" w:rsidP="00144349">
      <w:pPr>
        <w:spacing w:after="240"/>
      </w:pPr>
      <w:r w:rsidRPr="002F17B5">
        <w:t>Where no charge is made for an item.</w:t>
      </w:r>
    </w:p>
    <w:p w:rsidR="00144349" w:rsidRPr="002F17B5" w:rsidRDefault="00144349" w:rsidP="00E34607">
      <w:pPr>
        <w:spacing w:after="0"/>
        <w:rPr>
          <w:b/>
        </w:rPr>
      </w:pPr>
      <w:r w:rsidRPr="002F17B5">
        <w:rPr>
          <w:b/>
        </w:rPr>
        <w:t>Nominal value of a financial instrument</w:t>
      </w:r>
    </w:p>
    <w:p w:rsidR="00144349" w:rsidRPr="002F17B5" w:rsidRDefault="00144349" w:rsidP="00144349">
      <w:pPr>
        <w:spacing w:after="200"/>
      </w:pPr>
      <w:r w:rsidRPr="002F17B5">
        <w:t>The nominal value of a financial instrument is the amount, exclusive of interest, payable or receivable when the instrument matures.</w:t>
      </w:r>
    </w:p>
    <w:p w:rsidR="00144349" w:rsidRPr="002F17B5" w:rsidRDefault="00144349" w:rsidP="00E34607">
      <w:pPr>
        <w:spacing w:after="0"/>
        <w:rPr>
          <w:b/>
        </w:rPr>
      </w:pPr>
      <w:r w:rsidRPr="002F17B5">
        <w:rPr>
          <w:b/>
        </w:rPr>
        <w:t>Non-distributed costs</w:t>
      </w:r>
    </w:p>
    <w:p w:rsidR="00144349" w:rsidRPr="002F17B5" w:rsidRDefault="00144349" w:rsidP="00144349">
      <w:pPr>
        <w:spacing w:after="240"/>
      </w:pPr>
      <w:r w:rsidRPr="002F17B5">
        <w:lastRenderedPageBreak/>
        <w:t>These are costs that cannot be specifically applied to a service or services and are held centrally, comprising certain pension costs and the costs of unused shares of IT facilities and other assets.</w:t>
      </w:r>
    </w:p>
    <w:p w:rsidR="00144349" w:rsidRPr="002F17B5" w:rsidRDefault="00144349" w:rsidP="00E34607">
      <w:pPr>
        <w:spacing w:after="0"/>
        <w:rPr>
          <w:b/>
        </w:rPr>
      </w:pPr>
      <w:r w:rsidRPr="002F17B5">
        <w:rPr>
          <w:b/>
        </w:rPr>
        <w:t>Non-operational assets</w:t>
      </w:r>
    </w:p>
    <w:p w:rsidR="00144349" w:rsidRPr="002F17B5" w:rsidRDefault="00144349" w:rsidP="00144349">
      <w:pPr>
        <w:spacing w:after="240"/>
      </w:pPr>
      <w:r w:rsidRPr="002F17B5">
        <w:t>Assets which are not in use.</w:t>
      </w:r>
    </w:p>
    <w:p w:rsidR="00144349" w:rsidRPr="002F17B5" w:rsidRDefault="00144349" w:rsidP="00E34607">
      <w:pPr>
        <w:spacing w:after="0"/>
        <w:rPr>
          <w:b/>
        </w:rPr>
      </w:pPr>
      <w:r w:rsidRPr="002F17B5">
        <w:rPr>
          <w:b/>
        </w:rPr>
        <w:t>Operating lease</w:t>
      </w:r>
    </w:p>
    <w:p w:rsidR="00144349" w:rsidRPr="002F17B5" w:rsidRDefault="00144349" w:rsidP="00144349">
      <w:pPr>
        <w:spacing w:after="240"/>
      </w:pPr>
      <w:r w:rsidRPr="002F17B5">
        <w:t xml:space="preserve">A lease where ownership of the goods remains with the company leasing them. </w:t>
      </w:r>
    </w:p>
    <w:p w:rsidR="00144349" w:rsidRPr="002F17B5" w:rsidRDefault="00144349" w:rsidP="00E34607">
      <w:pPr>
        <w:spacing w:after="0"/>
        <w:rPr>
          <w:b/>
        </w:rPr>
      </w:pPr>
      <w:r w:rsidRPr="002F17B5">
        <w:rPr>
          <w:b/>
        </w:rPr>
        <w:t>Operational assets</w:t>
      </w:r>
    </w:p>
    <w:p w:rsidR="00144349" w:rsidRPr="002F17B5" w:rsidRDefault="00144349" w:rsidP="00144349">
      <w:pPr>
        <w:spacing w:after="240"/>
      </w:pPr>
      <w:r w:rsidRPr="002F17B5">
        <w:t>Assets used for day-to-day activities – for example, land, buildings, furniture and equipment.</w:t>
      </w:r>
    </w:p>
    <w:p w:rsidR="00144349" w:rsidRPr="002F17B5" w:rsidRDefault="00144349" w:rsidP="00E34607">
      <w:pPr>
        <w:spacing w:after="0"/>
        <w:rPr>
          <w:b/>
        </w:rPr>
      </w:pPr>
      <w:r w:rsidRPr="002F17B5">
        <w:rPr>
          <w:b/>
        </w:rPr>
        <w:t>Past service cost or gain (IAS 19)</w:t>
      </w:r>
    </w:p>
    <w:p w:rsidR="00144349" w:rsidRPr="002F17B5" w:rsidRDefault="00144349" w:rsidP="00144349">
      <w:pPr>
        <w:spacing w:after="240"/>
      </w:pPr>
      <w:r w:rsidRPr="002F17B5">
        <w:t>The increase or decrease in pension scheme liabilities as a result of changes to benefits earned in previous years – for example, because of early retirement or changes to regulations.</w:t>
      </w:r>
    </w:p>
    <w:p w:rsidR="00144349" w:rsidRPr="002F17B5" w:rsidRDefault="00144349" w:rsidP="00E34607">
      <w:pPr>
        <w:spacing w:after="0"/>
        <w:rPr>
          <w:b/>
        </w:rPr>
      </w:pPr>
      <w:r w:rsidRPr="002F17B5">
        <w:rPr>
          <w:b/>
        </w:rPr>
        <w:t>Pension enhancements</w:t>
      </w:r>
    </w:p>
    <w:p w:rsidR="00144349" w:rsidRPr="002F17B5" w:rsidRDefault="00144349" w:rsidP="00144349">
      <w:pPr>
        <w:spacing w:after="240"/>
      </w:pPr>
      <w:r w:rsidRPr="002F17B5">
        <w:t>Additional pension benefits (such as added years on early retirement) awarded to scheme members in line with the county council’s general conditions of employment.</w:t>
      </w:r>
    </w:p>
    <w:p w:rsidR="00144349" w:rsidRPr="002F17B5" w:rsidRDefault="00144349" w:rsidP="00E34607">
      <w:pPr>
        <w:spacing w:after="0"/>
        <w:rPr>
          <w:b/>
        </w:rPr>
      </w:pPr>
      <w:r w:rsidRPr="002F17B5">
        <w:rPr>
          <w:b/>
        </w:rPr>
        <w:t>Pooled investment vehicle</w:t>
      </w:r>
    </w:p>
    <w:p w:rsidR="00144349" w:rsidRPr="002F17B5" w:rsidRDefault="00144349" w:rsidP="00144349">
      <w:pPr>
        <w:spacing w:after="240"/>
      </w:pPr>
      <w:r w:rsidRPr="002F17B5">
        <w:t>Where a pension fund invests in a fund with other investors. This fund in turn buys and owns assets.</w:t>
      </w:r>
    </w:p>
    <w:p w:rsidR="00144349" w:rsidRPr="002F17B5" w:rsidRDefault="00144349" w:rsidP="00E34607">
      <w:pPr>
        <w:spacing w:after="0"/>
        <w:rPr>
          <w:b/>
        </w:rPr>
      </w:pPr>
      <w:r w:rsidRPr="002F17B5">
        <w:rPr>
          <w:b/>
        </w:rPr>
        <w:t>Precept</w:t>
      </w:r>
    </w:p>
    <w:p w:rsidR="00144349" w:rsidRPr="002F17B5" w:rsidRDefault="00144349" w:rsidP="00144349">
      <w:pPr>
        <w:spacing w:after="240"/>
      </w:pPr>
      <w:r w:rsidRPr="002F17B5">
        <w:t>A charge made by one authority which is collected by another authority – for example, the council tax precept.</w:t>
      </w:r>
    </w:p>
    <w:p w:rsidR="00144349" w:rsidRPr="002F17B5" w:rsidRDefault="00144349" w:rsidP="00E34607">
      <w:pPr>
        <w:spacing w:after="0"/>
        <w:rPr>
          <w:b/>
        </w:rPr>
      </w:pPr>
      <w:r w:rsidRPr="002F17B5">
        <w:rPr>
          <w:b/>
        </w:rPr>
        <w:t>Principal</w:t>
      </w:r>
    </w:p>
    <w:p w:rsidR="00144349" w:rsidRPr="002F17B5" w:rsidRDefault="00144349" w:rsidP="00144349">
      <w:pPr>
        <w:spacing w:after="240"/>
      </w:pPr>
      <w:r w:rsidRPr="002F17B5">
        <w:t>The amount of money borrowed, not including interest charges.</w:t>
      </w:r>
    </w:p>
    <w:p w:rsidR="00144349" w:rsidRPr="002F17B5" w:rsidRDefault="00144349" w:rsidP="00E34607">
      <w:pPr>
        <w:spacing w:after="0"/>
        <w:rPr>
          <w:b/>
        </w:rPr>
      </w:pPr>
      <w:r w:rsidRPr="002F17B5">
        <w:rPr>
          <w:b/>
        </w:rPr>
        <w:t>Principal repayment of debt</w:t>
      </w:r>
    </w:p>
    <w:p w:rsidR="00144349" w:rsidRPr="002F17B5" w:rsidRDefault="00144349" w:rsidP="00144349">
      <w:pPr>
        <w:spacing w:after="240"/>
      </w:pPr>
      <w:r w:rsidRPr="002F17B5">
        <w:t>Re-payment of a loan, not including interest charges.</w:t>
      </w:r>
    </w:p>
    <w:p w:rsidR="00144349" w:rsidRPr="002F17B5" w:rsidRDefault="00144349" w:rsidP="00E34607">
      <w:pPr>
        <w:spacing w:after="0"/>
        <w:rPr>
          <w:b/>
        </w:rPr>
      </w:pPr>
      <w:r w:rsidRPr="002F17B5">
        <w:rPr>
          <w:b/>
        </w:rPr>
        <w:t>Prior period adjustments</w:t>
      </w:r>
    </w:p>
    <w:p w:rsidR="00144349" w:rsidRPr="002F17B5" w:rsidRDefault="00144349" w:rsidP="00144349">
      <w:pPr>
        <w:spacing w:after="240"/>
      </w:pPr>
      <w:r w:rsidRPr="002F17B5">
        <w:t xml:space="preserve">Those material adjustments applicable to prior years arising from changes in accounting policies or from the correction of fundamental errors. </w:t>
      </w:r>
    </w:p>
    <w:p w:rsidR="00144349" w:rsidRPr="002F17B5" w:rsidRDefault="00144349" w:rsidP="00144349">
      <w:pPr>
        <w:spacing w:after="240"/>
      </w:pPr>
      <w:r w:rsidRPr="002F17B5">
        <w:t>A fundamental error is one that is of such significance as to destroy the validity of the financial statements. They do not include normal recurring corrections or adjustments of accounting estimates made in prior years.</w:t>
      </w:r>
    </w:p>
    <w:p w:rsidR="00144349" w:rsidRPr="002F17B5" w:rsidRDefault="00144349" w:rsidP="00E34607">
      <w:pPr>
        <w:spacing w:after="0"/>
        <w:rPr>
          <w:b/>
        </w:rPr>
      </w:pPr>
      <w:r w:rsidRPr="002F17B5">
        <w:rPr>
          <w:b/>
        </w:rPr>
        <w:t>Private finance initiative (PFI)</w:t>
      </w:r>
    </w:p>
    <w:p w:rsidR="00144349" w:rsidRDefault="00144349" w:rsidP="00327C2D">
      <w:pPr>
        <w:spacing w:after="240"/>
      </w:pPr>
      <w:r w:rsidRPr="002F17B5">
        <w:t>A means of securing new assets and associated services in partn</w:t>
      </w:r>
      <w:r w:rsidR="00327C2D" w:rsidRPr="002F17B5">
        <w:t>ership with the private sector.</w:t>
      </w:r>
    </w:p>
    <w:p w:rsidR="00144349" w:rsidRPr="002F17B5" w:rsidRDefault="00144349" w:rsidP="00E34607">
      <w:pPr>
        <w:spacing w:after="0"/>
        <w:rPr>
          <w:b/>
        </w:rPr>
      </w:pPr>
      <w:r w:rsidRPr="002F17B5">
        <w:rPr>
          <w:b/>
        </w:rPr>
        <w:t>Projected unit method (Pensions)</w:t>
      </w:r>
    </w:p>
    <w:p w:rsidR="00144349" w:rsidRPr="002F17B5" w:rsidRDefault="00144349" w:rsidP="00144349">
      <w:pPr>
        <w:spacing w:after="240"/>
      </w:pPr>
      <w:r w:rsidRPr="002F17B5">
        <w:t>An accrued benefits valuation method in which the scheme liabilities make allowance for the projected earnings. An accrued benefits valuation method is a valuation method in which the scheme liabilities at the valuation date relate to:</w:t>
      </w:r>
    </w:p>
    <w:p w:rsidR="00144349" w:rsidRPr="002F17B5" w:rsidRDefault="00144349" w:rsidP="00144349">
      <w:pPr>
        <w:spacing w:after="0"/>
        <w:ind w:left="720" w:hanging="720"/>
      </w:pPr>
      <w:r w:rsidRPr="002F17B5">
        <w:lastRenderedPageBreak/>
        <w:t>(a)</w:t>
      </w:r>
      <w:r w:rsidRPr="002F17B5">
        <w:tab/>
        <w:t>the benefits for pensioners and deferred pensioners (</w:t>
      </w:r>
      <w:r w:rsidR="00166DDD" w:rsidRPr="002F17B5">
        <w:t>i.e.</w:t>
      </w:r>
      <w:r w:rsidRPr="002F17B5">
        <w:t xml:space="preserve"> individuals who have ceased to be active members but are entitled to benefits payable at a later date) and their dependants, allowing where appropriate for future increases, and</w:t>
      </w:r>
    </w:p>
    <w:p w:rsidR="00144349" w:rsidRPr="002F17B5" w:rsidRDefault="00144349" w:rsidP="00144349">
      <w:pPr>
        <w:spacing w:after="0"/>
        <w:ind w:left="720" w:hanging="720"/>
      </w:pPr>
    </w:p>
    <w:p w:rsidR="00144349" w:rsidRPr="002F17B5" w:rsidRDefault="00144349" w:rsidP="00E34607">
      <w:pPr>
        <w:spacing w:after="0"/>
        <w:ind w:left="720" w:hanging="720"/>
        <w:rPr>
          <w:sz w:val="23"/>
          <w:szCs w:val="23"/>
        </w:rPr>
      </w:pPr>
      <w:r w:rsidRPr="002F17B5">
        <w:t>(b)</w:t>
      </w:r>
      <w:r w:rsidRPr="002F17B5">
        <w:tab/>
        <w:t>The accrued benefits for members in</w:t>
      </w:r>
      <w:r w:rsidR="00E34607" w:rsidRPr="002F17B5">
        <w:t xml:space="preserve"> service on the valuation date (a</w:t>
      </w:r>
      <w:r w:rsidRPr="002F17B5">
        <w:rPr>
          <w:sz w:val="23"/>
          <w:szCs w:val="23"/>
        </w:rPr>
        <w:t>ccrued benefits are the benefits for service up to a given point in time, whether vested rights or not</w:t>
      </w:r>
      <w:r w:rsidR="00E34607" w:rsidRPr="002F17B5">
        <w:rPr>
          <w:sz w:val="23"/>
          <w:szCs w:val="23"/>
        </w:rPr>
        <w:t>)</w:t>
      </w:r>
      <w:r w:rsidRPr="002F17B5">
        <w:rPr>
          <w:sz w:val="23"/>
          <w:szCs w:val="23"/>
        </w:rPr>
        <w:t xml:space="preserve">. </w:t>
      </w:r>
    </w:p>
    <w:p w:rsidR="00E34607" w:rsidRPr="002F17B5" w:rsidRDefault="00E34607" w:rsidP="00E34607">
      <w:pPr>
        <w:spacing w:after="0"/>
        <w:ind w:left="720" w:hanging="720"/>
        <w:rPr>
          <w:sz w:val="8"/>
        </w:rPr>
      </w:pPr>
    </w:p>
    <w:p w:rsidR="00144349" w:rsidRPr="002F17B5" w:rsidRDefault="00144349" w:rsidP="00E34607">
      <w:pPr>
        <w:spacing w:after="0"/>
        <w:rPr>
          <w:b/>
        </w:rPr>
      </w:pPr>
      <w:r w:rsidRPr="002F17B5">
        <w:rPr>
          <w:b/>
        </w:rPr>
        <w:t>Provisions</w:t>
      </w:r>
    </w:p>
    <w:p w:rsidR="00144349" w:rsidRPr="002F17B5" w:rsidRDefault="00144349" w:rsidP="00144349">
      <w:pPr>
        <w:spacing w:after="240"/>
      </w:pPr>
      <w:r w:rsidRPr="002F17B5">
        <w:t>Liabilities of uncertain timing or amount.</w:t>
      </w:r>
    </w:p>
    <w:p w:rsidR="00144349" w:rsidRPr="002F17B5" w:rsidRDefault="00144349" w:rsidP="00E34607">
      <w:pPr>
        <w:spacing w:after="0"/>
        <w:rPr>
          <w:b/>
        </w:rPr>
      </w:pPr>
      <w:r w:rsidRPr="002F17B5">
        <w:rPr>
          <w:b/>
        </w:rPr>
        <w:t>Public Works Loan Board (PWLB)</w:t>
      </w:r>
    </w:p>
    <w:p w:rsidR="00144349" w:rsidRPr="002F17B5" w:rsidRDefault="00144349" w:rsidP="00144349">
      <w:pPr>
        <w:spacing w:after="240"/>
      </w:pPr>
      <w:r w:rsidRPr="002F17B5">
        <w:t>A government agency which provides longer</w:t>
      </w:r>
      <w:r w:rsidRPr="002F17B5">
        <w:noBreakHyphen/>
        <w:t>term loans to local authorities at interest rates only slightly higher than those at which the government itself can borrow.</w:t>
      </w:r>
    </w:p>
    <w:p w:rsidR="00144349" w:rsidRPr="002F17B5" w:rsidRDefault="00144349" w:rsidP="00E34607">
      <w:pPr>
        <w:spacing w:after="0"/>
        <w:rPr>
          <w:b/>
        </w:rPr>
      </w:pPr>
      <w:r w:rsidRPr="002F17B5">
        <w:rPr>
          <w:b/>
        </w:rPr>
        <w:t>Realisable value</w:t>
      </w:r>
    </w:p>
    <w:p w:rsidR="00144349" w:rsidRPr="002F17B5" w:rsidRDefault="00144349" w:rsidP="00144349">
      <w:pPr>
        <w:spacing w:after="240"/>
      </w:pPr>
      <w:r w:rsidRPr="002F17B5">
        <w:t>The amount for which an asset can be sold.</w:t>
      </w:r>
    </w:p>
    <w:p w:rsidR="00144349" w:rsidRPr="002F17B5" w:rsidRDefault="00144349" w:rsidP="00E34607">
      <w:pPr>
        <w:spacing w:after="0"/>
        <w:rPr>
          <w:b/>
        </w:rPr>
      </w:pPr>
      <w:r w:rsidRPr="002F17B5">
        <w:rPr>
          <w:b/>
        </w:rPr>
        <w:t>Reconciliation</w:t>
      </w:r>
    </w:p>
    <w:p w:rsidR="00144349" w:rsidRPr="002F17B5" w:rsidRDefault="00144349" w:rsidP="00144349">
      <w:pPr>
        <w:spacing w:after="240"/>
      </w:pPr>
      <w:r w:rsidRPr="002F17B5">
        <w:t>The process of checking figures from different sources which should logically match up – for example, matching invoices paid against amounts banked.</w:t>
      </w:r>
    </w:p>
    <w:p w:rsidR="00D0122A" w:rsidRPr="002F17B5" w:rsidRDefault="00D0122A" w:rsidP="00E34607">
      <w:pPr>
        <w:spacing w:after="0"/>
        <w:rPr>
          <w:b/>
        </w:rPr>
      </w:pPr>
      <w:r w:rsidRPr="002F17B5">
        <w:rPr>
          <w:b/>
        </w:rPr>
        <w:t>REFCUS (Revenue Expenditure Funded from Capital Under Statute)</w:t>
      </w:r>
    </w:p>
    <w:p w:rsidR="00D0122A" w:rsidRPr="002F17B5" w:rsidRDefault="00D0122A" w:rsidP="00D0122A">
      <w:r w:rsidRPr="002F17B5">
        <w:t xml:space="preserve"> Capital expenditure which does not create or add to the value of an item of property, plant</w:t>
      </w:r>
    </w:p>
    <w:p w:rsidR="00D0122A" w:rsidRPr="002F17B5" w:rsidRDefault="00D0122A" w:rsidP="00D0122A">
      <w:r w:rsidRPr="002F17B5">
        <w:t>or equipment belonging to Lancashire County Council.</w:t>
      </w:r>
    </w:p>
    <w:p w:rsidR="00D0122A" w:rsidRPr="002F17B5" w:rsidRDefault="00D0122A" w:rsidP="00144349">
      <w:pPr>
        <w:spacing w:after="240"/>
        <w:rPr>
          <w:sz w:val="2"/>
        </w:rPr>
      </w:pPr>
    </w:p>
    <w:p w:rsidR="00144349" w:rsidRPr="002F17B5" w:rsidRDefault="00144349" w:rsidP="00E34607">
      <w:pPr>
        <w:spacing w:after="0"/>
        <w:rPr>
          <w:b/>
        </w:rPr>
      </w:pPr>
      <w:r w:rsidRPr="002F17B5">
        <w:rPr>
          <w:b/>
        </w:rPr>
        <w:t>Related party</w:t>
      </w:r>
    </w:p>
    <w:p w:rsidR="00144349" w:rsidRPr="002F17B5" w:rsidRDefault="00144349" w:rsidP="00144349">
      <w:pPr>
        <w:spacing w:after="240"/>
      </w:pPr>
      <w:r w:rsidRPr="002F17B5">
        <w:t>A person or organisation which has influence over another person or organisation.</w:t>
      </w:r>
    </w:p>
    <w:p w:rsidR="004D073E" w:rsidRPr="002F17B5" w:rsidRDefault="004D073E" w:rsidP="00E34607">
      <w:pPr>
        <w:spacing w:after="0"/>
        <w:rPr>
          <w:rFonts w:cs="Arial"/>
          <w:b/>
          <w:szCs w:val="22"/>
        </w:rPr>
      </w:pPr>
      <w:proofErr w:type="spellStart"/>
      <w:r w:rsidRPr="002F17B5">
        <w:rPr>
          <w:rFonts w:cs="Arial"/>
          <w:b/>
          <w:szCs w:val="22"/>
        </w:rPr>
        <w:t>Remeasurements</w:t>
      </w:r>
      <w:proofErr w:type="spellEnd"/>
      <w:r w:rsidRPr="002F17B5">
        <w:rPr>
          <w:rFonts w:cs="Arial"/>
          <w:b/>
          <w:szCs w:val="22"/>
        </w:rPr>
        <w:t xml:space="preserve"> – Assets (IAS 19)</w:t>
      </w:r>
    </w:p>
    <w:p w:rsidR="004C6F87" w:rsidRPr="002F17B5" w:rsidRDefault="00E34607" w:rsidP="00144349">
      <w:pPr>
        <w:rPr>
          <w:rFonts w:cs="Arial"/>
          <w:szCs w:val="22"/>
        </w:rPr>
      </w:pPr>
      <w:r w:rsidRPr="002F17B5">
        <w:rPr>
          <w:rFonts w:cs="Arial"/>
          <w:szCs w:val="22"/>
        </w:rPr>
        <w:t>T</w:t>
      </w:r>
      <w:r w:rsidR="004C6F87" w:rsidRPr="002F17B5">
        <w:rPr>
          <w:rFonts w:cs="Arial"/>
          <w:szCs w:val="22"/>
        </w:rPr>
        <w:t>he</w:t>
      </w:r>
      <w:r w:rsidR="004D073E" w:rsidRPr="002F17B5">
        <w:rPr>
          <w:rFonts w:cs="Arial"/>
          <w:szCs w:val="22"/>
        </w:rPr>
        <w:t xml:space="preserve"> return on assets net of </w:t>
      </w:r>
      <w:r w:rsidR="004C6F87" w:rsidRPr="002F17B5">
        <w:rPr>
          <w:rFonts w:cs="Arial"/>
          <w:szCs w:val="22"/>
        </w:rPr>
        <w:t xml:space="preserve">administration expenses and </w:t>
      </w:r>
      <w:r w:rsidR="004D073E" w:rsidRPr="002F17B5">
        <w:rPr>
          <w:rFonts w:cs="Arial"/>
          <w:szCs w:val="22"/>
        </w:rPr>
        <w:t xml:space="preserve">interest on </w:t>
      </w:r>
      <w:r w:rsidR="004C6F87" w:rsidRPr="002F17B5">
        <w:rPr>
          <w:rFonts w:cs="Arial"/>
          <w:szCs w:val="22"/>
        </w:rPr>
        <w:t>income</w:t>
      </w:r>
    </w:p>
    <w:p w:rsidR="00984D49" w:rsidRDefault="00984D49" w:rsidP="00E34607">
      <w:pPr>
        <w:spacing w:after="0"/>
        <w:rPr>
          <w:rFonts w:cs="Arial"/>
          <w:b/>
          <w:szCs w:val="22"/>
        </w:rPr>
      </w:pPr>
    </w:p>
    <w:p w:rsidR="004D073E" w:rsidRPr="002F17B5" w:rsidRDefault="004C6F87" w:rsidP="00E34607">
      <w:pPr>
        <w:spacing w:after="0"/>
        <w:rPr>
          <w:b/>
          <w:sz w:val="26"/>
        </w:rPr>
      </w:pPr>
      <w:proofErr w:type="spellStart"/>
      <w:r w:rsidRPr="002F17B5">
        <w:rPr>
          <w:rFonts w:cs="Arial"/>
          <w:b/>
          <w:szCs w:val="22"/>
        </w:rPr>
        <w:t>Remeasurements</w:t>
      </w:r>
      <w:proofErr w:type="spellEnd"/>
      <w:r w:rsidRPr="002F17B5">
        <w:rPr>
          <w:rFonts w:cs="Arial"/>
          <w:b/>
          <w:szCs w:val="22"/>
        </w:rPr>
        <w:t xml:space="preserve"> – Liabilities (IAS 19)</w:t>
      </w:r>
    </w:p>
    <w:p w:rsidR="004D073E" w:rsidRPr="002F17B5" w:rsidRDefault="00AF0558" w:rsidP="00144349">
      <w:proofErr w:type="spellStart"/>
      <w:r w:rsidRPr="002F17B5">
        <w:t>Remeasurement</w:t>
      </w:r>
      <w:proofErr w:type="spellEnd"/>
      <w:r w:rsidRPr="002F17B5">
        <w:t xml:space="preserve"> On </w:t>
      </w:r>
      <w:r w:rsidR="004C6F87" w:rsidRPr="002F17B5">
        <w:t xml:space="preserve">liabilities that are </w:t>
      </w:r>
      <w:r w:rsidR="00211DAF" w:rsidRPr="002F17B5">
        <w:t xml:space="preserve">subdivided into 'Experience gains (losses) on liabilities, </w:t>
      </w:r>
      <w:r w:rsidR="00167DD3" w:rsidRPr="002F17B5">
        <w:t>g</w:t>
      </w:r>
      <w:r w:rsidR="00211DAF" w:rsidRPr="002F17B5">
        <w:t>ain (</w:t>
      </w:r>
      <w:r w:rsidR="00167DD3" w:rsidRPr="002F17B5">
        <w:t>l</w:t>
      </w:r>
      <w:r w:rsidR="00211DAF" w:rsidRPr="002F17B5">
        <w:t>oss</w:t>
      </w:r>
      <w:r w:rsidR="00167DD3" w:rsidRPr="002F17B5">
        <w:t>) on financial assumptions and g</w:t>
      </w:r>
      <w:r w:rsidR="00211DAF" w:rsidRPr="002F17B5">
        <w:t>ain</w:t>
      </w:r>
      <w:r w:rsidR="00167DD3" w:rsidRPr="002F17B5">
        <w:t xml:space="preserve"> (loss) on demographic assumption</w:t>
      </w:r>
    </w:p>
    <w:p w:rsidR="00211DAF" w:rsidRPr="002F17B5" w:rsidRDefault="00211DAF" w:rsidP="00144349">
      <w:pPr>
        <w:rPr>
          <w:b/>
          <w:sz w:val="2"/>
        </w:rPr>
      </w:pPr>
    </w:p>
    <w:p w:rsidR="00144349" w:rsidRPr="002F17B5" w:rsidRDefault="00144349" w:rsidP="00E34607">
      <w:pPr>
        <w:spacing w:after="0"/>
        <w:rPr>
          <w:b/>
        </w:rPr>
      </w:pPr>
      <w:r w:rsidRPr="002F17B5">
        <w:rPr>
          <w:b/>
        </w:rPr>
        <w:t>Reserves</w:t>
      </w:r>
    </w:p>
    <w:p w:rsidR="00144349" w:rsidRPr="002F17B5" w:rsidRDefault="00144349" w:rsidP="00144349">
      <w:pPr>
        <w:spacing w:after="240"/>
      </w:pPr>
      <w:r w:rsidRPr="002F17B5">
        <w:t>Amounts set aside in one year’s accounts which can be spent in later years. Some types of reserve can only be spent if certain conditions are met.</w:t>
      </w:r>
    </w:p>
    <w:p w:rsidR="00144349" w:rsidRPr="002F17B5" w:rsidRDefault="00144349" w:rsidP="00E34607">
      <w:pPr>
        <w:spacing w:after="0"/>
        <w:rPr>
          <w:b/>
        </w:rPr>
      </w:pPr>
      <w:r w:rsidRPr="002F17B5">
        <w:rPr>
          <w:b/>
        </w:rPr>
        <w:t>Residual value</w:t>
      </w:r>
    </w:p>
    <w:p w:rsidR="00144349" w:rsidRDefault="00144349" w:rsidP="00144349">
      <w:pPr>
        <w:spacing w:after="240"/>
      </w:pPr>
      <w:r w:rsidRPr="002F17B5">
        <w:t>The amount an asset can be sold for, less the cost of selling it.</w:t>
      </w:r>
    </w:p>
    <w:p w:rsidR="00144349" w:rsidRPr="002F17B5" w:rsidRDefault="00144349" w:rsidP="00E34607">
      <w:pPr>
        <w:spacing w:after="0"/>
        <w:rPr>
          <w:b/>
        </w:rPr>
      </w:pPr>
      <w:r w:rsidRPr="002F17B5">
        <w:rPr>
          <w:b/>
        </w:rPr>
        <w:t>Revenue account</w:t>
      </w:r>
    </w:p>
    <w:p w:rsidR="00144349" w:rsidRPr="002F17B5" w:rsidRDefault="00144349" w:rsidP="00144349">
      <w:pPr>
        <w:spacing w:after="240"/>
      </w:pPr>
      <w:r w:rsidRPr="002F17B5">
        <w:t>An account which records the county council’s day to day expenditure and income relating to items such as salaries, wages and the costs of running services.</w:t>
      </w:r>
    </w:p>
    <w:p w:rsidR="00984D49" w:rsidRDefault="00984D49" w:rsidP="00E34607">
      <w:pPr>
        <w:spacing w:after="0"/>
        <w:rPr>
          <w:b/>
        </w:rPr>
      </w:pPr>
    </w:p>
    <w:p w:rsidR="00144349" w:rsidRPr="002F17B5" w:rsidRDefault="00144349" w:rsidP="00E34607">
      <w:pPr>
        <w:spacing w:after="0"/>
        <w:rPr>
          <w:b/>
        </w:rPr>
      </w:pPr>
      <w:r w:rsidRPr="002F17B5">
        <w:rPr>
          <w:b/>
        </w:rPr>
        <w:t>Revenue expenditure</w:t>
      </w:r>
    </w:p>
    <w:p w:rsidR="00144349" w:rsidRPr="002F17B5" w:rsidRDefault="00144349" w:rsidP="00144349">
      <w:pPr>
        <w:spacing w:after="240"/>
      </w:pPr>
      <w:r w:rsidRPr="002F17B5">
        <w:lastRenderedPageBreak/>
        <w:t>The county council’s day-to-day spending. This consists mainly of salaries and wages, running costs and financing charges.</w:t>
      </w:r>
    </w:p>
    <w:p w:rsidR="00144349" w:rsidRPr="002F17B5" w:rsidRDefault="00144349" w:rsidP="00E34607">
      <w:pPr>
        <w:spacing w:after="0"/>
        <w:rPr>
          <w:b/>
        </w:rPr>
      </w:pPr>
      <w:r w:rsidRPr="002F17B5">
        <w:rPr>
          <w:b/>
        </w:rPr>
        <w:t>Revenue Support Grant</w:t>
      </w:r>
    </w:p>
    <w:p w:rsidR="00144349" w:rsidRPr="002F17B5" w:rsidRDefault="00144349" w:rsidP="00144349">
      <w:pPr>
        <w:spacing w:after="240"/>
      </w:pPr>
      <w:r w:rsidRPr="002F17B5">
        <w:t>A general grant from central government to contribute towards the cost of providing services.</w:t>
      </w:r>
    </w:p>
    <w:p w:rsidR="00144349" w:rsidRPr="002F17B5" w:rsidRDefault="00144349" w:rsidP="00E34607">
      <w:pPr>
        <w:spacing w:after="0"/>
        <w:rPr>
          <w:b/>
        </w:rPr>
      </w:pPr>
      <w:r w:rsidRPr="002F17B5">
        <w:rPr>
          <w:b/>
        </w:rPr>
        <w:t>Reversed out</w:t>
      </w:r>
    </w:p>
    <w:p w:rsidR="00144349" w:rsidRPr="002F17B5" w:rsidRDefault="00144349" w:rsidP="00144349">
      <w:pPr>
        <w:spacing w:after="240"/>
      </w:pPr>
      <w:r w:rsidRPr="002F17B5">
        <w:t>This is where an opposite entry is made in the accounts, to cancel the effect of a transaction.</w:t>
      </w:r>
    </w:p>
    <w:p w:rsidR="00144349" w:rsidRPr="002F17B5" w:rsidRDefault="00144349" w:rsidP="00E34607">
      <w:pPr>
        <w:spacing w:after="0"/>
        <w:rPr>
          <w:b/>
        </w:rPr>
      </w:pPr>
      <w:r w:rsidRPr="002F17B5">
        <w:rPr>
          <w:b/>
        </w:rPr>
        <w:t>Specific grants</w:t>
      </w:r>
    </w:p>
    <w:p w:rsidR="00144349" w:rsidRPr="002F17B5" w:rsidRDefault="00144349" w:rsidP="00144349">
      <w:pPr>
        <w:spacing w:after="240"/>
      </w:pPr>
      <w:r w:rsidRPr="002F17B5">
        <w:t>Government grants for a particular service – for example, the Standards Fund Grant.</w:t>
      </w:r>
    </w:p>
    <w:p w:rsidR="00144349" w:rsidRPr="002F17B5" w:rsidRDefault="00144349" w:rsidP="00E34607">
      <w:pPr>
        <w:spacing w:after="0"/>
        <w:rPr>
          <w:b/>
        </w:rPr>
      </w:pPr>
      <w:r w:rsidRPr="002F17B5">
        <w:rPr>
          <w:b/>
        </w:rPr>
        <w:t>Tangible assets</w:t>
      </w:r>
    </w:p>
    <w:p w:rsidR="00144349" w:rsidRPr="002F17B5" w:rsidRDefault="00144349" w:rsidP="00144349">
      <w:pPr>
        <w:spacing w:after="240"/>
      </w:pPr>
      <w:r w:rsidRPr="002F17B5">
        <w:t>Assets which have a physical form – for example, buildings, furniture and equipment.</w:t>
      </w:r>
    </w:p>
    <w:p w:rsidR="00144349" w:rsidRPr="002F17B5" w:rsidRDefault="00144349" w:rsidP="00E34607">
      <w:pPr>
        <w:spacing w:after="0"/>
        <w:rPr>
          <w:b/>
        </w:rPr>
      </w:pPr>
      <w:r w:rsidRPr="002F17B5">
        <w:rPr>
          <w:b/>
        </w:rPr>
        <w:t>Transfers in/out</w:t>
      </w:r>
    </w:p>
    <w:p w:rsidR="00144349" w:rsidRPr="002F17B5" w:rsidRDefault="00144349" w:rsidP="00144349">
      <w:pPr>
        <w:spacing w:after="240"/>
      </w:pPr>
      <w:r w:rsidRPr="002F17B5">
        <w:t>Transfers of money either into or out of the pension fund, from another pension fund.</w:t>
      </w:r>
    </w:p>
    <w:p w:rsidR="00144349" w:rsidRPr="002F17B5" w:rsidRDefault="00144349" w:rsidP="00E34607">
      <w:pPr>
        <w:spacing w:after="0"/>
        <w:rPr>
          <w:b/>
        </w:rPr>
      </w:pPr>
      <w:r w:rsidRPr="002F17B5">
        <w:rPr>
          <w:b/>
        </w:rPr>
        <w:t>Transfer value</w:t>
      </w:r>
    </w:p>
    <w:p w:rsidR="00144349" w:rsidRPr="002F17B5" w:rsidRDefault="00144349" w:rsidP="00144349">
      <w:pPr>
        <w:spacing w:after="240"/>
      </w:pPr>
      <w:r w:rsidRPr="002F17B5">
        <w:t>A payment made by one pension fund to another when a scheme member changes schemes.</w:t>
      </w:r>
    </w:p>
    <w:p w:rsidR="00144349" w:rsidRPr="002F17B5" w:rsidRDefault="00144349" w:rsidP="00E34607">
      <w:pPr>
        <w:spacing w:after="0"/>
        <w:rPr>
          <w:b/>
        </w:rPr>
      </w:pPr>
      <w:r w:rsidRPr="002F17B5">
        <w:rPr>
          <w:b/>
        </w:rPr>
        <w:t>Useful life</w:t>
      </w:r>
    </w:p>
    <w:p w:rsidR="00144349" w:rsidRPr="002F17B5" w:rsidRDefault="00144349" w:rsidP="00144349">
      <w:pPr>
        <w:spacing w:after="240"/>
      </w:pPr>
      <w:r w:rsidRPr="002F17B5">
        <w:t>The period which an asset is expected to be available for use.</w:t>
      </w:r>
    </w:p>
    <w:p w:rsidR="00144349" w:rsidRPr="002F17B5" w:rsidRDefault="00144349" w:rsidP="00E34607">
      <w:pPr>
        <w:spacing w:after="0"/>
      </w:pPr>
      <w:r w:rsidRPr="002F17B5">
        <w:rPr>
          <w:b/>
        </w:rPr>
        <w:t>Write down</w:t>
      </w:r>
    </w:p>
    <w:p w:rsidR="00144349" w:rsidRDefault="00144349" w:rsidP="00144349">
      <w:pPr>
        <w:spacing w:after="240"/>
      </w:pPr>
      <w:r w:rsidRPr="002F17B5">
        <w:t>This is where amounts are charged to the revenue account or offset against another balance sheet account.</w:t>
      </w:r>
    </w:p>
    <w:sectPr w:rsidR="00144349" w:rsidSect="008E0F34">
      <w:headerReference w:type="even" r:id="rId58"/>
      <w:headerReference w:type="default" r:id="rId59"/>
      <w:footerReference w:type="default" r:id="rId60"/>
      <w:headerReference w:type="first" r:id="rId61"/>
      <w:footerReference w:type="first" r:id="rId62"/>
      <w:pgSz w:w="11906" w:h="16838" w:code="9"/>
      <w:pgMar w:top="720" w:right="720" w:bottom="720" w:left="72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C0">
      <wne:acd wne:acdName="acd7"/>
    </wne:keymap>
    <wne:keymap wne:kcmPrimary="04DB">
      <wne:acd wne:acdName="acd5"/>
    </wne:keymap>
    <wne:keymap wne:kcmPrimary="04DD">
      <wne:acd wne:acdName="acd6"/>
    </wne:keymap>
    <wne:keymap wne:kcmPrimary="04DE">
      <wne:acd wne:acdName="acd8"/>
    </wne:keymap>
    <wne:keymap wne:kcmPrimary="0661">
      <wne:acd wne:acdName="acd0"/>
    </wne:keymap>
    <wne:keymap wne:kcmPrimary="0662">
      <wne:acd wne:acdName="acd1"/>
    </wne:keymap>
    <wne:keymap wne:kcmPrimary="0663">
      <wne:acd wne:acdName="acd4"/>
    </wne:keymap>
    <wne:keymap wne:kcmPrimary="0664">
      <wne:acd wne:acdName="acd9"/>
    </wne:keymap>
    <wne:keymap wne:kcmPrimary="0665">
      <wne:acd wne:acdName="acd3"/>
    </wne:keymap>
    <wne:keymap wne:kcmPrimary="0666">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QAAAAIA" wne:acdName="acd1" wne:fciIndexBasedOn="0065"/>
    <wne:acd wne:argValue="AgBCAHUAbABsAGUAdAA=" wne:acdName="acd2" wne:fciIndexBasedOn="0065"/>
    <wne:acd wne:argValue="AgBCAG8AZAB5ACAAdABlAHgAdAA=" wne:acdName="acd3" wne:fciIndexBasedOn="0065"/>
    <wne:acd wne:argValue="AQAAAAMA" wne:acdName="acd4" wne:fciIndexBasedOn="0065"/>
    <wne:acd wne:argValue="AgBUAGEAYgBsAGUAIABUAGkAdABsAGUA" wne:acdName="acd5" wne:fciIndexBasedOn="0065"/>
    <wne:acd wne:argValue="AgBUAGEAYgBsAGUAIABIAGUAYQBkACAAUgBpAGcAaAB0AA==" wne:acdName="acd6" wne:fciIndexBasedOn="0065"/>
    <wne:acd wne:argValue="AgBUAGEAYgBsAGUAIABEAGEAdABhACAATABlAGYAdAA=" wne:acdName="acd7" wne:fciIndexBasedOn="0065"/>
    <wne:acd wne:argValue="AgBUAGEAYgBsAGUAIABUAGUAeAB0ACAAUgBpAGcAaAB0AA==" wne:acdName="acd8" wne:fciIndexBasedOn="0065"/>
    <wne:acd wne:argValue="AgBIAGUAYQBkAGkAbgBnACAAMwAtAG4AdQBtAGIAZQByAGUAZAA=" wne:acdName="acd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B0F" w:rsidRDefault="004A4B0F" w:rsidP="00124FDC">
      <w:pPr>
        <w:spacing w:after="0"/>
      </w:pPr>
      <w:r>
        <w:separator/>
      </w:r>
    </w:p>
  </w:endnote>
  <w:endnote w:type="continuationSeparator" w:id="0">
    <w:p w:rsidR="004A4B0F" w:rsidRDefault="004A4B0F"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ouschka Rounded Bold">
    <w:altName w:val="Arial"/>
    <w:panose1 w:val="00000000000000000000"/>
    <w:charset w:val="00"/>
    <w:family w:val="swiss"/>
    <w:notTrueType/>
    <w:pitch w:val="variable"/>
    <w:sig w:usb0="00000207" w:usb1="5000204A" w:usb2="00000000" w:usb3="00000000" w:csb0="00000097" w:csb1="00000000"/>
  </w:font>
  <w:font w:name="Gill Sans MT Pro Medium">
    <w:altName w:val="Gill Sans MT Pro Medium"/>
    <w:panose1 w:val="00000000000000000000"/>
    <w:charset w:val="00"/>
    <w:family w:val="swiss"/>
    <w:notTrueType/>
    <w:pitch w:val="default"/>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Sabon">
    <w:altName w:val="Bell MT"/>
    <w:charset w:val="00"/>
    <w:family w:val="roman"/>
    <w:pitch w:val="variable"/>
    <w:sig w:usb0="00000003" w:usb1="00000000" w:usb2="00000000" w:usb3="00000000" w:csb0="00000001" w:csb1="00000000"/>
  </w:font>
  <w:font w:name="QEJOBV+Helvetica-Bold">
    <w:altName w:val="Helvetic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Vodafone Lt">
    <w:altName w:val="Vodafone L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UDADR+Helvetica-Light">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FSLola">
    <w:panose1 w:val="00000000000000000000"/>
    <w:charset w:val="00"/>
    <w:family w:val="roman"/>
    <w:notTrueType/>
    <w:pitch w:val="default"/>
    <w:sig w:usb0="00000003" w:usb1="00000000" w:usb2="00000000" w:usb3="00000000" w:csb0="00000001" w:csb1="00000000"/>
  </w:font>
  <w:font w:name="FSLol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B70B4B">
    <w:pPr>
      <w:pStyle w:val="Footer"/>
      <w:jc w:val="center"/>
    </w:pPr>
    <w:r>
      <w:rPr>
        <w:noProof/>
        <w:lang w:eastAsia="en-GB"/>
      </w:rPr>
      <mc:AlternateContent>
        <mc:Choice Requires="wps">
          <w:drawing>
            <wp:inline distT="0" distB="0" distL="0" distR="0">
              <wp:extent cx="6594475" cy="340360"/>
              <wp:effectExtent l="19050" t="19050" r="34925" b="59690"/>
              <wp:docPr id="2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447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0A36C7">
                          <w:pPr>
                            <w:jc w:val="center"/>
                          </w:pPr>
                          <w:r>
                            <w:t xml:space="preserve">• </w:t>
                          </w:r>
                          <w:r>
                            <w:fldChar w:fldCharType="begin"/>
                          </w:r>
                          <w:r>
                            <w:instrText xml:space="preserve"> PAGE   \* MERGEFORMAT </w:instrText>
                          </w:r>
                          <w:r>
                            <w:fldChar w:fldCharType="separate"/>
                          </w:r>
                          <w:r w:rsidR="00EA4F50">
                            <w:rPr>
                              <w:noProof/>
                            </w:rPr>
                            <w:t>18</w:t>
                          </w:r>
                          <w:r>
                            <w:rPr>
                              <w:noProof/>
                            </w:rPr>
                            <w:fldChar w:fldCharType="end"/>
                          </w:r>
                          <w:r>
                            <w:t xml:space="preserve"> •</w:t>
                          </w:r>
                        </w:p>
                      </w:txbxContent>
                    </wps:txbx>
                    <wps:bodyPr rot="0" vert="horz" wrap="square" lIns="91440" tIns="45720" rIns="91440" bIns="45720" anchor="t" anchorCtr="0" upright="1">
                      <a:noAutofit/>
                    </wps:bodyPr>
                  </wps:wsp>
                </a:graphicData>
              </a:graphic>
            </wp:inline>
          </w:drawing>
        </mc:Choice>
        <mc:Fallback>
          <w:pict>
            <v:roundrect id="AutoShape 231" o:spid="_x0000_s1029" style="width:519.25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" fillcolor="#bfbfbf" strokecolor="#bfbfbf" strokeweight="3pt">
              <v:shadow on="t" color="#d31145" opacity=".5" offset="1pt"/>
              <v:textbox>
                <w:txbxContent>
                  <w:p w:rsidR="004A4B0F" w:rsidRDefault="004A4B0F" w:rsidP="000A36C7">
                    <w:pPr>
                      <w:jc w:val="center"/>
                    </w:pPr>
                    <w:r>
                      <w:t xml:space="preserve">• </w:t>
                    </w:r>
                    <w:r>
                      <w:fldChar w:fldCharType="begin"/>
                    </w:r>
                    <w:r>
                      <w:instrText xml:space="preserve"> PAGE   \* MERGEFORMAT </w:instrText>
                    </w:r>
                    <w:r>
                      <w:fldChar w:fldCharType="separate"/>
                    </w:r>
                    <w:r w:rsidR="00EA4F50">
                      <w:rPr>
                        <w:noProof/>
                      </w:rPr>
                      <w:t>18</w:t>
                    </w:r>
                    <w:r>
                      <w:rPr>
                        <w:noProof/>
                      </w:rPr>
                      <w:fldChar w:fldCharType="end"/>
                    </w:r>
                    <w:r>
                      <w:t xml:space="preserve"> •</w:t>
                    </w:r>
                  </w:p>
                </w:txbxContent>
              </v:textbox>
              <w10:anchorlock/>
            </v:roundrect>
          </w:pict>
        </mc:Fallback>
      </mc:AlternateContent>
    </w:r>
  </w:p>
  <w:p w:rsidR="004A4B0F" w:rsidRDefault="004A4B0F" w:rsidP="00B70B4B">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inline distT="0" distB="0" distL="0" distR="0">
              <wp:extent cx="9460865" cy="340360"/>
              <wp:effectExtent l="19050" t="19050" r="45085" b="59690"/>
              <wp:docPr id="6"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086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2E5340">
                          <w:pPr>
                            <w:jc w:val="center"/>
                          </w:pPr>
                          <w:r>
                            <w:t xml:space="preserve">• </w:t>
                          </w:r>
                          <w:r>
                            <w:fldChar w:fldCharType="begin"/>
                          </w:r>
                          <w:r>
                            <w:instrText xml:space="preserve"> PAGE   \* MERGEFORMAT </w:instrText>
                          </w:r>
                          <w:r>
                            <w:fldChar w:fldCharType="separate"/>
                          </w:r>
                          <w:r w:rsidR="00EA4F50">
                            <w:rPr>
                              <w:noProof/>
                            </w:rPr>
                            <w:t>63</w:t>
                          </w:r>
                          <w:r>
                            <w:rPr>
                              <w:noProof/>
                            </w:rPr>
                            <w:fldChar w:fldCharType="end"/>
                          </w:r>
                          <w:r>
                            <w:t xml:space="preserve"> •</w:t>
                          </w:r>
                        </w:p>
                      </w:txbxContent>
                    </wps:txbx>
                    <wps:bodyPr rot="0" vert="horz" wrap="square" lIns="91440" tIns="45720" rIns="91440" bIns="45720" anchor="t" anchorCtr="0" upright="1">
                      <a:noAutofit/>
                    </wps:bodyPr>
                  </wps:wsp>
                </a:graphicData>
              </a:graphic>
            </wp:inline>
          </w:drawing>
        </mc:Choice>
        <mc:Fallback>
          <w:pict>
            <v:roundrect id="AutoShape 218" o:spid="_x0000_s1046" style="width:744.95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" fillcolor="#bfbfbf" strokecolor="#bfbfbf" strokeweight="3pt">
              <v:shadow on="t" color="#d31145" opacity=".5" offset="1pt"/>
              <v:textbox>
                <w:txbxContent>
                  <w:p w:rsidR="004A4B0F" w:rsidRDefault="004A4B0F" w:rsidP="002E5340">
                    <w:pPr>
                      <w:jc w:val="center"/>
                    </w:pPr>
                    <w:r>
                      <w:t xml:space="preserve">• </w:t>
                    </w:r>
                    <w:r>
                      <w:fldChar w:fldCharType="begin"/>
                    </w:r>
                    <w:r>
                      <w:instrText xml:space="preserve"> PAGE   \* MERGEFORMAT </w:instrText>
                    </w:r>
                    <w:r>
                      <w:fldChar w:fldCharType="separate"/>
                    </w:r>
                    <w:r w:rsidR="00EA4F50">
                      <w:rPr>
                        <w:noProof/>
                      </w:rPr>
                      <w:t>63</w:t>
                    </w:r>
                    <w:r>
                      <w:rPr>
                        <w:noProof/>
                      </w:rPr>
                      <w:fldChar w:fldCharType="end"/>
                    </w:r>
                    <w:r>
                      <w:t xml:space="preserve"> •</w:t>
                    </w:r>
                  </w:p>
                </w:txbxContent>
              </v:textbox>
              <w10:anchorlock/>
            </v:round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inline distT="0" distB="0" distL="0" distR="0">
              <wp:extent cx="6562725" cy="340360"/>
              <wp:effectExtent l="19050" t="19050" r="47625" b="59690"/>
              <wp:docPr id="3"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2E5340">
                          <w:pPr>
                            <w:jc w:val="center"/>
                          </w:pPr>
                          <w:r>
                            <w:t xml:space="preserve">• </w:t>
                          </w:r>
                          <w:r>
                            <w:fldChar w:fldCharType="begin"/>
                          </w:r>
                          <w:r>
                            <w:instrText xml:space="preserve"> PAGE   \* MERGEFORMAT </w:instrText>
                          </w:r>
                          <w:r>
                            <w:fldChar w:fldCharType="separate"/>
                          </w:r>
                          <w:r w:rsidR="00EA4F50">
                            <w:rPr>
                              <w:noProof/>
                            </w:rPr>
                            <w:t>127</w:t>
                          </w:r>
                          <w:r>
                            <w:rPr>
                              <w:noProof/>
                            </w:rPr>
                            <w:fldChar w:fldCharType="end"/>
                          </w:r>
                          <w:r>
                            <w:t xml:space="preserve"> •</w:t>
                          </w:r>
                        </w:p>
                      </w:txbxContent>
                    </wps:txbx>
                    <wps:bodyPr rot="0" vert="horz" wrap="square" lIns="91440" tIns="45720" rIns="91440" bIns="45720" anchor="t" anchorCtr="0" upright="1">
                      <a:noAutofit/>
                    </wps:bodyPr>
                  </wps:wsp>
                </a:graphicData>
              </a:graphic>
            </wp:inline>
          </w:drawing>
        </mc:Choice>
        <mc:Fallback>
          <w:pict>
            <v:roundrect id="AutoShape 216" o:spid="_x0000_s1048" style="width:516.75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" fillcolor="#bfbfbf" strokecolor="#bfbfbf" strokeweight="3pt">
              <v:shadow on="t" color="#d31145" opacity=".5" offset="1pt"/>
              <v:textbox>
                <w:txbxContent>
                  <w:p w:rsidR="004A4B0F" w:rsidRDefault="004A4B0F" w:rsidP="002E5340">
                    <w:pPr>
                      <w:jc w:val="center"/>
                    </w:pPr>
                    <w:r>
                      <w:t xml:space="preserve">• </w:t>
                    </w:r>
                    <w:r>
                      <w:fldChar w:fldCharType="begin"/>
                    </w:r>
                    <w:r>
                      <w:instrText xml:space="preserve"> PAGE   \* MERGEFORMAT </w:instrText>
                    </w:r>
                    <w:r>
                      <w:fldChar w:fldCharType="separate"/>
                    </w:r>
                    <w:r w:rsidR="00EA4F50">
                      <w:rPr>
                        <w:noProof/>
                      </w:rPr>
                      <w:t>127</w:t>
                    </w:r>
                    <w:r>
                      <w:rPr>
                        <w:noProof/>
                      </w:rPr>
                      <w:fldChar w:fldCharType="end"/>
                    </w:r>
                    <w:r>
                      <w:t xml:space="preserve"> •</w:t>
                    </w:r>
                  </w:p>
                </w:txbxContent>
              </v:textbox>
              <w10:anchorlock/>
            </v:round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B70B4B">
    <w:pPr>
      <w:pStyle w:val="Footer"/>
      <w:jc w:val="center"/>
    </w:pPr>
    <w:r>
      <w:rPr>
        <w:noProof/>
        <w:lang w:eastAsia="en-GB"/>
      </w:rPr>
      <mc:AlternateContent>
        <mc:Choice Requires="wps">
          <w:drawing>
            <wp:anchor distT="0" distB="0" distL="114300" distR="114300" simplePos="0" relativeHeight="251653120" behindDoc="1" locked="0" layoutInCell="1" allowOverlap="1">
              <wp:simplePos x="0" y="0"/>
              <wp:positionH relativeFrom="column">
                <wp:posOffset>19050</wp:posOffset>
              </wp:positionH>
              <wp:positionV relativeFrom="paragraph">
                <wp:posOffset>-196850</wp:posOffset>
              </wp:positionV>
              <wp:extent cx="9853930" cy="340360"/>
              <wp:effectExtent l="19050" t="19050" r="33020" b="59690"/>
              <wp:wrapTight wrapText="bothSides">
                <wp:wrapPolygon edited="0">
                  <wp:start x="-42" y="-1209"/>
                  <wp:lineTo x="-42" y="22970"/>
                  <wp:lineTo x="0" y="24179"/>
                  <wp:lineTo x="21631" y="24179"/>
                  <wp:lineTo x="21631" y="-1209"/>
                  <wp:lineTo x="-42" y="-1209"/>
                </wp:wrapPolygon>
              </wp:wrapTight>
              <wp:docPr id="2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3930"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0A36C7">
                          <w:pPr>
                            <w:jc w:val="center"/>
                          </w:pPr>
                          <w:r>
                            <w:t xml:space="preserve">• </w:t>
                          </w:r>
                          <w:r>
                            <w:fldChar w:fldCharType="begin"/>
                          </w:r>
                          <w:r>
                            <w:instrText xml:space="preserve"> PAGE   \* MERGEFORMAT </w:instrText>
                          </w:r>
                          <w:r>
                            <w:fldChar w:fldCharType="separate"/>
                          </w:r>
                          <w:r w:rsidR="00EA4F50">
                            <w:rPr>
                              <w:noProof/>
                            </w:rPr>
                            <w:t>21</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31" style="position:absolute;left:0;text-align:left;margin-left:1.5pt;margin-top:-15.5pt;width:775.9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" fillcolor="#bfbfbf" strokecolor="#bfbfbf" strokeweight="3pt">
              <v:shadow on="t" color="#d31145" opacity=".5" offset="1pt"/>
              <v:textbox>
                <w:txbxContent>
                  <w:p w:rsidR="004A4B0F" w:rsidRDefault="004A4B0F" w:rsidP="000A36C7">
                    <w:pPr>
                      <w:jc w:val="center"/>
                    </w:pPr>
                    <w:r>
                      <w:t xml:space="preserve">• </w:t>
                    </w:r>
                    <w:r>
                      <w:fldChar w:fldCharType="begin"/>
                    </w:r>
                    <w:r>
                      <w:instrText xml:space="preserve"> PAGE   \* MERGEFORMAT </w:instrText>
                    </w:r>
                    <w:r>
                      <w:fldChar w:fldCharType="separate"/>
                    </w:r>
                    <w:r w:rsidR="00EA4F50">
                      <w:rPr>
                        <w:noProof/>
                      </w:rPr>
                      <w:t>21</w:t>
                    </w:r>
                    <w:r>
                      <w:rPr>
                        <w:noProof/>
                      </w:rPr>
                      <w:fldChar w:fldCharType="end"/>
                    </w:r>
                    <w:r>
                      <w:t xml:space="preserve"> •</w:t>
                    </w:r>
                  </w:p>
                </w:txbxContent>
              </v:textbox>
              <w10:wrap type="tight"/>
            </v:round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4A4B0F" w:rsidRDefault="004A4B0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B70B4B">
    <w:pPr>
      <w:pStyle w:val="Footer"/>
      <w:jc w:val="center"/>
    </w:pPr>
    <w:r>
      <w:rPr>
        <w:noProof/>
        <w:lang w:eastAsia="en-GB"/>
      </w:rPr>
      <mc:AlternateContent>
        <mc:Choice Requires="wps">
          <w:drawing>
            <wp:inline distT="0" distB="0" distL="0" distR="0">
              <wp:extent cx="9592310" cy="340360"/>
              <wp:effectExtent l="19050" t="19050" r="46990" b="59690"/>
              <wp:docPr id="24"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2310"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0A36C7">
                          <w:pPr>
                            <w:jc w:val="center"/>
                          </w:pPr>
                          <w:r>
                            <w:t xml:space="preserve">• </w:t>
                          </w:r>
                          <w:r>
                            <w:fldChar w:fldCharType="begin"/>
                          </w:r>
                          <w:r>
                            <w:instrText xml:space="preserve"> PAGE   \* MERGEFORMAT </w:instrText>
                          </w:r>
                          <w:r>
                            <w:fldChar w:fldCharType="separate"/>
                          </w:r>
                          <w:r w:rsidR="00EA4F50">
                            <w:rPr>
                              <w:noProof/>
                            </w:rPr>
                            <w:t>23</w:t>
                          </w:r>
                          <w:r>
                            <w:rPr>
                              <w:noProof/>
                            </w:rPr>
                            <w:fldChar w:fldCharType="end"/>
                          </w:r>
                          <w:r>
                            <w:t xml:space="preserve"> •</w:t>
                          </w:r>
                        </w:p>
                      </w:txbxContent>
                    </wps:txbx>
                    <wps:bodyPr rot="0" vert="horz" wrap="square" lIns="91440" tIns="45720" rIns="91440" bIns="45720" anchor="t" anchorCtr="0" upright="1">
                      <a:noAutofit/>
                    </wps:bodyPr>
                  </wps:wsp>
                </a:graphicData>
              </a:graphic>
            </wp:inline>
          </w:drawing>
        </mc:Choice>
        <mc:Fallback>
          <w:pict>
            <v:roundrect id="AutoShape 228" o:spid="_x0000_s1033" style="width:755.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" fillcolor="#bfbfbf" strokecolor="#bfbfbf" strokeweight="3pt">
              <v:shadow on="t" color="#d31145" opacity=".5" offset="1pt"/>
              <v:textbox>
                <w:txbxContent>
                  <w:p w:rsidR="004A4B0F" w:rsidRDefault="004A4B0F" w:rsidP="000A36C7">
                    <w:pPr>
                      <w:jc w:val="center"/>
                    </w:pPr>
                    <w:r>
                      <w:t xml:space="preserve">• </w:t>
                    </w:r>
                    <w:r>
                      <w:fldChar w:fldCharType="begin"/>
                    </w:r>
                    <w:r>
                      <w:instrText xml:space="preserve"> PAGE   \* MERGEFORMAT </w:instrText>
                    </w:r>
                    <w:r>
                      <w:fldChar w:fldCharType="separate"/>
                    </w:r>
                    <w:r w:rsidR="00EA4F50">
                      <w:rPr>
                        <w:noProof/>
                      </w:rPr>
                      <w:t>23</w:t>
                    </w:r>
                    <w:r>
                      <w:rPr>
                        <w:noProof/>
                      </w:rPr>
                      <w:fldChar w:fldCharType="end"/>
                    </w:r>
                    <w:r>
                      <w:t xml:space="preserve"> •</w:t>
                    </w:r>
                  </w:p>
                </w:txbxContent>
              </v:textbox>
              <w10:anchorlock/>
            </v:round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B70B4B">
    <w:pPr>
      <w:pStyle w:val="Footer"/>
      <w:jc w:val="center"/>
    </w:pPr>
    <w:r>
      <w:rPr>
        <w:noProof/>
        <w:lang w:eastAsia="en-GB"/>
      </w:rPr>
      <mc:AlternateContent>
        <mc:Choice Requires="wps">
          <w:drawing>
            <wp:inline distT="0" distB="0" distL="0" distR="0">
              <wp:extent cx="6594475" cy="340360"/>
              <wp:effectExtent l="19050" t="19050" r="34925" b="59690"/>
              <wp:docPr id="2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447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0A36C7">
                          <w:pPr>
                            <w:jc w:val="center"/>
                          </w:pPr>
                          <w:r>
                            <w:t xml:space="preserve">• </w:t>
                          </w:r>
                          <w:r>
                            <w:fldChar w:fldCharType="begin"/>
                          </w:r>
                          <w:r>
                            <w:instrText xml:space="preserve"> PAGE   \* MERGEFORMAT </w:instrText>
                          </w:r>
                          <w:r>
                            <w:fldChar w:fldCharType="separate"/>
                          </w:r>
                          <w:r w:rsidR="00EA4F50">
                            <w:rPr>
                              <w:noProof/>
                            </w:rPr>
                            <w:t>50</w:t>
                          </w:r>
                          <w:r>
                            <w:rPr>
                              <w:noProof/>
                            </w:rPr>
                            <w:fldChar w:fldCharType="end"/>
                          </w:r>
                          <w:r>
                            <w:t xml:space="preserve"> •</w:t>
                          </w:r>
                        </w:p>
                      </w:txbxContent>
                    </wps:txbx>
                    <wps:bodyPr rot="0" vert="horz" wrap="square" lIns="91440" tIns="45720" rIns="91440" bIns="45720" anchor="t" anchorCtr="0" upright="1">
                      <a:noAutofit/>
                    </wps:bodyPr>
                  </wps:wsp>
                </a:graphicData>
              </a:graphic>
            </wp:inline>
          </w:drawing>
        </mc:Choice>
        <mc:Fallback>
          <w:pict>
            <v:roundrect id="AutoShape 226" o:spid="_x0000_s1035" style="width:519.25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" fillcolor="#bfbfbf" strokecolor="#bfbfbf" strokeweight="3pt">
              <v:shadow on="t" color="#d31145" opacity=".5" offset="1pt"/>
              <v:textbox>
                <w:txbxContent>
                  <w:p w:rsidR="004A4B0F" w:rsidRDefault="004A4B0F" w:rsidP="000A36C7">
                    <w:pPr>
                      <w:jc w:val="center"/>
                    </w:pPr>
                    <w:r>
                      <w:t xml:space="preserve">• </w:t>
                    </w:r>
                    <w:r>
                      <w:fldChar w:fldCharType="begin"/>
                    </w:r>
                    <w:r>
                      <w:instrText xml:space="preserve"> PAGE   \* MERGEFORMAT </w:instrText>
                    </w:r>
                    <w:r>
                      <w:fldChar w:fldCharType="separate"/>
                    </w:r>
                    <w:r w:rsidR="00EA4F50">
                      <w:rPr>
                        <w:noProof/>
                      </w:rPr>
                      <w:t>50</w:t>
                    </w:r>
                    <w:r>
                      <w:rPr>
                        <w:noProof/>
                      </w:rPr>
                      <w:fldChar w:fldCharType="end"/>
                    </w:r>
                    <w:r>
                      <w:t xml:space="preserve"> •</w:t>
                    </w:r>
                  </w:p>
                </w:txbxContent>
              </v:textbox>
              <w10:anchorlock/>
            </v:round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inline distT="0" distB="0" distL="0" distR="0">
              <wp:extent cx="9641840" cy="340360"/>
              <wp:effectExtent l="19050" t="19050" r="35560" b="59690"/>
              <wp:docPr id="1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1840"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5A4493">
                          <w:pPr>
                            <w:jc w:val="center"/>
                          </w:pPr>
                          <w:r>
                            <w:t xml:space="preserve">• </w:t>
                          </w:r>
                          <w:r>
                            <w:fldChar w:fldCharType="begin"/>
                          </w:r>
                          <w:r>
                            <w:instrText xml:space="preserve"> PAGE   \* MERGEFORMAT </w:instrText>
                          </w:r>
                          <w:r>
                            <w:fldChar w:fldCharType="separate"/>
                          </w:r>
                          <w:r w:rsidR="00EA4F50">
                            <w:rPr>
                              <w:noProof/>
                            </w:rPr>
                            <w:t>55</w:t>
                          </w:r>
                          <w:r>
                            <w:rPr>
                              <w:noProof/>
                            </w:rPr>
                            <w:fldChar w:fldCharType="end"/>
                          </w:r>
                          <w:r>
                            <w:t xml:space="preserve"> •</w:t>
                          </w:r>
                        </w:p>
                      </w:txbxContent>
                    </wps:txbx>
                    <wps:bodyPr rot="0" vert="horz" wrap="square" lIns="91440" tIns="45720" rIns="91440" bIns="45720" anchor="t" anchorCtr="0" upright="1">
                      <a:noAutofit/>
                    </wps:bodyPr>
                  </wps:wsp>
                </a:graphicData>
              </a:graphic>
            </wp:inline>
          </w:drawing>
        </mc:Choice>
        <mc:Fallback>
          <w:pict>
            <v:roundrect id="AutoShape 224" o:spid="_x0000_s1037" style="width:759.2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" fillcolor="#bfbfbf" strokecolor="#bfbfbf" strokeweight="3pt">
              <v:shadow on="t" color="#d31145" opacity=".5" offset="1pt"/>
              <v:textbox>
                <w:txbxContent>
                  <w:p w:rsidR="004A4B0F" w:rsidRDefault="004A4B0F" w:rsidP="005A4493">
                    <w:pPr>
                      <w:jc w:val="center"/>
                    </w:pPr>
                    <w:r>
                      <w:t xml:space="preserve">• </w:t>
                    </w:r>
                    <w:r>
                      <w:fldChar w:fldCharType="begin"/>
                    </w:r>
                    <w:r>
                      <w:instrText xml:space="preserve"> PAGE   \* MERGEFORMAT </w:instrText>
                    </w:r>
                    <w:r>
                      <w:fldChar w:fldCharType="separate"/>
                    </w:r>
                    <w:r w:rsidR="00EA4F50">
                      <w:rPr>
                        <w:noProof/>
                      </w:rPr>
                      <w:t>55</w:t>
                    </w:r>
                    <w:r>
                      <w:rPr>
                        <w:noProof/>
                      </w:rPr>
                      <w:fldChar w:fldCharType="end"/>
                    </w:r>
                    <w:r>
                      <w:t xml:space="preserve"> •</w:t>
                    </w:r>
                  </w:p>
                </w:txbxContent>
              </v:textbox>
              <w10:anchorlock/>
            </v:round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CD7BD0">
    <w:pPr>
      <w:pStyle w:val="BodyText10"/>
    </w:pPr>
    <w:r>
      <w:rPr>
        <w:noProof/>
      </w:rPr>
      <mc:AlternateContent>
        <mc:Choice Requires="wps">
          <w:drawing>
            <wp:inline distT="0" distB="0" distL="0" distR="0">
              <wp:extent cx="6726555" cy="340360"/>
              <wp:effectExtent l="19050" t="19050" r="36195" b="59690"/>
              <wp:docPr id="1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2E5340">
                          <w:pPr>
                            <w:jc w:val="center"/>
                          </w:pPr>
                          <w:r>
                            <w:t xml:space="preserve">• </w:t>
                          </w:r>
                          <w:r>
                            <w:fldChar w:fldCharType="begin"/>
                          </w:r>
                          <w:r>
                            <w:instrText xml:space="preserve"> PAGE   \* MERGEFORMAT </w:instrText>
                          </w:r>
                          <w:r>
                            <w:fldChar w:fldCharType="separate"/>
                          </w:r>
                          <w:r w:rsidR="00EA4F50">
                            <w:rPr>
                              <w:noProof/>
                            </w:rPr>
                            <w:t>59</w:t>
                          </w:r>
                          <w:r>
                            <w:rPr>
                              <w:noProof/>
                            </w:rPr>
                            <w:fldChar w:fldCharType="end"/>
                          </w:r>
                          <w:r>
                            <w:t xml:space="preserve"> •</w:t>
                          </w:r>
                        </w:p>
                      </w:txbxContent>
                    </wps:txbx>
                    <wps:bodyPr rot="0" vert="horz" wrap="square" lIns="91440" tIns="45720" rIns="91440" bIns="45720" anchor="t" anchorCtr="0" upright="1">
                      <a:noAutofit/>
                    </wps:bodyPr>
                  </wps:wsp>
                </a:graphicData>
              </a:graphic>
            </wp:inline>
          </w:drawing>
        </mc:Choice>
        <mc:Fallback>
          <w:pict>
            <v:roundrect id="AutoShape 222" o:spid="_x0000_s1039" style="width:529.65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" fillcolor="#bfbfbf" strokecolor="#bfbfbf" strokeweight="3pt">
              <v:shadow on="t" color="#d31145" opacity=".5" offset="1pt"/>
              <v:textbox>
                <w:txbxContent>
                  <w:p w:rsidR="004A4B0F" w:rsidRDefault="004A4B0F" w:rsidP="002E5340">
                    <w:pPr>
                      <w:jc w:val="center"/>
                    </w:pPr>
                    <w:r>
                      <w:t xml:space="preserve">• </w:t>
                    </w:r>
                    <w:r>
                      <w:fldChar w:fldCharType="begin"/>
                    </w:r>
                    <w:r>
                      <w:instrText xml:space="preserve"> PAGE   \* MERGEFORMAT </w:instrText>
                    </w:r>
                    <w:r>
                      <w:fldChar w:fldCharType="separate"/>
                    </w:r>
                    <w:r w:rsidR="00EA4F50">
                      <w:rPr>
                        <w:noProof/>
                      </w:rPr>
                      <w:t>59</w:t>
                    </w:r>
                    <w:r>
                      <w:rPr>
                        <w:noProof/>
                      </w:rPr>
                      <w:fldChar w:fldCharType="end"/>
                    </w:r>
                    <w:r>
                      <w:t xml:space="preserve"> •</w:t>
                    </w:r>
                  </w:p>
                </w:txbxContent>
              </v:textbox>
              <w10:anchorlock/>
            </v:round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inline distT="0" distB="0" distL="0" distR="0">
              <wp:extent cx="9853930" cy="340360"/>
              <wp:effectExtent l="19050" t="19050" r="33020" b="59690"/>
              <wp:docPr id="13"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3930"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2E5340">
                          <w:pPr>
                            <w:jc w:val="center"/>
                          </w:pPr>
                          <w:r>
                            <w:t xml:space="preserve">• </w:t>
                          </w:r>
                          <w:r>
                            <w:fldChar w:fldCharType="begin"/>
                          </w:r>
                          <w:r>
                            <w:instrText xml:space="preserve"> PAGE   \* MERGEFORMAT </w:instrText>
                          </w:r>
                          <w:r>
                            <w:fldChar w:fldCharType="separate"/>
                          </w:r>
                          <w:r w:rsidR="00EA4F50">
                            <w:rPr>
                              <w:noProof/>
                            </w:rPr>
                            <w:t>61</w:t>
                          </w:r>
                          <w:r>
                            <w:rPr>
                              <w:noProof/>
                            </w:rPr>
                            <w:fldChar w:fldCharType="end"/>
                          </w:r>
                          <w:r>
                            <w:t xml:space="preserve"> •</w:t>
                          </w:r>
                        </w:p>
                      </w:txbxContent>
                    </wps:txbx>
                    <wps:bodyPr rot="0" vert="horz" wrap="square" lIns="91440" tIns="45720" rIns="91440" bIns="45720" anchor="t" anchorCtr="0" upright="1">
                      <a:noAutofit/>
                    </wps:bodyPr>
                  </wps:wsp>
                </a:graphicData>
              </a:graphic>
            </wp:inline>
          </w:drawing>
        </mc:Choice>
        <mc:Fallback>
          <w:pict>
            <v:roundrect id="AutoShape 220" o:spid="_x0000_s1042" style="width:775.9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" fillcolor="#bfbfbf" strokecolor="#bfbfbf" strokeweight="3pt">
              <v:shadow on="t" color="#d31145" opacity=".5" offset="1pt"/>
              <v:textbox>
                <w:txbxContent>
                  <w:p w:rsidR="004A4B0F" w:rsidRDefault="004A4B0F" w:rsidP="002E5340">
                    <w:pPr>
                      <w:jc w:val="center"/>
                    </w:pPr>
                    <w:r>
                      <w:t xml:space="preserve">• </w:t>
                    </w:r>
                    <w:r>
                      <w:fldChar w:fldCharType="begin"/>
                    </w:r>
                    <w:r>
                      <w:instrText xml:space="preserve"> PAGE   \* MERGEFORMAT </w:instrText>
                    </w:r>
                    <w:r>
                      <w:fldChar w:fldCharType="separate"/>
                    </w:r>
                    <w:r w:rsidR="00EA4F50">
                      <w:rPr>
                        <w:noProof/>
                      </w:rPr>
                      <w:t>61</w:t>
                    </w:r>
                    <w:r>
                      <w:rPr>
                        <w:noProof/>
                      </w:rPr>
                      <w:fldChar w:fldCharType="end"/>
                    </w:r>
                    <w:r>
                      <w:t xml:space="preserve"> •</w:t>
                    </w:r>
                  </w:p>
                </w:txbxContent>
              </v:textbox>
              <w10:anchorlock/>
            </v:round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anchor distT="0" distB="0" distL="114300" distR="114300" simplePos="0" relativeHeight="251655168" behindDoc="1" locked="0" layoutInCell="1" allowOverlap="1">
              <wp:simplePos x="0" y="0"/>
              <wp:positionH relativeFrom="column">
                <wp:posOffset>19050</wp:posOffset>
              </wp:positionH>
              <wp:positionV relativeFrom="paragraph">
                <wp:posOffset>-295275</wp:posOffset>
              </wp:positionV>
              <wp:extent cx="6726555" cy="340360"/>
              <wp:effectExtent l="19050" t="19050" r="36195" b="59690"/>
              <wp:wrapTight wrapText="bothSides">
                <wp:wrapPolygon edited="0">
                  <wp:start x="-61" y="-1209"/>
                  <wp:lineTo x="-61" y="22970"/>
                  <wp:lineTo x="0" y="24179"/>
                  <wp:lineTo x="21655" y="24179"/>
                  <wp:lineTo x="21655" y="-1209"/>
                  <wp:lineTo x="-61" y="-1209"/>
                </wp:wrapPolygon>
              </wp:wrapTight>
              <wp:docPr id="8"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4A4B0F" w:rsidRDefault="004A4B0F" w:rsidP="00F01540">
                          <w:pPr>
                            <w:jc w:val="center"/>
                          </w:pPr>
                          <w:r>
                            <w:t xml:space="preserve">• </w:t>
                          </w:r>
                          <w:r>
                            <w:fldChar w:fldCharType="begin"/>
                          </w:r>
                          <w:r>
                            <w:instrText xml:space="preserve"> PAGE   \* MERGEFORMAT </w:instrText>
                          </w:r>
                          <w:r>
                            <w:fldChar w:fldCharType="separate"/>
                          </w:r>
                          <w:r w:rsidR="00EA4F50">
                            <w:rPr>
                              <w:noProof/>
                            </w:rPr>
                            <w:t>62</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44" style="position:absolute;left:0;text-align:left;margin-left:1.5pt;margin-top:-23.25pt;width:529.65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" fillcolor="#bfbfbf" strokecolor="#bfbfbf" strokeweight="3pt">
              <v:shadow on="t" color="#d31145" opacity=".5" offset="1pt"/>
              <v:textbox>
                <w:txbxContent>
                  <w:p w:rsidR="004A4B0F" w:rsidRDefault="004A4B0F" w:rsidP="00F01540">
                    <w:pPr>
                      <w:jc w:val="center"/>
                    </w:pPr>
                    <w:r>
                      <w:t xml:space="preserve">• </w:t>
                    </w:r>
                    <w:r>
                      <w:fldChar w:fldCharType="begin"/>
                    </w:r>
                    <w:r>
                      <w:instrText xml:space="preserve"> PAGE   \* MERGEFORMAT </w:instrText>
                    </w:r>
                    <w:r>
                      <w:fldChar w:fldCharType="separate"/>
                    </w:r>
                    <w:r w:rsidR="00EA4F50">
                      <w:rPr>
                        <w:noProof/>
                      </w:rPr>
                      <w:t>62</w:t>
                    </w:r>
                    <w:r>
                      <w:rPr>
                        <w:noProof/>
                      </w:rPr>
                      <w:fldChar w:fldCharType="end"/>
                    </w:r>
                    <w:r>
                      <w:t xml:space="preserve"> •</w:t>
                    </w:r>
                  </w:p>
                </w:txbxContent>
              </v:textbox>
              <w10:wrap type="tight"/>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B0F" w:rsidRDefault="004A4B0F" w:rsidP="00124FDC">
      <w:pPr>
        <w:spacing w:after="0"/>
      </w:pPr>
      <w:r>
        <w:separator/>
      </w:r>
    </w:p>
  </w:footnote>
  <w:footnote w:type="continuationSeparator" w:id="0">
    <w:p w:rsidR="004A4B0F" w:rsidRDefault="004A4B0F" w:rsidP="00124F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3929BC">
    <w:pPr>
      <w:pStyle w:val="Header"/>
      <w:tabs>
        <w:tab w:val="clear" w:pos="4320"/>
        <w:tab w:val="clear" w:pos="8640"/>
        <w:tab w:val="left" w:pos="1380"/>
      </w:tabs>
    </w:pPr>
    <w:r>
      <w:rPr>
        <w:noProof/>
        <w:lang w:eastAsia="en-GB"/>
      </w:rPr>
      <w:drawing>
        <wp:anchor distT="0" distB="0" distL="114300" distR="114300" simplePos="0" relativeHeight="251652096" behindDoc="1" locked="0" layoutInCell="1" allowOverlap="1" wp14:anchorId="22407BFF" wp14:editId="1EE1AE2B">
          <wp:simplePos x="0" y="0"/>
          <wp:positionH relativeFrom="column">
            <wp:posOffset>-1127125</wp:posOffset>
          </wp:positionH>
          <wp:positionV relativeFrom="paragraph">
            <wp:posOffset>-457200</wp:posOffset>
          </wp:positionV>
          <wp:extent cx="7534910" cy="10649585"/>
          <wp:effectExtent l="19050" t="0" r="8890" b="0"/>
          <wp:wrapNone/>
          <wp:docPr id="97" name="Picture 97" descr="In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ide1"/>
                  <pic:cNvPicPr>
                    <a:picLocks noChangeAspect="1" noChangeArrowheads="1"/>
                  </pic:cNvPicPr>
                </pic:nvPicPr>
                <pic:blipFill>
                  <a:blip r:embed="rId1"/>
                  <a:srcRect/>
                  <a:stretch>
                    <a:fillRect/>
                  </a:stretch>
                </pic:blipFill>
                <pic:spPr bwMode="auto">
                  <a:xfrm>
                    <a:off x="0" y="0"/>
                    <a:ext cx="7534910" cy="10649585"/>
                  </a:xfrm>
                  <a:prstGeom prst="rect">
                    <a:avLst/>
                  </a:prstGeom>
                  <a:noFill/>
                </pic:spPr>
              </pic:pic>
            </a:graphicData>
          </a:graphic>
        </wp:anchor>
      </w:drawing>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Pr="009A49D9" w:rsidRDefault="004A4B0F" w:rsidP="009E65C2">
    <w:pPr>
      <w:pStyle w:val="BodyText10"/>
    </w:pPr>
    <w:r>
      <w:rPr>
        <w:noProof/>
      </w:rPr>
      <mc:AlternateContent>
        <mc:Choice Requires="wps">
          <w:drawing>
            <wp:inline distT="0" distB="0" distL="0" distR="0">
              <wp:extent cx="9441815" cy="446405"/>
              <wp:effectExtent l="0" t="0" r="45085" b="29845"/>
              <wp:docPr id="25"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181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29" o:spid="_x0000_s1032" style="width:743.4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v:textbox>
              <w10:anchorlock/>
            </v:round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Pr="009A49D9" w:rsidRDefault="004A4B0F" w:rsidP="009E65C2">
    <w:pPr>
      <w:pStyle w:val="BodyText10"/>
    </w:pPr>
    <w:r>
      <w:rPr>
        <w:noProof/>
      </w:rPr>
      <mc:AlternateContent>
        <mc:Choice Requires="wps">
          <w:drawing>
            <wp:inline distT="0" distB="0" distL="0" distR="0">
              <wp:extent cx="6613525" cy="446405"/>
              <wp:effectExtent l="0" t="0" r="34925" b="29845"/>
              <wp:docPr id="23"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27" o:spid="_x0000_s1034" style="width:520.7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v:textbox>
              <w10:anchorlock/>
            </v:round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inline distT="0" distB="0" distL="0" distR="0">
              <wp:extent cx="9859645" cy="446405"/>
              <wp:effectExtent l="0" t="0" r="46355" b="29845"/>
              <wp:docPr id="20"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964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284C2C">
                          <w:pPr>
                            <w:spacing w:after="0"/>
                            <w:ind w:firstLine="720"/>
                            <w:jc w:val="center"/>
                            <w:rPr>
                              <w:color w:val="FFFFFF"/>
                            </w:rPr>
                          </w:pP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25" o:spid="_x0000_s1036" style="width:776.3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284C2C">
                    <w:pPr>
                      <w:spacing w:after="0"/>
                      <w:ind w:firstLine="720"/>
                      <w:jc w:val="center"/>
                      <w:rPr>
                        <w:color w:val="FFFFFF"/>
                      </w:rPr>
                    </w:pPr>
                  </w:p>
                </w:txbxContent>
              </v:textbox>
              <w10:anchorlock/>
            </v:round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Pr="009A49D9" w:rsidRDefault="004A4B0F" w:rsidP="002E5340">
    <w:pPr>
      <w:pStyle w:val="BodyText10"/>
    </w:pPr>
    <w:r>
      <w:rPr>
        <w:noProof/>
      </w:rPr>
      <mc:AlternateContent>
        <mc:Choice Requires="wps">
          <w:drawing>
            <wp:inline distT="0" distB="0" distL="0" distR="0">
              <wp:extent cx="6833235" cy="446405"/>
              <wp:effectExtent l="0" t="0" r="43815" b="29845"/>
              <wp:docPr id="17"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323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23" o:spid="_x0000_s1038" style="width:538.0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v:textbox>
              <w10:anchorlock/>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r>
      <w:rPr>
        <w:noProof/>
        <w:lang w:eastAsia="en-GB"/>
      </w:rPr>
      <w:drawing>
        <wp:anchor distT="0" distB="0" distL="114300" distR="114300" simplePos="0" relativeHeight="251651072" behindDoc="1" locked="0" layoutInCell="1" allowOverlap="1" wp14:anchorId="52E37ADE" wp14:editId="7BED68EB">
          <wp:simplePos x="0" y="0"/>
          <wp:positionH relativeFrom="column">
            <wp:posOffset>-468630</wp:posOffset>
          </wp:positionH>
          <wp:positionV relativeFrom="paragraph">
            <wp:posOffset>-547370</wp:posOffset>
          </wp:positionV>
          <wp:extent cx="7652385" cy="10815320"/>
          <wp:effectExtent l="19050" t="0" r="5715" b="0"/>
          <wp:wrapNone/>
          <wp:docPr id="98" name="Picture 98"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 Cover"/>
                  <pic:cNvPicPr>
                    <a:picLocks noChangeAspect="1" noChangeArrowheads="1"/>
                  </pic:cNvPicPr>
                </pic:nvPicPr>
                <pic:blipFill>
                  <a:blip r:embed="rId1"/>
                  <a:srcRect/>
                  <a:stretch>
                    <a:fillRect/>
                  </a:stretch>
                </pic:blipFill>
                <pic:spPr bwMode="auto">
                  <a:xfrm>
                    <a:off x="0" y="0"/>
                    <a:ext cx="7652385" cy="10815320"/>
                  </a:xfrm>
                  <a:prstGeom prst="rect">
                    <a:avLst/>
                  </a:prstGeom>
                  <a:noFill/>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anchor distT="0" distB="0" distL="114300" distR="114300" simplePos="0" relativeHeight="251661312" behindDoc="0" locked="0" layoutInCell="0" allowOverlap="1">
              <wp:simplePos x="0" y="0"/>
              <wp:positionH relativeFrom="margin">
                <wp:posOffset>2529205</wp:posOffset>
              </wp:positionH>
              <wp:positionV relativeFrom="margin">
                <wp:posOffset>1626235</wp:posOffset>
              </wp:positionV>
              <wp:extent cx="5237480" cy="106680"/>
              <wp:effectExtent l="0" t="0" r="0" b="0"/>
              <wp:wrapNone/>
              <wp:docPr id="15" name="WordArt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4B0F" w:rsidRDefault="004A4B0F" w:rsidP="00C5757D">
                          <w:pPr>
                            <w:pStyle w:val="NormalWeb"/>
                            <w:spacing w:before="0" w:after="0"/>
                            <w:jc w:val="center"/>
                            <w:rPr>
                              <w:szCs w:val="24"/>
                            </w:rP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WordArt 213" o:spid="_x0000_s1040" type="#_x0000_t202" style="position:absolute;left:0;text-align:left;margin-left:199.15pt;margin-top:128.05pt;width:412.4pt;height:8.4pt;rotation:-4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47iwIAAAY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" o:allowincell="f" filled="f" stroked="f">
              <v:stroke joinstyle="round"/>
              <o:lock v:ext="edit" shapetype="t"/>
              <v:textbox style="mso-fit-shape-to-text:t">
                <w:txbxContent>
                  <w:p w:rsidR="004A4B0F" w:rsidRDefault="004A4B0F" w:rsidP="00C5757D">
                    <w:pPr>
                      <w:pStyle w:val="NormalWeb"/>
                      <w:spacing w:before="0" w:after="0"/>
                      <w:jc w:val="center"/>
                      <w:rPr>
                        <w:szCs w:val="24"/>
                      </w:rP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inline distT="0" distB="0" distL="0" distR="0">
              <wp:extent cx="9859645" cy="446405"/>
              <wp:effectExtent l="0" t="0" r="46355" b="29845"/>
              <wp:docPr id="1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964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21" o:spid="_x0000_s1041" style="width:776.3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v:textbox>
              <w10:anchorlock/>
            </v:round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anchor distT="0" distB="0" distL="114300" distR="114300" simplePos="0" relativeHeight="251654144" behindDoc="1" locked="0" layoutInCell="1" allowOverlap="1">
              <wp:simplePos x="0" y="0"/>
              <wp:positionH relativeFrom="column">
                <wp:posOffset>0</wp:posOffset>
              </wp:positionH>
              <wp:positionV relativeFrom="paragraph">
                <wp:posOffset>89535</wp:posOffset>
              </wp:positionV>
              <wp:extent cx="6833235" cy="446405"/>
              <wp:effectExtent l="0" t="0" r="43815" b="29845"/>
              <wp:wrapTight wrapText="bothSides">
                <wp:wrapPolygon edited="0">
                  <wp:start x="0" y="0"/>
                  <wp:lineTo x="0" y="20279"/>
                  <wp:lineTo x="60" y="22122"/>
                  <wp:lineTo x="21678" y="22122"/>
                  <wp:lineTo x="21678" y="2765"/>
                  <wp:lineTo x="21618" y="0"/>
                  <wp:lineTo x="0" y="0"/>
                </wp:wrapPolygon>
              </wp:wrapTight>
              <wp:docPr id="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323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F01540">
                          <w:pPr>
                            <w:spacing w:after="0"/>
                            <w:ind w:firstLine="720"/>
                            <w:rPr>
                              <w:color w:val="FFFFFF"/>
                            </w:rPr>
                          </w:pP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26" o:spid="_x0000_s1043" style="position:absolute;left:0;text-align:left;margin-left:0;margin-top:7.05pt;width:538.05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F01540">
                    <w:pPr>
                      <w:spacing w:after="0"/>
                      <w:ind w:firstLine="720"/>
                      <w:rPr>
                        <w:color w:val="FFFFFF"/>
                      </w:rPr>
                    </w:pPr>
                  </w:p>
                </w:txbxContent>
              </v:textbox>
              <w10:wrap type="tight"/>
            </v:round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2E5340">
    <w:pPr>
      <w:pStyle w:val="BodyText10"/>
    </w:pPr>
    <w:r>
      <w:rPr>
        <w:noProof/>
      </w:rPr>
      <mc:AlternateContent>
        <mc:Choice Requires="wps">
          <w:drawing>
            <wp:inline distT="0" distB="0" distL="0" distR="0">
              <wp:extent cx="9831070" cy="446405"/>
              <wp:effectExtent l="0" t="0" r="36830" b="29845"/>
              <wp:docPr id="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107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19" o:spid="_x0000_s1045" style="width:774.1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451CE6">
                    <w:pPr>
                      <w:spacing w:after="0"/>
                      <w:ind w:firstLine="720"/>
                      <w:rPr>
                        <w:color w:val="FFFFFF"/>
                      </w:rPr>
                    </w:pPr>
                  </w:p>
                </w:txbxContent>
              </v:textbox>
              <w10:anchorlock/>
            </v:round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Pr="009A49D9" w:rsidRDefault="004A4B0F" w:rsidP="009E65C2">
    <w:pPr>
      <w:pStyle w:val="BodyText10"/>
    </w:pPr>
    <w:r>
      <w:rPr>
        <w:noProof/>
      </w:rPr>
      <mc:AlternateContent>
        <mc:Choice Requires="wps">
          <w:drawing>
            <wp:inline distT="0" distB="0" distL="0" distR="0">
              <wp:extent cx="6833235" cy="446405"/>
              <wp:effectExtent l="0" t="0" r="43815" b="29845"/>
              <wp:docPr id="4"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323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C30A1A">
                          <w:pPr>
                            <w:spacing w:after="0"/>
                            <w:ind w:firstLine="720"/>
                            <w:rPr>
                              <w:color w:val="FFFFFF"/>
                            </w:rPr>
                          </w:pP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17" o:spid="_x0000_s1049" style="width:538.0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" fillcolor="#d31145" stroked="f" strokecolor="#d31145" strokeweight="10pt">
              <v:stroke linestyle="thinThin"/>
              <v:shadow on="t" color="#bfbfbf"/>
              <v:textbox inset=",2.5mm,,2.5mm">
                <w:txbxContent>
                  <w:p w:rsidR="00466754" w:rsidRPr="009F4CEB" w:rsidRDefault="00466754" w:rsidP="00284C2C">
                    <w:pPr>
                      <w:spacing w:after="0"/>
                      <w:ind w:firstLine="720"/>
                      <w:jc w:val="center"/>
                      <w:rPr>
                        <w:color w:val="FFFFFF"/>
                      </w:rPr>
                    </w:pPr>
                    <w:r>
                      <w:rPr>
                        <w:color w:val="FFFFFF"/>
                      </w:rPr>
                      <w:t>Lancashire County Council    -   Statement of Accounts 2013/2014</w:t>
                    </w:r>
                  </w:p>
                  <w:p w:rsidR="00466754" w:rsidRPr="009F4CEB" w:rsidRDefault="00466754" w:rsidP="00C30A1A">
                    <w:pPr>
                      <w:spacing w:after="0"/>
                      <w:ind w:firstLine="720"/>
                      <w:rPr>
                        <w:color w:val="FFFFFF"/>
                      </w:rPr>
                    </w:pPr>
                  </w:p>
                </w:txbxContent>
              </v:textbox>
              <w10:anchorlock/>
            </v:roundrect>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B70B4B">
    <w:pPr>
      <w:pStyle w:val="BodyText10"/>
    </w:pPr>
    <w:r>
      <w:rPr>
        <w:noProof/>
      </w:rPr>
      <mc:AlternateContent>
        <mc:Choice Requires="wps">
          <w:drawing>
            <wp:inline distT="0" distB="0" distL="0" distR="0">
              <wp:extent cx="6833235" cy="446405"/>
              <wp:effectExtent l="0" t="0" r="43815" b="29845"/>
              <wp:docPr id="3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323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32" o:spid="_x0000_s1028" style="width:538.0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txbxContent>
              </v:textbox>
              <w10:anchorlock/>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rsidP="00B70B4B">
    <w:pPr>
      <w:pStyle w:val="BodyText10"/>
    </w:pPr>
    <w:r>
      <w:rPr>
        <w:noProof/>
      </w:rPr>
      <mc:AlternateContent>
        <mc:Choice Requires="wps">
          <w:drawing>
            <wp:inline distT="0" distB="0" distL="0" distR="0">
              <wp:extent cx="9859645" cy="446405"/>
              <wp:effectExtent l="0" t="0" r="46355" b="29845"/>
              <wp:docPr id="27"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964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284C2C">
                          <w:pPr>
                            <w:spacing w:after="0"/>
                            <w:ind w:firstLine="720"/>
                            <w:rPr>
                              <w:color w:val="FFFFFF"/>
                            </w:rPr>
                          </w:pPr>
                        </w:p>
                      </w:txbxContent>
                    </wps:txbx>
                    <wps:bodyPr rot="0" vert="horz" wrap="square" lIns="91440" tIns="90000" rIns="91440" bIns="90000" anchor="t" anchorCtr="0" upright="1">
                      <a:noAutofit/>
                    </wps:bodyPr>
                  </wps:wsp>
                </a:graphicData>
              </a:graphic>
            </wp:inline>
          </w:drawing>
        </mc:Choice>
        <mc:Fallback xmlns:w15="http://schemas.microsoft.com/office/word/2012/wordml">
          <w:pict>
            <v:roundrect id="AutoShape 230" o:spid="_x0000_s1030" style="width:776.3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" fillcolor="#d31145" stroked="f" strokecolor="#d31145" strokeweight="10pt">
              <v:stroke linestyle="thinThin"/>
              <v:shadow on="t" color="#bfbfbf"/>
              <v:textbox inset=",2.5mm,,2.5mm">
                <w:txbxContent>
                  <w:p w:rsidR="004A4B0F" w:rsidRPr="009F4CEB" w:rsidRDefault="004A4B0F" w:rsidP="00284C2C">
                    <w:pPr>
                      <w:spacing w:after="0"/>
                      <w:ind w:firstLine="720"/>
                      <w:jc w:val="center"/>
                      <w:rPr>
                        <w:color w:val="FFFFFF"/>
                      </w:rPr>
                    </w:pPr>
                    <w:r>
                      <w:rPr>
                        <w:color w:val="FFFFFF"/>
                      </w:rPr>
                      <w:t>Lancashire County Council    -   Statement of Accounts 2013/2014</w:t>
                    </w:r>
                  </w:p>
                  <w:p w:rsidR="004A4B0F" w:rsidRPr="009F4CEB" w:rsidRDefault="004A4B0F" w:rsidP="00284C2C">
                    <w:pPr>
                      <w:spacing w:after="0"/>
                      <w:ind w:firstLine="720"/>
                      <w:rPr>
                        <w:color w:val="FFFFFF"/>
                      </w:rPr>
                    </w:pPr>
                  </w:p>
                </w:txbxContent>
              </v:textbox>
              <w10:anchorlock/>
            </v:round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0F" w:rsidRDefault="004A4B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78CE2A"/>
    <w:lvl w:ilvl="0">
      <w:start w:val="1"/>
      <w:numFmt w:val="decimal"/>
      <w:pStyle w:val="MacroText"/>
      <w:lvlText w:val="%1."/>
      <w:lvlJc w:val="left"/>
      <w:pPr>
        <w:tabs>
          <w:tab w:val="num" w:pos="1492"/>
        </w:tabs>
        <w:ind w:left="1492" w:hanging="360"/>
      </w:pPr>
    </w:lvl>
  </w:abstractNum>
  <w:abstractNum w:abstractNumId="1">
    <w:nsid w:val="FFFFFF7D"/>
    <w:multiLevelType w:val="singleLevel"/>
    <w:tmpl w:val="E26E18F0"/>
    <w:lvl w:ilvl="0">
      <w:start w:val="1"/>
      <w:numFmt w:val="decimal"/>
      <w:pStyle w:val="ListNumber5"/>
      <w:lvlText w:val="%1."/>
      <w:lvlJc w:val="left"/>
      <w:pPr>
        <w:tabs>
          <w:tab w:val="num" w:pos="1209"/>
        </w:tabs>
        <w:ind w:left="1209" w:hanging="360"/>
      </w:pPr>
    </w:lvl>
  </w:abstractNum>
  <w:abstractNum w:abstractNumId="2">
    <w:nsid w:val="FFFFFF7E"/>
    <w:multiLevelType w:val="singleLevel"/>
    <w:tmpl w:val="9C8C279E"/>
    <w:lvl w:ilvl="0">
      <w:start w:val="1"/>
      <w:numFmt w:val="decimal"/>
      <w:pStyle w:val="ListNumber4"/>
      <w:lvlText w:val="%1."/>
      <w:lvlJc w:val="left"/>
      <w:pPr>
        <w:tabs>
          <w:tab w:val="num" w:pos="926"/>
        </w:tabs>
        <w:ind w:left="926" w:hanging="360"/>
      </w:pPr>
    </w:lvl>
  </w:abstractNum>
  <w:abstractNum w:abstractNumId="3">
    <w:nsid w:val="FFFFFF7F"/>
    <w:multiLevelType w:val="singleLevel"/>
    <w:tmpl w:val="E09093C2"/>
    <w:lvl w:ilvl="0">
      <w:start w:val="1"/>
      <w:numFmt w:val="decimal"/>
      <w:pStyle w:val="ListNumber3"/>
      <w:lvlText w:val="%1."/>
      <w:lvlJc w:val="left"/>
      <w:pPr>
        <w:tabs>
          <w:tab w:val="num" w:pos="643"/>
        </w:tabs>
        <w:ind w:left="643" w:hanging="360"/>
      </w:pPr>
    </w:lvl>
  </w:abstractNum>
  <w:abstractNum w:abstractNumId="4">
    <w:nsid w:val="FFFFFF80"/>
    <w:multiLevelType w:val="singleLevel"/>
    <w:tmpl w:val="E02EFE84"/>
    <w:lvl w:ilvl="0">
      <w:start w:val="1"/>
      <w:numFmt w:val="bullet"/>
      <w:pStyle w:val="ListContinue"/>
      <w:lvlText w:val=""/>
      <w:lvlJc w:val="left"/>
      <w:pPr>
        <w:tabs>
          <w:tab w:val="num" w:pos="1492"/>
        </w:tabs>
        <w:ind w:left="1492" w:hanging="360"/>
      </w:pPr>
      <w:rPr>
        <w:rFonts w:ascii="Symbol" w:hAnsi="Symbol" w:hint="default"/>
      </w:rPr>
    </w:lvl>
  </w:abstractNum>
  <w:abstractNum w:abstractNumId="5">
    <w:nsid w:val="FFFFFF81"/>
    <w:multiLevelType w:val="singleLevel"/>
    <w:tmpl w:val="B0820016"/>
    <w:lvl w:ilvl="0">
      <w:start w:val="1"/>
      <w:numFmt w:val="bullet"/>
      <w:pStyle w:val="ListBullet5"/>
      <w:lvlText w:val=""/>
      <w:lvlJc w:val="left"/>
      <w:pPr>
        <w:tabs>
          <w:tab w:val="num" w:pos="1209"/>
        </w:tabs>
        <w:ind w:left="1209" w:hanging="360"/>
      </w:pPr>
      <w:rPr>
        <w:rFonts w:ascii="Symbol" w:hAnsi="Symbol" w:hint="default"/>
      </w:rPr>
    </w:lvl>
  </w:abstractNum>
  <w:abstractNum w:abstractNumId="6">
    <w:nsid w:val="FFFFFF82"/>
    <w:multiLevelType w:val="singleLevel"/>
    <w:tmpl w:val="98103FBE"/>
    <w:lvl w:ilvl="0">
      <w:start w:val="1"/>
      <w:numFmt w:val="bullet"/>
      <w:pStyle w:val="ListBullet4"/>
      <w:lvlText w:val=""/>
      <w:lvlJc w:val="left"/>
      <w:pPr>
        <w:tabs>
          <w:tab w:val="num" w:pos="926"/>
        </w:tabs>
        <w:ind w:left="926" w:hanging="360"/>
      </w:pPr>
      <w:rPr>
        <w:rFonts w:ascii="Symbol" w:hAnsi="Symbol" w:hint="default"/>
      </w:rPr>
    </w:lvl>
  </w:abstractNum>
  <w:abstractNum w:abstractNumId="7">
    <w:nsid w:val="FFFFFF83"/>
    <w:multiLevelType w:val="singleLevel"/>
    <w:tmpl w:val="36D4B0FE"/>
    <w:lvl w:ilvl="0">
      <w:start w:val="1"/>
      <w:numFmt w:val="bullet"/>
      <w:pStyle w:val="ListBullet3"/>
      <w:lvlText w:val=""/>
      <w:lvlJc w:val="left"/>
      <w:pPr>
        <w:tabs>
          <w:tab w:val="num" w:pos="643"/>
        </w:tabs>
        <w:ind w:left="643" w:hanging="360"/>
      </w:pPr>
      <w:rPr>
        <w:rFonts w:ascii="Symbol" w:hAnsi="Symbol" w:hint="default"/>
      </w:rPr>
    </w:lvl>
  </w:abstractNum>
  <w:abstractNum w:abstractNumId="8">
    <w:nsid w:val="FFFFFF88"/>
    <w:multiLevelType w:val="singleLevel"/>
    <w:tmpl w:val="E6D2BA26"/>
    <w:lvl w:ilvl="0">
      <w:start w:val="1"/>
      <w:numFmt w:val="decimal"/>
      <w:pStyle w:val="ListNumber2"/>
      <w:lvlText w:val="%1."/>
      <w:lvlJc w:val="left"/>
      <w:pPr>
        <w:tabs>
          <w:tab w:val="num" w:pos="360"/>
        </w:tabs>
        <w:ind w:left="360" w:hanging="360"/>
      </w:pPr>
    </w:lvl>
  </w:abstractNum>
  <w:abstractNum w:abstractNumId="9">
    <w:nsid w:val="00000026"/>
    <w:multiLevelType w:val="multilevel"/>
    <w:tmpl w:val="47005FA0"/>
    <w:lvl w:ilvl="0">
      <w:start w:val="1"/>
      <w:numFmt w:val="bullet"/>
      <w:lvlText w:val=""/>
      <w:lvlJc w:val="left"/>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2D97E42"/>
    <w:multiLevelType w:val="multilevel"/>
    <w:tmpl w:val="0A0A7ECE"/>
    <w:lvl w:ilvl="0">
      <w:start w:val="20"/>
      <w:numFmt w:val="decimal"/>
      <w:lvlText w:val="%1."/>
      <w:lvlJc w:val="left"/>
      <w:pPr>
        <w:tabs>
          <w:tab w:val="num" w:pos="862"/>
        </w:tabs>
        <w:ind w:left="862"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nsid w:val="03213403"/>
    <w:multiLevelType w:val="hybridMultilevel"/>
    <w:tmpl w:val="B14E7936"/>
    <w:lvl w:ilvl="0" w:tplc="41B2DDC6">
      <w:start w:val="1"/>
      <w:numFmt w:val="decimal"/>
      <w:pStyle w:val="Bullet2"/>
      <w:lvlText w:val="%1"/>
      <w:lvlJc w:val="left"/>
      <w:pPr>
        <w:tabs>
          <w:tab w:val="num" w:pos="397"/>
        </w:tabs>
        <w:ind w:left="397" w:hanging="397"/>
      </w:pPr>
      <w:rPr>
        <w:b/>
        <w:i w:val="0"/>
        <w:color w:val="7AB800"/>
        <w:sz w:val="24"/>
        <w:szCs w:val="20"/>
      </w:rPr>
    </w:lvl>
    <w:lvl w:ilvl="1" w:tplc="9720221E">
      <w:start w:val="1"/>
      <w:numFmt w:val="lowerLetter"/>
      <w:lvlText w:val="%2."/>
      <w:lvlJc w:val="left"/>
      <w:pPr>
        <w:tabs>
          <w:tab w:val="num" w:pos="1440"/>
        </w:tabs>
        <w:ind w:left="1440" w:hanging="360"/>
      </w:pPr>
    </w:lvl>
    <w:lvl w:ilvl="2" w:tplc="566AA0B4">
      <w:start w:val="1"/>
      <w:numFmt w:val="decimal"/>
      <w:lvlText w:val="%3."/>
      <w:lvlJc w:val="left"/>
      <w:pPr>
        <w:tabs>
          <w:tab w:val="num" w:pos="2160"/>
        </w:tabs>
        <w:ind w:left="2160" w:hanging="360"/>
      </w:pPr>
    </w:lvl>
    <w:lvl w:ilvl="3" w:tplc="C2642DF6">
      <w:start w:val="1"/>
      <w:numFmt w:val="decimal"/>
      <w:lvlText w:val="%4."/>
      <w:lvlJc w:val="left"/>
      <w:pPr>
        <w:tabs>
          <w:tab w:val="num" w:pos="2880"/>
        </w:tabs>
        <w:ind w:left="2880" w:hanging="360"/>
      </w:pPr>
      <w:rPr>
        <w:b/>
        <w:i w:val="0"/>
        <w:color w:val="083863"/>
        <w:sz w:val="20"/>
        <w:szCs w:val="20"/>
      </w:rPr>
    </w:lvl>
    <w:lvl w:ilvl="4" w:tplc="C1AED50E">
      <w:start w:val="1"/>
      <w:numFmt w:val="decimal"/>
      <w:lvlText w:val="%5."/>
      <w:lvlJc w:val="left"/>
      <w:pPr>
        <w:tabs>
          <w:tab w:val="num" w:pos="3600"/>
        </w:tabs>
        <w:ind w:left="3600" w:hanging="360"/>
      </w:pPr>
    </w:lvl>
    <w:lvl w:ilvl="5" w:tplc="01F2ED42">
      <w:start w:val="1"/>
      <w:numFmt w:val="decimal"/>
      <w:lvlText w:val="%6."/>
      <w:lvlJc w:val="left"/>
      <w:pPr>
        <w:tabs>
          <w:tab w:val="num" w:pos="4320"/>
        </w:tabs>
        <w:ind w:left="4320" w:hanging="360"/>
      </w:pPr>
    </w:lvl>
    <w:lvl w:ilvl="6" w:tplc="B538AA32">
      <w:start w:val="1"/>
      <w:numFmt w:val="decimal"/>
      <w:lvlText w:val="%7."/>
      <w:lvlJc w:val="left"/>
      <w:pPr>
        <w:tabs>
          <w:tab w:val="num" w:pos="5040"/>
        </w:tabs>
        <w:ind w:left="5040" w:hanging="360"/>
      </w:pPr>
    </w:lvl>
    <w:lvl w:ilvl="7" w:tplc="CD0E31E0">
      <w:start w:val="1"/>
      <w:numFmt w:val="decimal"/>
      <w:lvlText w:val="%8."/>
      <w:lvlJc w:val="left"/>
      <w:pPr>
        <w:tabs>
          <w:tab w:val="num" w:pos="5760"/>
        </w:tabs>
        <w:ind w:left="5760" w:hanging="360"/>
      </w:pPr>
    </w:lvl>
    <w:lvl w:ilvl="8" w:tplc="BD0273AA">
      <w:start w:val="1"/>
      <w:numFmt w:val="decimal"/>
      <w:lvlText w:val="%9."/>
      <w:lvlJc w:val="left"/>
      <w:pPr>
        <w:tabs>
          <w:tab w:val="num" w:pos="6480"/>
        </w:tabs>
        <w:ind w:left="6480" w:hanging="360"/>
      </w:pPr>
    </w:lvl>
  </w:abstractNum>
  <w:abstractNum w:abstractNumId="12">
    <w:nsid w:val="047944B9"/>
    <w:multiLevelType w:val="hybridMultilevel"/>
    <w:tmpl w:val="7B9E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4B94E0C"/>
    <w:multiLevelType w:val="hybridMultilevel"/>
    <w:tmpl w:val="6A280BA6"/>
    <w:lvl w:ilvl="0" w:tplc="A41427B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64B169F"/>
    <w:multiLevelType w:val="hybridMultilevel"/>
    <w:tmpl w:val="FF8EA772"/>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5">
    <w:nsid w:val="0B3344B9"/>
    <w:multiLevelType w:val="hybridMultilevel"/>
    <w:tmpl w:val="6608B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F710FC3"/>
    <w:multiLevelType w:val="hybridMultilevel"/>
    <w:tmpl w:val="A120DC8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nsid w:val="10472337"/>
    <w:multiLevelType w:val="hybridMultilevel"/>
    <w:tmpl w:val="C038D2A6"/>
    <w:lvl w:ilvl="0" w:tplc="BB5C49AE">
      <w:start w:val="1"/>
      <w:numFmt w:val="bullet"/>
      <w:lvlText w:val=""/>
      <w:lvlJc w:val="left"/>
      <w:pPr>
        <w:ind w:left="1004" w:hanging="360"/>
      </w:pPr>
      <w:rPr>
        <w:rFonts w:ascii="Symbol" w:hAnsi="Symbol" w:hint="default"/>
      </w:rPr>
    </w:lvl>
    <w:lvl w:ilvl="1" w:tplc="08090019" w:tentative="1">
      <w:start w:val="1"/>
      <w:numFmt w:val="bullet"/>
      <w:lvlText w:val="o"/>
      <w:lvlJc w:val="left"/>
      <w:pPr>
        <w:ind w:left="1724" w:hanging="360"/>
      </w:pPr>
      <w:rPr>
        <w:rFonts w:ascii="Courier New" w:hAnsi="Courier New" w:cs="Courier New" w:hint="default"/>
      </w:rPr>
    </w:lvl>
    <w:lvl w:ilvl="2" w:tplc="0809001B" w:tentative="1">
      <w:start w:val="1"/>
      <w:numFmt w:val="bullet"/>
      <w:lvlText w:val=""/>
      <w:lvlJc w:val="left"/>
      <w:pPr>
        <w:ind w:left="2444" w:hanging="360"/>
      </w:pPr>
      <w:rPr>
        <w:rFonts w:ascii="Wingdings" w:hAnsi="Wingdings" w:hint="default"/>
      </w:rPr>
    </w:lvl>
    <w:lvl w:ilvl="3" w:tplc="0809000F" w:tentative="1">
      <w:start w:val="1"/>
      <w:numFmt w:val="bullet"/>
      <w:lvlText w:val=""/>
      <w:lvlJc w:val="left"/>
      <w:pPr>
        <w:ind w:left="3164" w:hanging="360"/>
      </w:pPr>
      <w:rPr>
        <w:rFonts w:ascii="Symbol" w:hAnsi="Symbol" w:hint="default"/>
      </w:rPr>
    </w:lvl>
    <w:lvl w:ilvl="4" w:tplc="08090019" w:tentative="1">
      <w:start w:val="1"/>
      <w:numFmt w:val="bullet"/>
      <w:lvlText w:val="o"/>
      <w:lvlJc w:val="left"/>
      <w:pPr>
        <w:ind w:left="3884" w:hanging="360"/>
      </w:pPr>
      <w:rPr>
        <w:rFonts w:ascii="Courier New" w:hAnsi="Courier New" w:cs="Courier New" w:hint="default"/>
      </w:rPr>
    </w:lvl>
    <w:lvl w:ilvl="5" w:tplc="0809001B" w:tentative="1">
      <w:start w:val="1"/>
      <w:numFmt w:val="bullet"/>
      <w:lvlText w:val=""/>
      <w:lvlJc w:val="left"/>
      <w:pPr>
        <w:ind w:left="4604" w:hanging="360"/>
      </w:pPr>
      <w:rPr>
        <w:rFonts w:ascii="Wingdings" w:hAnsi="Wingdings" w:hint="default"/>
      </w:rPr>
    </w:lvl>
    <w:lvl w:ilvl="6" w:tplc="0809000F" w:tentative="1">
      <w:start w:val="1"/>
      <w:numFmt w:val="bullet"/>
      <w:lvlText w:val=""/>
      <w:lvlJc w:val="left"/>
      <w:pPr>
        <w:ind w:left="5324" w:hanging="360"/>
      </w:pPr>
      <w:rPr>
        <w:rFonts w:ascii="Symbol" w:hAnsi="Symbol" w:hint="default"/>
      </w:rPr>
    </w:lvl>
    <w:lvl w:ilvl="7" w:tplc="08090019" w:tentative="1">
      <w:start w:val="1"/>
      <w:numFmt w:val="bullet"/>
      <w:lvlText w:val="o"/>
      <w:lvlJc w:val="left"/>
      <w:pPr>
        <w:ind w:left="6044" w:hanging="360"/>
      </w:pPr>
      <w:rPr>
        <w:rFonts w:ascii="Courier New" w:hAnsi="Courier New" w:cs="Courier New" w:hint="default"/>
      </w:rPr>
    </w:lvl>
    <w:lvl w:ilvl="8" w:tplc="0809001B" w:tentative="1">
      <w:start w:val="1"/>
      <w:numFmt w:val="bullet"/>
      <w:lvlText w:val=""/>
      <w:lvlJc w:val="left"/>
      <w:pPr>
        <w:ind w:left="6764" w:hanging="360"/>
      </w:pPr>
      <w:rPr>
        <w:rFonts w:ascii="Wingdings" w:hAnsi="Wingdings" w:hint="default"/>
      </w:rPr>
    </w:lvl>
  </w:abstractNum>
  <w:abstractNum w:abstractNumId="18">
    <w:nsid w:val="10746927"/>
    <w:multiLevelType w:val="hybridMultilevel"/>
    <w:tmpl w:val="7C78933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9">
    <w:nsid w:val="129D3330"/>
    <w:multiLevelType w:val="hybridMultilevel"/>
    <w:tmpl w:val="E40E85E8"/>
    <w:lvl w:ilvl="0" w:tplc="08090001">
      <w:start w:val="1"/>
      <w:numFmt w:val="bullet"/>
      <w:lvlText w:val=""/>
      <w:lvlJc w:val="left"/>
      <w:pPr>
        <w:tabs>
          <w:tab w:val="num" w:pos="1353"/>
        </w:tabs>
        <w:ind w:left="1353" w:hanging="360"/>
      </w:pPr>
      <w:rPr>
        <w:rFonts w:ascii="Symbol" w:hAnsi="Symbol" w:hint="default"/>
      </w:rPr>
    </w:lvl>
    <w:lvl w:ilvl="1" w:tplc="08090003" w:tentative="1">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20">
    <w:nsid w:val="12D9503E"/>
    <w:multiLevelType w:val="hybridMultilevel"/>
    <w:tmpl w:val="94340270"/>
    <w:lvl w:ilvl="0" w:tplc="08090001">
      <w:start w:val="1"/>
      <w:numFmt w:val="bullet"/>
      <w:lvlText w:val=""/>
      <w:lvlJc w:val="left"/>
      <w:pPr>
        <w:ind w:left="720" w:hanging="360"/>
      </w:pPr>
      <w:rPr>
        <w:rFonts w:ascii="Symbol" w:hAnsi="Symbol" w:hint="default"/>
      </w:rPr>
    </w:lvl>
    <w:lvl w:ilvl="1" w:tplc="1DA6CC92">
      <w:numFmt w:val="bullet"/>
      <w:lvlText w:val="·"/>
      <w:lvlJc w:val="left"/>
      <w:pPr>
        <w:ind w:left="1470" w:hanging="39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36F3AF1"/>
    <w:multiLevelType w:val="singleLevel"/>
    <w:tmpl w:val="0F2C7758"/>
    <w:lvl w:ilvl="0">
      <w:start w:val="2"/>
      <w:numFmt w:val="lowerLetter"/>
      <w:lvlText w:val="%1)"/>
      <w:lvlJc w:val="left"/>
      <w:pPr>
        <w:ind w:left="540" w:hanging="360"/>
      </w:pPr>
      <w:rPr>
        <w:rFonts w:hint="default"/>
        <w:b/>
      </w:rPr>
    </w:lvl>
  </w:abstractNum>
  <w:abstractNum w:abstractNumId="22">
    <w:nsid w:val="14BD3EA1"/>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23">
    <w:nsid w:val="187B6F2B"/>
    <w:multiLevelType w:val="hybridMultilevel"/>
    <w:tmpl w:val="0EF8C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97A1B54"/>
    <w:multiLevelType w:val="hybridMultilevel"/>
    <w:tmpl w:val="4A2E55FE"/>
    <w:lvl w:ilvl="0" w:tplc="D322513A">
      <w:start w:val="1"/>
      <w:numFmt w:val="bullet"/>
      <w:lvlText w:val=""/>
      <w:lvlJc w:val="left"/>
      <w:pPr>
        <w:tabs>
          <w:tab w:val="num" w:pos="1440"/>
        </w:tabs>
        <w:ind w:left="1440" w:hanging="360"/>
      </w:pPr>
      <w:rPr>
        <w:rFonts w:ascii="Symbol" w:hAnsi="Symbol" w:hint="default"/>
      </w:rPr>
    </w:lvl>
    <w:lvl w:ilvl="1" w:tplc="B0507B3C" w:tentative="1">
      <w:start w:val="1"/>
      <w:numFmt w:val="bullet"/>
      <w:lvlText w:val="o"/>
      <w:lvlJc w:val="left"/>
      <w:pPr>
        <w:tabs>
          <w:tab w:val="num" w:pos="2160"/>
        </w:tabs>
        <w:ind w:left="2160" w:hanging="360"/>
      </w:pPr>
      <w:rPr>
        <w:rFonts w:ascii="Courier New" w:hAnsi="Courier New" w:cs="Courier New" w:hint="default"/>
      </w:rPr>
    </w:lvl>
    <w:lvl w:ilvl="2" w:tplc="423EC354" w:tentative="1">
      <w:start w:val="1"/>
      <w:numFmt w:val="bullet"/>
      <w:lvlText w:val=""/>
      <w:lvlJc w:val="left"/>
      <w:pPr>
        <w:tabs>
          <w:tab w:val="num" w:pos="2880"/>
        </w:tabs>
        <w:ind w:left="2880" w:hanging="360"/>
      </w:pPr>
      <w:rPr>
        <w:rFonts w:ascii="Wingdings" w:hAnsi="Wingdings" w:hint="default"/>
      </w:rPr>
    </w:lvl>
    <w:lvl w:ilvl="3" w:tplc="2488F654" w:tentative="1">
      <w:start w:val="1"/>
      <w:numFmt w:val="bullet"/>
      <w:lvlText w:val=""/>
      <w:lvlJc w:val="left"/>
      <w:pPr>
        <w:tabs>
          <w:tab w:val="num" w:pos="3600"/>
        </w:tabs>
        <w:ind w:left="3600" w:hanging="360"/>
      </w:pPr>
      <w:rPr>
        <w:rFonts w:ascii="Symbol" w:hAnsi="Symbol" w:hint="default"/>
      </w:rPr>
    </w:lvl>
    <w:lvl w:ilvl="4" w:tplc="B33EC58C" w:tentative="1">
      <w:start w:val="1"/>
      <w:numFmt w:val="bullet"/>
      <w:lvlText w:val="o"/>
      <w:lvlJc w:val="left"/>
      <w:pPr>
        <w:tabs>
          <w:tab w:val="num" w:pos="4320"/>
        </w:tabs>
        <w:ind w:left="4320" w:hanging="360"/>
      </w:pPr>
      <w:rPr>
        <w:rFonts w:ascii="Courier New" w:hAnsi="Courier New" w:cs="Courier New" w:hint="default"/>
      </w:rPr>
    </w:lvl>
    <w:lvl w:ilvl="5" w:tplc="22EE82DE" w:tentative="1">
      <w:start w:val="1"/>
      <w:numFmt w:val="bullet"/>
      <w:lvlText w:val=""/>
      <w:lvlJc w:val="left"/>
      <w:pPr>
        <w:tabs>
          <w:tab w:val="num" w:pos="5040"/>
        </w:tabs>
        <w:ind w:left="5040" w:hanging="360"/>
      </w:pPr>
      <w:rPr>
        <w:rFonts w:ascii="Wingdings" w:hAnsi="Wingdings" w:hint="default"/>
      </w:rPr>
    </w:lvl>
    <w:lvl w:ilvl="6" w:tplc="190C5286" w:tentative="1">
      <w:start w:val="1"/>
      <w:numFmt w:val="bullet"/>
      <w:lvlText w:val=""/>
      <w:lvlJc w:val="left"/>
      <w:pPr>
        <w:tabs>
          <w:tab w:val="num" w:pos="5760"/>
        </w:tabs>
        <w:ind w:left="5760" w:hanging="360"/>
      </w:pPr>
      <w:rPr>
        <w:rFonts w:ascii="Symbol" w:hAnsi="Symbol" w:hint="default"/>
      </w:rPr>
    </w:lvl>
    <w:lvl w:ilvl="7" w:tplc="67BCF19E" w:tentative="1">
      <w:start w:val="1"/>
      <w:numFmt w:val="bullet"/>
      <w:lvlText w:val="o"/>
      <w:lvlJc w:val="left"/>
      <w:pPr>
        <w:tabs>
          <w:tab w:val="num" w:pos="6480"/>
        </w:tabs>
        <w:ind w:left="6480" w:hanging="360"/>
      </w:pPr>
      <w:rPr>
        <w:rFonts w:ascii="Courier New" w:hAnsi="Courier New" w:cs="Courier New" w:hint="default"/>
      </w:rPr>
    </w:lvl>
    <w:lvl w:ilvl="8" w:tplc="C16A8854" w:tentative="1">
      <w:start w:val="1"/>
      <w:numFmt w:val="bullet"/>
      <w:lvlText w:val=""/>
      <w:lvlJc w:val="left"/>
      <w:pPr>
        <w:tabs>
          <w:tab w:val="num" w:pos="7200"/>
        </w:tabs>
        <w:ind w:left="7200" w:hanging="360"/>
      </w:pPr>
      <w:rPr>
        <w:rFonts w:ascii="Wingdings" w:hAnsi="Wingdings" w:hint="default"/>
      </w:rPr>
    </w:lvl>
  </w:abstractNum>
  <w:abstractNum w:abstractNumId="25">
    <w:nsid w:val="19E47C49"/>
    <w:multiLevelType w:val="hybridMultilevel"/>
    <w:tmpl w:val="7E26F0EA"/>
    <w:lvl w:ilvl="0" w:tplc="08090001">
      <w:start w:val="1"/>
      <w:numFmt w:val="bullet"/>
      <w:lvlText w:val=""/>
      <w:lvlJc w:val="left"/>
      <w:pPr>
        <w:tabs>
          <w:tab w:val="num" w:pos="1440"/>
        </w:tabs>
        <w:ind w:left="1440" w:hanging="360"/>
      </w:pPr>
      <w:rPr>
        <w:rFonts w:ascii="Symbol" w:hAnsi="Symbol" w:hint="default"/>
      </w:rPr>
    </w:lvl>
    <w:lvl w:ilvl="1" w:tplc="72604576" w:tentative="1">
      <w:start w:val="1"/>
      <w:numFmt w:val="bullet"/>
      <w:lvlText w:val="o"/>
      <w:lvlJc w:val="left"/>
      <w:pPr>
        <w:tabs>
          <w:tab w:val="num" w:pos="2160"/>
        </w:tabs>
        <w:ind w:left="2160" w:hanging="360"/>
      </w:pPr>
      <w:rPr>
        <w:rFonts w:ascii="Courier New" w:hAnsi="Courier New" w:cs="Courier New" w:hint="default"/>
      </w:rPr>
    </w:lvl>
    <w:lvl w:ilvl="2" w:tplc="4022BC6C" w:tentative="1">
      <w:start w:val="1"/>
      <w:numFmt w:val="bullet"/>
      <w:lvlText w:val=""/>
      <w:lvlJc w:val="left"/>
      <w:pPr>
        <w:tabs>
          <w:tab w:val="num" w:pos="2880"/>
        </w:tabs>
        <w:ind w:left="2880" w:hanging="360"/>
      </w:pPr>
      <w:rPr>
        <w:rFonts w:ascii="Wingdings" w:hAnsi="Wingdings" w:hint="default"/>
      </w:rPr>
    </w:lvl>
    <w:lvl w:ilvl="3" w:tplc="3426F53A" w:tentative="1">
      <w:start w:val="1"/>
      <w:numFmt w:val="bullet"/>
      <w:lvlText w:val=""/>
      <w:lvlJc w:val="left"/>
      <w:pPr>
        <w:tabs>
          <w:tab w:val="num" w:pos="3600"/>
        </w:tabs>
        <w:ind w:left="3600" w:hanging="360"/>
      </w:pPr>
      <w:rPr>
        <w:rFonts w:ascii="Symbol" w:hAnsi="Symbol" w:hint="default"/>
      </w:rPr>
    </w:lvl>
    <w:lvl w:ilvl="4" w:tplc="51187C22" w:tentative="1">
      <w:start w:val="1"/>
      <w:numFmt w:val="bullet"/>
      <w:lvlText w:val="o"/>
      <w:lvlJc w:val="left"/>
      <w:pPr>
        <w:tabs>
          <w:tab w:val="num" w:pos="4320"/>
        </w:tabs>
        <w:ind w:left="4320" w:hanging="360"/>
      </w:pPr>
      <w:rPr>
        <w:rFonts w:ascii="Courier New" w:hAnsi="Courier New" w:cs="Courier New" w:hint="default"/>
      </w:rPr>
    </w:lvl>
    <w:lvl w:ilvl="5" w:tplc="84960624" w:tentative="1">
      <w:start w:val="1"/>
      <w:numFmt w:val="bullet"/>
      <w:lvlText w:val=""/>
      <w:lvlJc w:val="left"/>
      <w:pPr>
        <w:tabs>
          <w:tab w:val="num" w:pos="5040"/>
        </w:tabs>
        <w:ind w:left="5040" w:hanging="360"/>
      </w:pPr>
      <w:rPr>
        <w:rFonts w:ascii="Wingdings" w:hAnsi="Wingdings" w:hint="default"/>
      </w:rPr>
    </w:lvl>
    <w:lvl w:ilvl="6" w:tplc="02C6B240" w:tentative="1">
      <w:start w:val="1"/>
      <w:numFmt w:val="bullet"/>
      <w:lvlText w:val=""/>
      <w:lvlJc w:val="left"/>
      <w:pPr>
        <w:tabs>
          <w:tab w:val="num" w:pos="5760"/>
        </w:tabs>
        <w:ind w:left="5760" w:hanging="360"/>
      </w:pPr>
      <w:rPr>
        <w:rFonts w:ascii="Symbol" w:hAnsi="Symbol" w:hint="default"/>
      </w:rPr>
    </w:lvl>
    <w:lvl w:ilvl="7" w:tplc="E6A0088E" w:tentative="1">
      <w:start w:val="1"/>
      <w:numFmt w:val="bullet"/>
      <w:lvlText w:val="o"/>
      <w:lvlJc w:val="left"/>
      <w:pPr>
        <w:tabs>
          <w:tab w:val="num" w:pos="6480"/>
        </w:tabs>
        <w:ind w:left="6480" w:hanging="360"/>
      </w:pPr>
      <w:rPr>
        <w:rFonts w:ascii="Courier New" w:hAnsi="Courier New" w:cs="Courier New" w:hint="default"/>
      </w:rPr>
    </w:lvl>
    <w:lvl w:ilvl="8" w:tplc="6E82D126" w:tentative="1">
      <w:start w:val="1"/>
      <w:numFmt w:val="bullet"/>
      <w:lvlText w:val=""/>
      <w:lvlJc w:val="left"/>
      <w:pPr>
        <w:tabs>
          <w:tab w:val="num" w:pos="7200"/>
        </w:tabs>
        <w:ind w:left="7200" w:hanging="360"/>
      </w:pPr>
      <w:rPr>
        <w:rFonts w:ascii="Wingdings" w:hAnsi="Wingdings" w:hint="default"/>
      </w:rPr>
    </w:lvl>
  </w:abstractNum>
  <w:abstractNum w:abstractNumId="26">
    <w:nsid w:val="19FC0EF9"/>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27">
    <w:nsid w:val="1A84755C"/>
    <w:multiLevelType w:val="hybridMultilevel"/>
    <w:tmpl w:val="5D3EA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BBF26DB"/>
    <w:multiLevelType w:val="hybridMultilevel"/>
    <w:tmpl w:val="C4BE2494"/>
    <w:lvl w:ilvl="0" w:tplc="74E28358">
      <w:start w:val="2"/>
      <w:numFmt w:val="bullet"/>
      <w:lvlText w:val="-"/>
      <w:lvlJc w:val="left"/>
      <w:pPr>
        <w:ind w:left="1287" w:hanging="360"/>
      </w:pPr>
      <w:rPr>
        <w:rFonts w:ascii="Times New Roman" w:hAnsi="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nsid w:val="1C510604"/>
    <w:multiLevelType w:val="hybridMultilevel"/>
    <w:tmpl w:val="A0265F84"/>
    <w:lvl w:ilvl="0" w:tplc="08090001">
      <w:start w:val="1"/>
      <w:numFmt w:val="bullet"/>
      <w:pStyle w:val="ListBullet2"/>
      <w:lvlText w:val=""/>
      <w:lvlJc w:val="left"/>
      <w:pPr>
        <w:ind w:left="720" w:hanging="360"/>
      </w:pPr>
      <w:rPr>
        <w:rFonts w:ascii="Symbol" w:hAnsi="Symbol" w:hint="default"/>
      </w:rPr>
    </w:lvl>
    <w:lvl w:ilvl="1" w:tplc="72604576">
      <w:start w:val="1"/>
      <w:numFmt w:val="bullet"/>
      <w:lvlText w:val="o"/>
      <w:lvlJc w:val="left"/>
      <w:pPr>
        <w:ind w:left="1440" w:hanging="360"/>
      </w:pPr>
      <w:rPr>
        <w:rFonts w:ascii="Courier New" w:hAnsi="Courier New" w:cs="Courier New" w:hint="default"/>
      </w:rPr>
    </w:lvl>
    <w:lvl w:ilvl="2" w:tplc="4022BC6C">
      <w:start w:val="34"/>
      <w:numFmt w:val="bullet"/>
      <w:lvlText w:val="-"/>
      <w:lvlJc w:val="left"/>
      <w:pPr>
        <w:ind w:left="2160" w:hanging="360"/>
      </w:pPr>
      <w:rPr>
        <w:rFonts w:ascii="Arial" w:eastAsia="Times New Roman" w:hAnsi="Arial" w:cs="Arial" w:hint="default"/>
      </w:rPr>
    </w:lvl>
    <w:lvl w:ilvl="3" w:tplc="3426F53A" w:tentative="1">
      <w:start w:val="1"/>
      <w:numFmt w:val="bullet"/>
      <w:lvlText w:val=""/>
      <w:lvlJc w:val="left"/>
      <w:pPr>
        <w:ind w:left="2880" w:hanging="360"/>
      </w:pPr>
      <w:rPr>
        <w:rFonts w:ascii="Symbol" w:hAnsi="Symbol" w:hint="default"/>
      </w:rPr>
    </w:lvl>
    <w:lvl w:ilvl="4" w:tplc="51187C22" w:tentative="1">
      <w:start w:val="1"/>
      <w:numFmt w:val="bullet"/>
      <w:lvlText w:val="o"/>
      <w:lvlJc w:val="left"/>
      <w:pPr>
        <w:ind w:left="3600" w:hanging="360"/>
      </w:pPr>
      <w:rPr>
        <w:rFonts w:ascii="Courier New" w:hAnsi="Courier New" w:cs="Courier New" w:hint="default"/>
      </w:rPr>
    </w:lvl>
    <w:lvl w:ilvl="5" w:tplc="84960624" w:tentative="1">
      <w:start w:val="1"/>
      <w:numFmt w:val="bullet"/>
      <w:lvlText w:val=""/>
      <w:lvlJc w:val="left"/>
      <w:pPr>
        <w:ind w:left="4320" w:hanging="360"/>
      </w:pPr>
      <w:rPr>
        <w:rFonts w:ascii="Wingdings" w:hAnsi="Wingdings" w:hint="default"/>
      </w:rPr>
    </w:lvl>
    <w:lvl w:ilvl="6" w:tplc="02C6B240" w:tentative="1">
      <w:start w:val="1"/>
      <w:numFmt w:val="bullet"/>
      <w:lvlText w:val=""/>
      <w:lvlJc w:val="left"/>
      <w:pPr>
        <w:ind w:left="5040" w:hanging="360"/>
      </w:pPr>
      <w:rPr>
        <w:rFonts w:ascii="Symbol" w:hAnsi="Symbol" w:hint="default"/>
      </w:rPr>
    </w:lvl>
    <w:lvl w:ilvl="7" w:tplc="E6A0088E" w:tentative="1">
      <w:start w:val="1"/>
      <w:numFmt w:val="bullet"/>
      <w:lvlText w:val="o"/>
      <w:lvlJc w:val="left"/>
      <w:pPr>
        <w:ind w:left="5760" w:hanging="360"/>
      </w:pPr>
      <w:rPr>
        <w:rFonts w:ascii="Courier New" w:hAnsi="Courier New" w:cs="Courier New" w:hint="default"/>
      </w:rPr>
    </w:lvl>
    <w:lvl w:ilvl="8" w:tplc="6E82D126" w:tentative="1">
      <w:start w:val="1"/>
      <w:numFmt w:val="bullet"/>
      <w:lvlText w:val=""/>
      <w:lvlJc w:val="left"/>
      <w:pPr>
        <w:ind w:left="6480" w:hanging="360"/>
      </w:pPr>
      <w:rPr>
        <w:rFonts w:ascii="Wingdings" w:hAnsi="Wingdings" w:hint="default"/>
      </w:rPr>
    </w:lvl>
  </w:abstractNum>
  <w:abstractNum w:abstractNumId="30">
    <w:nsid w:val="1E8D47D3"/>
    <w:multiLevelType w:val="hybridMultilevel"/>
    <w:tmpl w:val="54EAF50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nsid w:val="1F6806A8"/>
    <w:multiLevelType w:val="hybridMultilevel"/>
    <w:tmpl w:val="2280F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05170F5"/>
    <w:multiLevelType w:val="hybridMultilevel"/>
    <w:tmpl w:val="58483484"/>
    <w:lvl w:ilvl="0" w:tplc="F4225376">
      <w:start w:val="1"/>
      <w:numFmt w:val="bullet"/>
      <w:lvlText w:val=""/>
      <w:lvlJc w:val="left"/>
      <w:pPr>
        <w:ind w:left="1245" w:hanging="360"/>
      </w:pPr>
      <w:rPr>
        <w:rFonts w:ascii="Symbol" w:hAnsi="Symbol" w:hint="default"/>
      </w:rPr>
    </w:lvl>
    <w:lvl w:ilvl="1" w:tplc="4460A5FE" w:tentative="1">
      <w:start w:val="1"/>
      <w:numFmt w:val="bullet"/>
      <w:lvlText w:val="o"/>
      <w:lvlJc w:val="left"/>
      <w:pPr>
        <w:ind w:left="1965" w:hanging="360"/>
      </w:pPr>
      <w:rPr>
        <w:rFonts w:ascii="Courier New" w:hAnsi="Courier New" w:cs="Courier New" w:hint="default"/>
      </w:rPr>
    </w:lvl>
    <w:lvl w:ilvl="2" w:tplc="7E46AB92" w:tentative="1">
      <w:start w:val="1"/>
      <w:numFmt w:val="bullet"/>
      <w:lvlText w:val=""/>
      <w:lvlJc w:val="left"/>
      <w:pPr>
        <w:ind w:left="2685" w:hanging="360"/>
      </w:pPr>
      <w:rPr>
        <w:rFonts w:ascii="Wingdings" w:hAnsi="Wingdings" w:hint="default"/>
      </w:rPr>
    </w:lvl>
    <w:lvl w:ilvl="3" w:tplc="75CA2724" w:tentative="1">
      <w:start w:val="1"/>
      <w:numFmt w:val="bullet"/>
      <w:lvlText w:val=""/>
      <w:lvlJc w:val="left"/>
      <w:pPr>
        <w:ind w:left="3405" w:hanging="360"/>
      </w:pPr>
      <w:rPr>
        <w:rFonts w:ascii="Symbol" w:hAnsi="Symbol" w:hint="default"/>
      </w:rPr>
    </w:lvl>
    <w:lvl w:ilvl="4" w:tplc="EA30B5BE" w:tentative="1">
      <w:start w:val="1"/>
      <w:numFmt w:val="bullet"/>
      <w:lvlText w:val="o"/>
      <w:lvlJc w:val="left"/>
      <w:pPr>
        <w:ind w:left="4125" w:hanging="360"/>
      </w:pPr>
      <w:rPr>
        <w:rFonts w:ascii="Courier New" w:hAnsi="Courier New" w:cs="Courier New" w:hint="default"/>
      </w:rPr>
    </w:lvl>
    <w:lvl w:ilvl="5" w:tplc="BF9C60AE" w:tentative="1">
      <w:start w:val="1"/>
      <w:numFmt w:val="bullet"/>
      <w:lvlText w:val=""/>
      <w:lvlJc w:val="left"/>
      <w:pPr>
        <w:ind w:left="4845" w:hanging="360"/>
      </w:pPr>
      <w:rPr>
        <w:rFonts w:ascii="Wingdings" w:hAnsi="Wingdings" w:hint="default"/>
      </w:rPr>
    </w:lvl>
    <w:lvl w:ilvl="6" w:tplc="77AEB74C" w:tentative="1">
      <w:start w:val="1"/>
      <w:numFmt w:val="bullet"/>
      <w:lvlText w:val=""/>
      <w:lvlJc w:val="left"/>
      <w:pPr>
        <w:ind w:left="5565" w:hanging="360"/>
      </w:pPr>
      <w:rPr>
        <w:rFonts w:ascii="Symbol" w:hAnsi="Symbol" w:hint="default"/>
      </w:rPr>
    </w:lvl>
    <w:lvl w:ilvl="7" w:tplc="4EC6782E" w:tentative="1">
      <w:start w:val="1"/>
      <w:numFmt w:val="bullet"/>
      <w:lvlText w:val="o"/>
      <w:lvlJc w:val="left"/>
      <w:pPr>
        <w:ind w:left="6285" w:hanging="360"/>
      </w:pPr>
      <w:rPr>
        <w:rFonts w:ascii="Courier New" w:hAnsi="Courier New" w:cs="Courier New" w:hint="default"/>
      </w:rPr>
    </w:lvl>
    <w:lvl w:ilvl="8" w:tplc="0518D888" w:tentative="1">
      <w:start w:val="1"/>
      <w:numFmt w:val="bullet"/>
      <w:lvlText w:val=""/>
      <w:lvlJc w:val="left"/>
      <w:pPr>
        <w:ind w:left="7005" w:hanging="360"/>
      </w:pPr>
      <w:rPr>
        <w:rFonts w:ascii="Wingdings" w:hAnsi="Wingdings" w:hint="default"/>
      </w:rPr>
    </w:lvl>
  </w:abstractNum>
  <w:abstractNum w:abstractNumId="33">
    <w:nsid w:val="205C2F6F"/>
    <w:multiLevelType w:val="hybridMultilevel"/>
    <w:tmpl w:val="CA3E3D60"/>
    <w:lvl w:ilvl="0" w:tplc="CCCC36D2">
      <w:start w:val="1"/>
      <w:numFmt w:val="bullet"/>
      <w:lvlText w:val=""/>
      <w:lvlJc w:val="left"/>
      <w:pPr>
        <w:ind w:left="1110" w:hanging="360"/>
      </w:pPr>
      <w:rPr>
        <w:rFonts w:ascii="Symbol" w:hAnsi="Symbol" w:hint="default"/>
      </w:rPr>
    </w:lvl>
    <w:lvl w:ilvl="1" w:tplc="939C3456" w:tentative="1">
      <w:start w:val="1"/>
      <w:numFmt w:val="bullet"/>
      <w:lvlText w:val="o"/>
      <w:lvlJc w:val="left"/>
      <w:pPr>
        <w:ind w:left="1830" w:hanging="360"/>
      </w:pPr>
      <w:rPr>
        <w:rFonts w:ascii="Courier New" w:hAnsi="Courier New" w:cs="Courier New" w:hint="default"/>
      </w:rPr>
    </w:lvl>
    <w:lvl w:ilvl="2" w:tplc="33F84002" w:tentative="1">
      <w:start w:val="1"/>
      <w:numFmt w:val="bullet"/>
      <w:lvlText w:val=""/>
      <w:lvlJc w:val="left"/>
      <w:pPr>
        <w:ind w:left="2550" w:hanging="360"/>
      </w:pPr>
      <w:rPr>
        <w:rFonts w:ascii="Wingdings" w:hAnsi="Wingdings" w:hint="default"/>
      </w:rPr>
    </w:lvl>
    <w:lvl w:ilvl="3" w:tplc="F8F68418" w:tentative="1">
      <w:start w:val="1"/>
      <w:numFmt w:val="bullet"/>
      <w:lvlText w:val=""/>
      <w:lvlJc w:val="left"/>
      <w:pPr>
        <w:ind w:left="3270" w:hanging="360"/>
      </w:pPr>
      <w:rPr>
        <w:rFonts w:ascii="Symbol" w:hAnsi="Symbol" w:hint="default"/>
      </w:rPr>
    </w:lvl>
    <w:lvl w:ilvl="4" w:tplc="1EB2EDA4" w:tentative="1">
      <w:start w:val="1"/>
      <w:numFmt w:val="bullet"/>
      <w:lvlText w:val="o"/>
      <w:lvlJc w:val="left"/>
      <w:pPr>
        <w:ind w:left="3990" w:hanging="360"/>
      </w:pPr>
      <w:rPr>
        <w:rFonts w:ascii="Courier New" w:hAnsi="Courier New" w:cs="Courier New" w:hint="default"/>
      </w:rPr>
    </w:lvl>
    <w:lvl w:ilvl="5" w:tplc="5BC2BC8C" w:tentative="1">
      <w:start w:val="1"/>
      <w:numFmt w:val="bullet"/>
      <w:lvlText w:val=""/>
      <w:lvlJc w:val="left"/>
      <w:pPr>
        <w:ind w:left="4710" w:hanging="360"/>
      </w:pPr>
      <w:rPr>
        <w:rFonts w:ascii="Wingdings" w:hAnsi="Wingdings" w:hint="default"/>
      </w:rPr>
    </w:lvl>
    <w:lvl w:ilvl="6" w:tplc="D298C7A8" w:tentative="1">
      <w:start w:val="1"/>
      <w:numFmt w:val="bullet"/>
      <w:lvlText w:val=""/>
      <w:lvlJc w:val="left"/>
      <w:pPr>
        <w:ind w:left="5430" w:hanging="360"/>
      </w:pPr>
      <w:rPr>
        <w:rFonts w:ascii="Symbol" w:hAnsi="Symbol" w:hint="default"/>
      </w:rPr>
    </w:lvl>
    <w:lvl w:ilvl="7" w:tplc="1E9CAF36" w:tentative="1">
      <w:start w:val="1"/>
      <w:numFmt w:val="bullet"/>
      <w:lvlText w:val="o"/>
      <w:lvlJc w:val="left"/>
      <w:pPr>
        <w:ind w:left="6150" w:hanging="360"/>
      </w:pPr>
      <w:rPr>
        <w:rFonts w:ascii="Courier New" w:hAnsi="Courier New" w:cs="Courier New" w:hint="default"/>
      </w:rPr>
    </w:lvl>
    <w:lvl w:ilvl="8" w:tplc="4FDAAE26" w:tentative="1">
      <w:start w:val="1"/>
      <w:numFmt w:val="bullet"/>
      <w:lvlText w:val=""/>
      <w:lvlJc w:val="left"/>
      <w:pPr>
        <w:ind w:left="6870" w:hanging="360"/>
      </w:pPr>
      <w:rPr>
        <w:rFonts w:ascii="Wingdings" w:hAnsi="Wingdings" w:hint="default"/>
      </w:rPr>
    </w:lvl>
  </w:abstractNum>
  <w:abstractNum w:abstractNumId="34">
    <w:nsid w:val="22A83B71"/>
    <w:multiLevelType w:val="multilevel"/>
    <w:tmpl w:val="6994C1A8"/>
    <w:lvl w:ilvl="0">
      <w:start w:val="1"/>
      <w:numFmt w:val="bullet"/>
      <w:pStyle w:val="BulletSingle4"/>
      <w:lvlText w:val=""/>
      <w:lvlJc w:val="left"/>
      <w:pPr>
        <w:tabs>
          <w:tab w:val="num" w:pos="360"/>
        </w:tabs>
        <w:ind w:left="357" w:hanging="357"/>
      </w:pPr>
      <w:rPr>
        <w:rFonts w:ascii="Wingdings" w:hAnsi="Wingdings" w:hint="default"/>
        <w:sz w:val="20"/>
      </w:rPr>
    </w:lvl>
    <w:lvl w:ilvl="1">
      <w:start w:val="1"/>
      <w:numFmt w:val="bullet"/>
      <w:pStyle w:val="BulletSingle4"/>
      <w:lvlText w:val=""/>
      <w:lvlJc w:val="left"/>
      <w:pPr>
        <w:tabs>
          <w:tab w:val="num" w:pos="720"/>
        </w:tabs>
        <w:ind w:left="720" w:hanging="360"/>
      </w:pPr>
      <w:rPr>
        <w:rFonts w:ascii="Wingdings" w:hAnsi="Wingdings"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1800"/>
        </w:tabs>
        <w:ind w:left="1800" w:hanging="360"/>
      </w:pPr>
      <w:rPr>
        <w:rFonts w:ascii="Wingdings" w:hAnsi="Wingdings" w:hint="default"/>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298F044E"/>
    <w:multiLevelType w:val="hybridMultilevel"/>
    <w:tmpl w:val="C9E02B9C"/>
    <w:lvl w:ilvl="0" w:tplc="A41427B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C5C6F77"/>
    <w:multiLevelType w:val="hybridMultilevel"/>
    <w:tmpl w:val="F5464546"/>
    <w:lvl w:ilvl="0" w:tplc="33C0D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CCB10DC"/>
    <w:multiLevelType w:val="hybridMultilevel"/>
    <w:tmpl w:val="13563344"/>
    <w:lvl w:ilvl="0" w:tplc="08090001">
      <w:start w:val="1"/>
      <w:numFmt w:val="bullet"/>
      <w:lvlText w:val=""/>
      <w:lvlJc w:val="left"/>
      <w:pPr>
        <w:tabs>
          <w:tab w:val="num" w:pos="753"/>
        </w:tabs>
        <w:ind w:left="753" w:hanging="360"/>
      </w:pPr>
      <w:rPr>
        <w:rFonts w:ascii="Symbol" w:hAnsi="Symbol" w:hint="default"/>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38">
    <w:nsid w:val="2CE34DFA"/>
    <w:multiLevelType w:val="hybridMultilevel"/>
    <w:tmpl w:val="FA04052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nsid w:val="322A4331"/>
    <w:multiLevelType w:val="multilevel"/>
    <w:tmpl w:val="9558CE62"/>
    <w:lvl w:ilvl="0">
      <w:start w:val="1"/>
      <w:numFmt w:val="decimal"/>
      <w:lvlText w:val="%1."/>
      <w:lvlJc w:val="left"/>
      <w:pPr>
        <w:tabs>
          <w:tab w:val="num" w:pos="862"/>
        </w:tabs>
        <w:ind w:left="862"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nsid w:val="32923BD6"/>
    <w:multiLevelType w:val="hybridMultilevel"/>
    <w:tmpl w:val="77B4C4FA"/>
    <w:lvl w:ilvl="0" w:tplc="9F529804">
      <w:start w:val="1"/>
      <w:numFmt w:val="bullet"/>
      <w:lvlText w:val=""/>
      <w:lvlJc w:val="left"/>
      <w:pPr>
        <w:tabs>
          <w:tab w:val="num" w:pos="1080"/>
        </w:tabs>
        <w:ind w:left="1080" w:hanging="360"/>
      </w:pPr>
      <w:rPr>
        <w:rFonts w:ascii="Symbol" w:hAnsi="Symbol" w:hint="default"/>
        <w:sz w:val="20"/>
      </w:rPr>
    </w:lvl>
    <w:lvl w:ilvl="1" w:tplc="53D8DE38" w:tentative="1">
      <w:start w:val="1"/>
      <w:numFmt w:val="bullet"/>
      <w:lvlText w:val="o"/>
      <w:lvlJc w:val="left"/>
      <w:pPr>
        <w:ind w:left="2160" w:hanging="360"/>
      </w:pPr>
      <w:rPr>
        <w:rFonts w:ascii="Courier New" w:hAnsi="Courier New" w:cs="Courier New" w:hint="default"/>
      </w:rPr>
    </w:lvl>
    <w:lvl w:ilvl="2" w:tplc="95EA9A0A" w:tentative="1">
      <w:start w:val="1"/>
      <w:numFmt w:val="bullet"/>
      <w:lvlText w:val=""/>
      <w:lvlJc w:val="left"/>
      <w:pPr>
        <w:ind w:left="2880" w:hanging="360"/>
      </w:pPr>
      <w:rPr>
        <w:rFonts w:ascii="Wingdings" w:hAnsi="Wingdings" w:hint="default"/>
      </w:rPr>
    </w:lvl>
    <w:lvl w:ilvl="3" w:tplc="18F4B6BA" w:tentative="1">
      <w:start w:val="1"/>
      <w:numFmt w:val="bullet"/>
      <w:lvlText w:val=""/>
      <w:lvlJc w:val="left"/>
      <w:pPr>
        <w:ind w:left="3600" w:hanging="360"/>
      </w:pPr>
      <w:rPr>
        <w:rFonts w:ascii="Symbol" w:hAnsi="Symbol" w:hint="default"/>
      </w:rPr>
    </w:lvl>
    <w:lvl w:ilvl="4" w:tplc="9B906972" w:tentative="1">
      <w:start w:val="1"/>
      <w:numFmt w:val="bullet"/>
      <w:lvlText w:val="o"/>
      <w:lvlJc w:val="left"/>
      <w:pPr>
        <w:ind w:left="4320" w:hanging="360"/>
      </w:pPr>
      <w:rPr>
        <w:rFonts w:ascii="Courier New" w:hAnsi="Courier New" w:cs="Courier New" w:hint="default"/>
      </w:rPr>
    </w:lvl>
    <w:lvl w:ilvl="5" w:tplc="DC0C42AE" w:tentative="1">
      <w:start w:val="1"/>
      <w:numFmt w:val="bullet"/>
      <w:lvlText w:val=""/>
      <w:lvlJc w:val="left"/>
      <w:pPr>
        <w:ind w:left="5040" w:hanging="360"/>
      </w:pPr>
      <w:rPr>
        <w:rFonts w:ascii="Wingdings" w:hAnsi="Wingdings" w:hint="default"/>
      </w:rPr>
    </w:lvl>
    <w:lvl w:ilvl="6" w:tplc="7C5E9976" w:tentative="1">
      <w:start w:val="1"/>
      <w:numFmt w:val="bullet"/>
      <w:lvlText w:val=""/>
      <w:lvlJc w:val="left"/>
      <w:pPr>
        <w:ind w:left="5760" w:hanging="360"/>
      </w:pPr>
      <w:rPr>
        <w:rFonts w:ascii="Symbol" w:hAnsi="Symbol" w:hint="default"/>
      </w:rPr>
    </w:lvl>
    <w:lvl w:ilvl="7" w:tplc="E95CF8D6" w:tentative="1">
      <w:start w:val="1"/>
      <w:numFmt w:val="bullet"/>
      <w:lvlText w:val="o"/>
      <w:lvlJc w:val="left"/>
      <w:pPr>
        <w:ind w:left="6480" w:hanging="360"/>
      </w:pPr>
      <w:rPr>
        <w:rFonts w:ascii="Courier New" w:hAnsi="Courier New" w:cs="Courier New" w:hint="default"/>
      </w:rPr>
    </w:lvl>
    <w:lvl w:ilvl="8" w:tplc="D0FC100A" w:tentative="1">
      <w:start w:val="1"/>
      <w:numFmt w:val="bullet"/>
      <w:lvlText w:val=""/>
      <w:lvlJc w:val="left"/>
      <w:pPr>
        <w:ind w:left="7200" w:hanging="360"/>
      </w:pPr>
      <w:rPr>
        <w:rFonts w:ascii="Wingdings" w:hAnsi="Wingdings" w:hint="default"/>
      </w:rPr>
    </w:lvl>
  </w:abstractNum>
  <w:abstractNum w:abstractNumId="41">
    <w:nsid w:val="32DE378D"/>
    <w:multiLevelType w:val="hybridMultilevel"/>
    <w:tmpl w:val="2B00F39A"/>
    <w:lvl w:ilvl="0" w:tplc="540485AA">
      <w:start w:val="1"/>
      <w:numFmt w:val="bullet"/>
      <w:pStyle w:val="Bullet"/>
      <w:lvlText w:val=""/>
      <w:lvlJc w:val="left"/>
      <w:pPr>
        <w:ind w:left="720" w:hanging="360"/>
      </w:pPr>
      <w:rPr>
        <w:rFonts w:ascii="Symbol" w:hAnsi="Symbol" w:hint="default"/>
      </w:rPr>
    </w:lvl>
    <w:lvl w:ilvl="1" w:tplc="73E0EDB6">
      <w:start w:val="1"/>
      <w:numFmt w:val="bullet"/>
      <w:lvlText w:val="o"/>
      <w:lvlJc w:val="left"/>
      <w:pPr>
        <w:ind w:left="1440" w:hanging="360"/>
      </w:pPr>
      <w:rPr>
        <w:rFonts w:ascii="Courier New" w:hAnsi="Courier New" w:cs="Courier New" w:hint="default"/>
      </w:rPr>
    </w:lvl>
    <w:lvl w:ilvl="2" w:tplc="1AE4E406" w:tentative="1">
      <w:start w:val="1"/>
      <w:numFmt w:val="bullet"/>
      <w:lvlText w:val=""/>
      <w:lvlJc w:val="left"/>
      <w:pPr>
        <w:ind w:left="2160" w:hanging="360"/>
      </w:pPr>
      <w:rPr>
        <w:rFonts w:ascii="Wingdings" w:hAnsi="Wingdings" w:hint="default"/>
      </w:rPr>
    </w:lvl>
    <w:lvl w:ilvl="3" w:tplc="6908AE20" w:tentative="1">
      <w:start w:val="1"/>
      <w:numFmt w:val="bullet"/>
      <w:lvlText w:val=""/>
      <w:lvlJc w:val="left"/>
      <w:pPr>
        <w:ind w:left="2880" w:hanging="360"/>
      </w:pPr>
      <w:rPr>
        <w:rFonts w:ascii="Symbol" w:hAnsi="Symbol" w:hint="default"/>
      </w:rPr>
    </w:lvl>
    <w:lvl w:ilvl="4" w:tplc="AD46D1B6" w:tentative="1">
      <w:start w:val="1"/>
      <w:numFmt w:val="bullet"/>
      <w:lvlText w:val="o"/>
      <w:lvlJc w:val="left"/>
      <w:pPr>
        <w:ind w:left="3600" w:hanging="360"/>
      </w:pPr>
      <w:rPr>
        <w:rFonts w:ascii="Courier New" w:hAnsi="Courier New" w:cs="Courier New" w:hint="default"/>
      </w:rPr>
    </w:lvl>
    <w:lvl w:ilvl="5" w:tplc="AAE45866" w:tentative="1">
      <w:start w:val="1"/>
      <w:numFmt w:val="bullet"/>
      <w:lvlText w:val=""/>
      <w:lvlJc w:val="left"/>
      <w:pPr>
        <w:ind w:left="4320" w:hanging="360"/>
      </w:pPr>
      <w:rPr>
        <w:rFonts w:ascii="Wingdings" w:hAnsi="Wingdings" w:hint="default"/>
      </w:rPr>
    </w:lvl>
    <w:lvl w:ilvl="6" w:tplc="A2C26928" w:tentative="1">
      <w:start w:val="1"/>
      <w:numFmt w:val="bullet"/>
      <w:lvlText w:val=""/>
      <w:lvlJc w:val="left"/>
      <w:pPr>
        <w:ind w:left="5040" w:hanging="360"/>
      </w:pPr>
      <w:rPr>
        <w:rFonts w:ascii="Symbol" w:hAnsi="Symbol" w:hint="default"/>
      </w:rPr>
    </w:lvl>
    <w:lvl w:ilvl="7" w:tplc="9C643BFA" w:tentative="1">
      <w:start w:val="1"/>
      <w:numFmt w:val="bullet"/>
      <w:lvlText w:val="o"/>
      <w:lvlJc w:val="left"/>
      <w:pPr>
        <w:ind w:left="5760" w:hanging="360"/>
      </w:pPr>
      <w:rPr>
        <w:rFonts w:ascii="Courier New" w:hAnsi="Courier New" w:cs="Courier New" w:hint="default"/>
      </w:rPr>
    </w:lvl>
    <w:lvl w:ilvl="8" w:tplc="2F5E8DDA" w:tentative="1">
      <w:start w:val="1"/>
      <w:numFmt w:val="bullet"/>
      <w:lvlText w:val=""/>
      <w:lvlJc w:val="left"/>
      <w:pPr>
        <w:ind w:left="6480" w:hanging="360"/>
      </w:pPr>
      <w:rPr>
        <w:rFonts w:ascii="Wingdings" w:hAnsi="Wingdings" w:hint="default"/>
      </w:rPr>
    </w:lvl>
  </w:abstractNum>
  <w:abstractNum w:abstractNumId="42">
    <w:nsid w:val="34294042"/>
    <w:multiLevelType w:val="hybridMultilevel"/>
    <w:tmpl w:val="AB60E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50D67EA"/>
    <w:multiLevelType w:val="hybridMultilevel"/>
    <w:tmpl w:val="7E2A986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4">
    <w:nsid w:val="351F1E73"/>
    <w:multiLevelType w:val="hybridMultilevel"/>
    <w:tmpl w:val="DE92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5E54D0C"/>
    <w:multiLevelType w:val="singleLevel"/>
    <w:tmpl w:val="F02C6FD0"/>
    <w:lvl w:ilvl="0">
      <w:start w:val="1"/>
      <w:numFmt w:val="bullet"/>
      <w:pStyle w:val="Bullets"/>
      <w:lvlText w:val=""/>
      <w:lvlJc w:val="left"/>
      <w:pPr>
        <w:tabs>
          <w:tab w:val="num" w:pos="397"/>
        </w:tabs>
        <w:ind w:left="397" w:hanging="397"/>
      </w:pPr>
      <w:rPr>
        <w:rFonts w:ascii="Wingdings" w:hAnsi="Wingdings" w:hint="default"/>
        <w:sz w:val="12"/>
      </w:rPr>
    </w:lvl>
  </w:abstractNum>
  <w:abstractNum w:abstractNumId="46">
    <w:nsid w:val="37253CEF"/>
    <w:multiLevelType w:val="hybridMultilevel"/>
    <w:tmpl w:val="52BA2AC4"/>
    <w:lvl w:ilvl="0" w:tplc="0809000F">
      <w:start w:val="1"/>
      <w:numFmt w:val="decimal"/>
      <w:lvlText w:val="%1."/>
      <w:lvlJc w:val="left"/>
      <w:pPr>
        <w:tabs>
          <w:tab w:val="num" w:pos="720"/>
        </w:tabs>
        <w:ind w:left="720" w:hanging="360"/>
      </w:pPr>
      <w:rPr>
        <w:rFonts w:hint="default"/>
      </w:rPr>
    </w:lvl>
    <w:lvl w:ilvl="1" w:tplc="DDB62DEC">
      <w:start w:val="1"/>
      <w:numFmt w:val="bullet"/>
      <w:lvlText w:val=""/>
      <w:lvlJc w:val="left"/>
      <w:pPr>
        <w:tabs>
          <w:tab w:val="num" w:pos="1440"/>
        </w:tabs>
        <w:ind w:left="1440" w:hanging="360"/>
      </w:pPr>
      <w:rPr>
        <w:rFonts w:ascii="Symbol" w:hAnsi="Symbol" w:hint="default"/>
      </w:rPr>
    </w:lvl>
    <w:lvl w:ilvl="2" w:tplc="42C4E6D2">
      <w:start w:val="1"/>
      <w:numFmt w:val="bullet"/>
      <w:lvlText w:val=""/>
      <w:lvlJc w:val="left"/>
      <w:pPr>
        <w:tabs>
          <w:tab w:val="num" w:pos="2160"/>
        </w:tabs>
        <w:ind w:left="2160" w:hanging="360"/>
      </w:pPr>
      <w:rPr>
        <w:rFonts w:ascii="Symbol" w:hAnsi="Symbol" w:hint="default"/>
      </w:rPr>
    </w:lvl>
    <w:lvl w:ilvl="3" w:tplc="96444DA2">
      <w:start w:val="1"/>
      <w:numFmt w:val="bullet"/>
      <w:lvlText w:val=""/>
      <w:lvlJc w:val="left"/>
      <w:pPr>
        <w:tabs>
          <w:tab w:val="num" w:pos="2880"/>
        </w:tabs>
        <w:ind w:left="2880" w:hanging="360"/>
      </w:pPr>
      <w:rPr>
        <w:rFonts w:ascii="Symbol" w:hAnsi="Symbol" w:hint="default"/>
      </w:rPr>
    </w:lvl>
    <w:lvl w:ilvl="4" w:tplc="BB5C6CD2">
      <w:start w:val="1"/>
      <w:numFmt w:val="bullet"/>
      <w:lvlText w:val=""/>
      <w:lvlJc w:val="left"/>
      <w:pPr>
        <w:tabs>
          <w:tab w:val="num" w:pos="3600"/>
        </w:tabs>
        <w:ind w:left="3600" w:hanging="360"/>
      </w:pPr>
      <w:rPr>
        <w:rFonts w:ascii="Symbol" w:hAnsi="Symbol" w:hint="default"/>
      </w:rPr>
    </w:lvl>
    <w:lvl w:ilvl="5" w:tplc="1C961974">
      <w:start w:val="1"/>
      <w:numFmt w:val="bullet"/>
      <w:lvlText w:val=""/>
      <w:lvlJc w:val="left"/>
      <w:pPr>
        <w:tabs>
          <w:tab w:val="num" w:pos="4320"/>
        </w:tabs>
        <w:ind w:left="4320" w:hanging="360"/>
      </w:pPr>
      <w:rPr>
        <w:rFonts w:ascii="Symbol" w:hAnsi="Symbol" w:hint="default"/>
      </w:rPr>
    </w:lvl>
    <w:lvl w:ilvl="6" w:tplc="018A77EE">
      <w:start w:val="1"/>
      <w:numFmt w:val="bullet"/>
      <w:lvlText w:val=""/>
      <w:lvlJc w:val="left"/>
      <w:pPr>
        <w:tabs>
          <w:tab w:val="num" w:pos="5040"/>
        </w:tabs>
        <w:ind w:left="5040" w:hanging="360"/>
      </w:pPr>
      <w:rPr>
        <w:rFonts w:ascii="Symbol" w:hAnsi="Symbol" w:hint="default"/>
      </w:rPr>
    </w:lvl>
    <w:lvl w:ilvl="7" w:tplc="69A8A7CE">
      <w:start w:val="1"/>
      <w:numFmt w:val="bullet"/>
      <w:lvlText w:val=""/>
      <w:lvlJc w:val="left"/>
      <w:pPr>
        <w:tabs>
          <w:tab w:val="num" w:pos="5760"/>
        </w:tabs>
        <w:ind w:left="5760" w:hanging="360"/>
      </w:pPr>
      <w:rPr>
        <w:rFonts w:ascii="Symbol" w:hAnsi="Symbol" w:hint="default"/>
      </w:rPr>
    </w:lvl>
    <w:lvl w:ilvl="8" w:tplc="FB12AEF6">
      <w:start w:val="1"/>
      <w:numFmt w:val="bullet"/>
      <w:lvlText w:val=""/>
      <w:lvlJc w:val="left"/>
      <w:pPr>
        <w:tabs>
          <w:tab w:val="num" w:pos="6480"/>
        </w:tabs>
        <w:ind w:left="6480" w:hanging="360"/>
      </w:pPr>
      <w:rPr>
        <w:rFonts w:ascii="Symbol" w:hAnsi="Symbol" w:hint="default"/>
      </w:rPr>
    </w:lvl>
  </w:abstractNum>
  <w:abstractNum w:abstractNumId="47">
    <w:nsid w:val="37475BFE"/>
    <w:multiLevelType w:val="hybridMultilevel"/>
    <w:tmpl w:val="5DFAB2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79B6D49"/>
    <w:multiLevelType w:val="hybridMultilevel"/>
    <w:tmpl w:val="BE2E7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8914DAE"/>
    <w:multiLevelType w:val="hybridMultilevel"/>
    <w:tmpl w:val="9238F6C6"/>
    <w:lvl w:ilvl="0" w:tplc="DEAE77DC">
      <w:start w:val="1"/>
      <w:numFmt w:val="bullet"/>
      <w:lvlText w:val=""/>
      <w:lvlJc w:val="left"/>
      <w:pPr>
        <w:ind w:left="1080" w:hanging="360"/>
      </w:pPr>
      <w:rPr>
        <w:rFonts w:ascii="Symbol" w:hAnsi="Symbol" w:hint="default"/>
      </w:rPr>
    </w:lvl>
    <w:lvl w:ilvl="1" w:tplc="9B3A7298" w:tentative="1">
      <w:start w:val="1"/>
      <w:numFmt w:val="bullet"/>
      <w:lvlText w:val="o"/>
      <w:lvlJc w:val="left"/>
      <w:pPr>
        <w:ind w:left="1800" w:hanging="360"/>
      </w:pPr>
      <w:rPr>
        <w:rFonts w:ascii="Courier New" w:hAnsi="Courier New" w:cs="Courier New" w:hint="default"/>
      </w:rPr>
    </w:lvl>
    <w:lvl w:ilvl="2" w:tplc="A1720862" w:tentative="1">
      <w:start w:val="1"/>
      <w:numFmt w:val="bullet"/>
      <w:lvlText w:val=""/>
      <w:lvlJc w:val="left"/>
      <w:pPr>
        <w:ind w:left="2520" w:hanging="360"/>
      </w:pPr>
      <w:rPr>
        <w:rFonts w:ascii="Wingdings" w:hAnsi="Wingdings" w:hint="default"/>
      </w:rPr>
    </w:lvl>
    <w:lvl w:ilvl="3" w:tplc="E27C45B4" w:tentative="1">
      <w:start w:val="1"/>
      <w:numFmt w:val="bullet"/>
      <w:lvlText w:val=""/>
      <w:lvlJc w:val="left"/>
      <w:pPr>
        <w:ind w:left="3240" w:hanging="360"/>
      </w:pPr>
      <w:rPr>
        <w:rFonts w:ascii="Symbol" w:hAnsi="Symbol" w:hint="default"/>
      </w:rPr>
    </w:lvl>
    <w:lvl w:ilvl="4" w:tplc="6A2A4E1A" w:tentative="1">
      <w:start w:val="1"/>
      <w:numFmt w:val="bullet"/>
      <w:lvlText w:val="o"/>
      <w:lvlJc w:val="left"/>
      <w:pPr>
        <w:ind w:left="3960" w:hanging="360"/>
      </w:pPr>
      <w:rPr>
        <w:rFonts w:ascii="Courier New" w:hAnsi="Courier New" w:cs="Courier New" w:hint="default"/>
      </w:rPr>
    </w:lvl>
    <w:lvl w:ilvl="5" w:tplc="95CADBCC" w:tentative="1">
      <w:start w:val="1"/>
      <w:numFmt w:val="bullet"/>
      <w:lvlText w:val=""/>
      <w:lvlJc w:val="left"/>
      <w:pPr>
        <w:ind w:left="4680" w:hanging="360"/>
      </w:pPr>
      <w:rPr>
        <w:rFonts w:ascii="Wingdings" w:hAnsi="Wingdings" w:hint="default"/>
      </w:rPr>
    </w:lvl>
    <w:lvl w:ilvl="6" w:tplc="A77A605C" w:tentative="1">
      <w:start w:val="1"/>
      <w:numFmt w:val="bullet"/>
      <w:lvlText w:val=""/>
      <w:lvlJc w:val="left"/>
      <w:pPr>
        <w:ind w:left="5400" w:hanging="360"/>
      </w:pPr>
      <w:rPr>
        <w:rFonts w:ascii="Symbol" w:hAnsi="Symbol" w:hint="default"/>
      </w:rPr>
    </w:lvl>
    <w:lvl w:ilvl="7" w:tplc="2C5896AA" w:tentative="1">
      <w:start w:val="1"/>
      <w:numFmt w:val="bullet"/>
      <w:lvlText w:val="o"/>
      <w:lvlJc w:val="left"/>
      <w:pPr>
        <w:ind w:left="6120" w:hanging="360"/>
      </w:pPr>
      <w:rPr>
        <w:rFonts w:ascii="Courier New" w:hAnsi="Courier New" w:cs="Courier New" w:hint="default"/>
      </w:rPr>
    </w:lvl>
    <w:lvl w:ilvl="8" w:tplc="94DE703E" w:tentative="1">
      <w:start w:val="1"/>
      <w:numFmt w:val="bullet"/>
      <w:lvlText w:val=""/>
      <w:lvlJc w:val="left"/>
      <w:pPr>
        <w:ind w:left="6840" w:hanging="360"/>
      </w:pPr>
      <w:rPr>
        <w:rFonts w:ascii="Wingdings" w:hAnsi="Wingdings" w:hint="default"/>
      </w:rPr>
    </w:lvl>
  </w:abstractNum>
  <w:abstractNum w:abstractNumId="50">
    <w:nsid w:val="3B527191"/>
    <w:multiLevelType w:val="hybridMultilevel"/>
    <w:tmpl w:val="054A6AE4"/>
    <w:lvl w:ilvl="0" w:tplc="84F054D0">
      <w:start w:val="1"/>
      <w:numFmt w:val="bullet"/>
      <w:lvlText w:val=""/>
      <w:lvlJc w:val="left"/>
      <w:pPr>
        <w:tabs>
          <w:tab w:val="num" w:pos="1080"/>
        </w:tabs>
        <w:ind w:left="1080" w:hanging="360"/>
      </w:pPr>
      <w:rPr>
        <w:rFonts w:ascii="Symbol" w:hAnsi="Symbol" w:hint="default"/>
        <w:sz w:val="20"/>
      </w:rPr>
    </w:lvl>
    <w:lvl w:ilvl="1" w:tplc="361C2BCA" w:tentative="1">
      <w:start w:val="1"/>
      <w:numFmt w:val="bullet"/>
      <w:lvlText w:val="o"/>
      <w:lvlJc w:val="left"/>
      <w:pPr>
        <w:ind w:left="2160" w:hanging="360"/>
      </w:pPr>
      <w:rPr>
        <w:rFonts w:ascii="Courier New" w:hAnsi="Courier New" w:cs="Courier New" w:hint="default"/>
      </w:rPr>
    </w:lvl>
    <w:lvl w:ilvl="2" w:tplc="62FCEA22" w:tentative="1">
      <w:start w:val="1"/>
      <w:numFmt w:val="bullet"/>
      <w:lvlText w:val=""/>
      <w:lvlJc w:val="left"/>
      <w:pPr>
        <w:ind w:left="2880" w:hanging="360"/>
      </w:pPr>
      <w:rPr>
        <w:rFonts w:ascii="Wingdings" w:hAnsi="Wingdings" w:hint="default"/>
      </w:rPr>
    </w:lvl>
    <w:lvl w:ilvl="3" w:tplc="97DA24E6" w:tentative="1">
      <w:start w:val="1"/>
      <w:numFmt w:val="bullet"/>
      <w:lvlText w:val=""/>
      <w:lvlJc w:val="left"/>
      <w:pPr>
        <w:ind w:left="3600" w:hanging="360"/>
      </w:pPr>
      <w:rPr>
        <w:rFonts w:ascii="Symbol" w:hAnsi="Symbol" w:hint="default"/>
      </w:rPr>
    </w:lvl>
    <w:lvl w:ilvl="4" w:tplc="F2A8DF98" w:tentative="1">
      <w:start w:val="1"/>
      <w:numFmt w:val="bullet"/>
      <w:lvlText w:val="o"/>
      <w:lvlJc w:val="left"/>
      <w:pPr>
        <w:ind w:left="4320" w:hanging="360"/>
      </w:pPr>
      <w:rPr>
        <w:rFonts w:ascii="Courier New" w:hAnsi="Courier New" w:cs="Courier New" w:hint="default"/>
      </w:rPr>
    </w:lvl>
    <w:lvl w:ilvl="5" w:tplc="6040E4A6" w:tentative="1">
      <w:start w:val="1"/>
      <w:numFmt w:val="bullet"/>
      <w:lvlText w:val=""/>
      <w:lvlJc w:val="left"/>
      <w:pPr>
        <w:ind w:left="5040" w:hanging="360"/>
      </w:pPr>
      <w:rPr>
        <w:rFonts w:ascii="Wingdings" w:hAnsi="Wingdings" w:hint="default"/>
      </w:rPr>
    </w:lvl>
    <w:lvl w:ilvl="6" w:tplc="7A105098" w:tentative="1">
      <w:start w:val="1"/>
      <w:numFmt w:val="bullet"/>
      <w:lvlText w:val=""/>
      <w:lvlJc w:val="left"/>
      <w:pPr>
        <w:ind w:left="5760" w:hanging="360"/>
      </w:pPr>
      <w:rPr>
        <w:rFonts w:ascii="Symbol" w:hAnsi="Symbol" w:hint="default"/>
      </w:rPr>
    </w:lvl>
    <w:lvl w:ilvl="7" w:tplc="53A43C2C" w:tentative="1">
      <w:start w:val="1"/>
      <w:numFmt w:val="bullet"/>
      <w:lvlText w:val="o"/>
      <w:lvlJc w:val="left"/>
      <w:pPr>
        <w:ind w:left="6480" w:hanging="360"/>
      </w:pPr>
      <w:rPr>
        <w:rFonts w:ascii="Courier New" w:hAnsi="Courier New" w:cs="Courier New" w:hint="default"/>
      </w:rPr>
    </w:lvl>
    <w:lvl w:ilvl="8" w:tplc="DBBA1EEA" w:tentative="1">
      <w:start w:val="1"/>
      <w:numFmt w:val="bullet"/>
      <w:lvlText w:val=""/>
      <w:lvlJc w:val="left"/>
      <w:pPr>
        <w:ind w:left="7200" w:hanging="360"/>
      </w:pPr>
      <w:rPr>
        <w:rFonts w:ascii="Wingdings" w:hAnsi="Wingdings" w:hint="default"/>
      </w:rPr>
    </w:lvl>
  </w:abstractNum>
  <w:abstractNum w:abstractNumId="51">
    <w:nsid w:val="3B7F26DD"/>
    <w:multiLevelType w:val="hybridMultilevel"/>
    <w:tmpl w:val="5FF0F0D6"/>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2">
    <w:nsid w:val="3BA85150"/>
    <w:multiLevelType w:val="hybridMultilevel"/>
    <w:tmpl w:val="81AC427A"/>
    <w:lvl w:ilvl="0" w:tplc="2466DA48">
      <w:start w:val="1"/>
      <w:numFmt w:val="bullet"/>
      <w:lvlText w:val=""/>
      <w:lvlJc w:val="left"/>
      <w:pPr>
        <w:ind w:left="1070" w:hanging="360"/>
      </w:pPr>
      <w:rPr>
        <w:rFonts w:ascii="Symbol" w:hAnsi="Symbol" w:hint="default"/>
      </w:rPr>
    </w:lvl>
    <w:lvl w:ilvl="1" w:tplc="79BC9446" w:tentative="1">
      <w:start w:val="1"/>
      <w:numFmt w:val="bullet"/>
      <w:lvlText w:val="o"/>
      <w:lvlJc w:val="left"/>
      <w:pPr>
        <w:ind w:left="1790" w:hanging="360"/>
      </w:pPr>
      <w:rPr>
        <w:rFonts w:ascii="Courier New" w:hAnsi="Courier New" w:cs="Courier New" w:hint="default"/>
      </w:rPr>
    </w:lvl>
    <w:lvl w:ilvl="2" w:tplc="C34486F6" w:tentative="1">
      <w:start w:val="1"/>
      <w:numFmt w:val="bullet"/>
      <w:lvlText w:val=""/>
      <w:lvlJc w:val="left"/>
      <w:pPr>
        <w:ind w:left="2510" w:hanging="360"/>
      </w:pPr>
      <w:rPr>
        <w:rFonts w:ascii="Wingdings" w:hAnsi="Wingdings" w:hint="default"/>
      </w:rPr>
    </w:lvl>
    <w:lvl w:ilvl="3" w:tplc="FE56E762" w:tentative="1">
      <w:start w:val="1"/>
      <w:numFmt w:val="bullet"/>
      <w:lvlText w:val=""/>
      <w:lvlJc w:val="left"/>
      <w:pPr>
        <w:ind w:left="3230" w:hanging="360"/>
      </w:pPr>
      <w:rPr>
        <w:rFonts w:ascii="Symbol" w:hAnsi="Symbol" w:hint="default"/>
      </w:rPr>
    </w:lvl>
    <w:lvl w:ilvl="4" w:tplc="52F84AE6" w:tentative="1">
      <w:start w:val="1"/>
      <w:numFmt w:val="bullet"/>
      <w:lvlText w:val="o"/>
      <w:lvlJc w:val="left"/>
      <w:pPr>
        <w:ind w:left="3950" w:hanging="360"/>
      </w:pPr>
      <w:rPr>
        <w:rFonts w:ascii="Courier New" w:hAnsi="Courier New" w:cs="Courier New" w:hint="default"/>
      </w:rPr>
    </w:lvl>
    <w:lvl w:ilvl="5" w:tplc="C01A28C4" w:tentative="1">
      <w:start w:val="1"/>
      <w:numFmt w:val="bullet"/>
      <w:lvlText w:val=""/>
      <w:lvlJc w:val="left"/>
      <w:pPr>
        <w:ind w:left="4670" w:hanging="360"/>
      </w:pPr>
      <w:rPr>
        <w:rFonts w:ascii="Wingdings" w:hAnsi="Wingdings" w:hint="default"/>
      </w:rPr>
    </w:lvl>
    <w:lvl w:ilvl="6" w:tplc="71FA178A" w:tentative="1">
      <w:start w:val="1"/>
      <w:numFmt w:val="bullet"/>
      <w:lvlText w:val=""/>
      <w:lvlJc w:val="left"/>
      <w:pPr>
        <w:ind w:left="5390" w:hanging="360"/>
      </w:pPr>
      <w:rPr>
        <w:rFonts w:ascii="Symbol" w:hAnsi="Symbol" w:hint="default"/>
      </w:rPr>
    </w:lvl>
    <w:lvl w:ilvl="7" w:tplc="8F5E9BF2" w:tentative="1">
      <w:start w:val="1"/>
      <w:numFmt w:val="bullet"/>
      <w:lvlText w:val="o"/>
      <w:lvlJc w:val="left"/>
      <w:pPr>
        <w:ind w:left="6110" w:hanging="360"/>
      </w:pPr>
      <w:rPr>
        <w:rFonts w:ascii="Courier New" w:hAnsi="Courier New" w:cs="Courier New" w:hint="default"/>
      </w:rPr>
    </w:lvl>
    <w:lvl w:ilvl="8" w:tplc="F878B218" w:tentative="1">
      <w:start w:val="1"/>
      <w:numFmt w:val="bullet"/>
      <w:lvlText w:val=""/>
      <w:lvlJc w:val="left"/>
      <w:pPr>
        <w:ind w:left="6830" w:hanging="360"/>
      </w:pPr>
      <w:rPr>
        <w:rFonts w:ascii="Wingdings" w:hAnsi="Wingdings" w:hint="default"/>
      </w:rPr>
    </w:lvl>
  </w:abstractNum>
  <w:abstractNum w:abstractNumId="53">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BulletSingle2"/>
      <w:lvlText w:val="%1.%2"/>
      <w:lvlJc w:val="left"/>
      <w:pPr>
        <w:tabs>
          <w:tab w:val="num" w:pos="720"/>
        </w:tabs>
        <w:ind w:left="720" w:hanging="720"/>
      </w:pPr>
      <w:rPr>
        <w:rFonts w:ascii="Arial" w:hAnsi="Arial" w:hint="default"/>
        <w:b w:val="0"/>
        <w:i w:val="0"/>
        <w:sz w:val="22"/>
        <w:szCs w:val="22"/>
      </w:rPr>
    </w:lvl>
    <w:lvl w:ilvl="2">
      <w:start w:val="1"/>
      <w:numFmt w:val="decimal"/>
      <w:pStyle w:val="BulletSingle2"/>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3DDA2447"/>
    <w:multiLevelType w:val="hybridMultilevel"/>
    <w:tmpl w:val="DC02DA7C"/>
    <w:lvl w:ilvl="0" w:tplc="20DCDCC8">
      <w:start w:val="1"/>
      <w:numFmt w:val="bullet"/>
      <w:lvlText w:val=""/>
      <w:lvlJc w:val="left"/>
      <w:pPr>
        <w:tabs>
          <w:tab w:val="num" w:pos="1212"/>
        </w:tabs>
        <w:ind w:left="1212" w:hanging="360"/>
      </w:pPr>
      <w:rPr>
        <w:rFonts w:ascii="Symbol" w:hAnsi="Symbol" w:hint="default"/>
      </w:rPr>
    </w:lvl>
    <w:lvl w:ilvl="1" w:tplc="A6FC9870" w:tentative="1">
      <w:start w:val="1"/>
      <w:numFmt w:val="bullet"/>
      <w:lvlText w:val="o"/>
      <w:lvlJc w:val="left"/>
      <w:pPr>
        <w:tabs>
          <w:tab w:val="num" w:pos="2073"/>
        </w:tabs>
        <w:ind w:left="2073" w:hanging="360"/>
      </w:pPr>
      <w:rPr>
        <w:rFonts w:ascii="Courier New" w:hAnsi="Courier New" w:cs="Courier New" w:hint="default"/>
      </w:rPr>
    </w:lvl>
    <w:lvl w:ilvl="2" w:tplc="AC3E45BE" w:tentative="1">
      <w:start w:val="1"/>
      <w:numFmt w:val="bullet"/>
      <w:lvlText w:val=""/>
      <w:lvlJc w:val="left"/>
      <w:pPr>
        <w:tabs>
          <w:tab w:val="num" w:pos="2793"/>
        </w:tabs>
        <w:ind w:left="2793" w:hanging="360"/>
      </w:pPr>
      <w:rPr>
        <w:rFonts w:ascii="Wingdings" w:hAnsi="Wingdings" w:hint="default"/>
      </w:rPr>
    </w:lvl>
    <w:lvl w:ilvl="3" w:tplc="E4E6F088" w:tentative="1">
      <w:start w:val="1"/>
      <w:numFmt w:val="bullet"/>
      <w:lvlText w:val=""/>
      <w:lvlJc w:val="left"/>
      <w:pPr>
        <w:tabs>
          <w:tab w:val="num" w:pos="3513"/>
        </w:tabs>
        <w:ind w:left="3513" w:hanging="360"/>
      </w:pPr>
      <w:rPr>
        <w:rFonts w:ascii="Symbol" w:hAnsi="Symbol" w:hint="default"/>
      </w:rPr>
    </w:lvl>
    <w:lvl w:ilvl="4" w:tplc="4C806402" w:tentative="1">
      <w:start w:val="1"/>
      <w:numFmt w:val="bullet"/>
      <w:lvlText w:val="o"/>
      <w:lvlJc w:val="left"/>
      <w:pPr>
        <w:tabs>
          <w:tab w:val="num" w:pos="4233"/>
        </w:tabs>
        <w:ind w:left="4233" w:hanging="360"/>
      </w:pPr>
      <w:rPr>
        <w:rFonts w:ascii="Courier New" w:hAnsi="Courier New" w:cs="Courier New" w:hint="default"/>
      </w:rPr>
    </w:lvl>
    <w:lvl w:ilvl="5" w:tplc="376223F0" w:tentative="1">
      <w:start w:val="1"/>
      <w:numFmt w:val="bullet"/>
      <w:lvlText w:val=""/>
      <w:lvlJc w:val="left"/>
      <w:pPr>
        <w:tabs>
          <w:tab w:val="num" w:pos="4953"/>
        </w:tabs>
        <w:ind w:left="4953" w:hanging="360"/>
      </w:pPr>
      <w:rPr>
        <w:rFonts w:ascii="Wingdings" w:hAnsi="Wingdings" w:hint="default"/>
      </w:rPr>
    </w:lvl>
    <w:lvl w:ilvl="6" w:tplc="EFBC90A8" w:tentative="1">
      <w:start w:val="1"/>
      <w:numFmt w:val="bullet"/>
      <w:lvlText w:val=""/>
      <w:lvlJc w:val="left"/>
      <w:pPr>
        <w:tabs>
          <w:tab w:val="num" w:pos="5673"/>
        </w:tabs>
        <w:ind w:left="5673" w:hanging="360"/>
      </w:pPr>
      <w:rPr>
        <w:rFonts w:ascii="Symbol" w:hAnsi="Symbol" w:hint="default"/>
      </w:rPr>
    </w:lvl>
    <w:lvl w:ilvl="7" w:tplc="1AD6DAC0" w:tentative="1">
      <w:start w:val="1"/>
      <w:numFmt w:val="bullet"/>
      <w:lvlText w:val="o"/>
      <w:lvlJc w:val="left"/>
      <w:pPr>
        <w:tabs>
          <w:tab w:val="num" w:pos="6393"/>
        </w:tabs>
        <w:ind w:left="6393" w:hanging="360"/>
      </w:pPr>
      <w:rPr>
        <w:rFonts w:ascii="Courier New" w:hAnsi="Courier New" w:cs="Courier New" w:hint="default"/>
      </w:rPr>
    </w:lvl>
    <w:lvl w:ilvl="8" w:tplc="7B640F8E" w:tentative="1">
      <w:start w:val="1"/>
      <w:numFmt w:val="bullet"/>
      <w:lvlText w:val=""/>
      <w:lvlJc w:val="left"/>
      <w:pPr>
        <w:tabs>
          <w:tab w:val="num" w:pos="7113"/>
        </w:tabs>
        <w:ind w:left="7113" w:hanging="360"/>
      </w:pPr>
      <w:rPr>
        <w:rFonts w:ascii="Wingdings" w:hAnsi="Wingdings" w:hint="default"/>
      </w:rPr>
    </w:lvl>
  </w:abstractNum>
  <w:abstractNum w:abstractNumId="55">
    <w:nsid w:val="3E2B45CE"/>
    <w:multiLevelType w:val="hybridMultilevel"/>
    <w:tmpl w:val="822C300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6">
    <w:nsid w:val="400B32AD"/>
    <w:multiLevelType w:val="hybridMultilevel"/>
    <w:tmpl w:val="A88EF2A8"/>
    <w:lvl w:ilvl="0" w:tplc="F648F3CA">
      <w:start w:val="1"/>
      <w:numFmt w:val="bullet"/>
      <w:lvlText w:val=""/>
      <w:lvlJc w:val="left"/>
      <w:pPr>
        <w:ind w:left="1429" w:hanging="360"/>
      </w:pPr>
      <w:rPr>
        <w:rFonts w:ascii="Symbol" w:hAnsi="Symbol" w:hint="default"/>
      </w:rPr>
    </w:lvl>
    <w:lvl w:ilvl="1" w:tplc="10C48FA2" w:tentative="1">
      <w:start w:val="1"/>
      <w:numFmt w:val="bullet"/>
      <w:lvlText w:val="o"/>
      <w:lvlJc w:val="left"/>
      <w:pPr>
        <w:ind w:left="2149" w:hanging="360"/>
      </w:pPr>
      <w:rPr>
        <w:rFonts w:ascii="Courier New" w:hAnsi="Courier New" w:cs="Courier New" w:hint="default"/>
      </w:rPr>
    </w:lvl>
    <w:lvl w:ilvl="2" w:tplc="B7E6662A" w:tentative="1">
      <w:start w:val="1"/>
      <w:numFmt w:val="bullet"/>
      <w:lvlText w:val=""/>
      <w:lvlJc w:val="left"/>
      <w:pPr>
        <w:ind w:left="2869" w:hanging="360"/>
      </w:pPr>
      <w:rPr>
        <w:rFonts w:ascii="Wingdings" w:hAnsi="Wingdings" w:hint="default"/>
      </w:rPr>
    </w:lvl>
    <w:lvl w:ilvl="3" w:tplc="AF108640" w:tentative="1">
      <w:start w:val="1"/>
      <w:numFmt w:val="bullet"/>
      <w:lvlText w:val=""/>
      <w:lvlJc w:val="left"/>
      <w:pPr>
        <w:ind w:left="3589" w:hanging="360"/>
      </w:pPr>
      <w:rPr>
        <w:rFonts w:ascii="Symbol" w:hAnsi="Symbol" w:hint="default"/>
      </w:rPr>
    </w:lvl>
    <w:lvl w:ilvl="4" w:tplc="D630924C" w:tentative="1">
      <w:start w:val="1"/>
      <w:numFmt w:val="bullet"/>
      <w:lvlText w:val="o"/>
      <w:lvlJc w:val="left"/>
      <w:pPr>
        <w:ind w:left="4309" w:hanging="360"/>
      </w:pPr>
      <w:rPr>
        <w:rFonts w:ascii="Courier New" w:hAnsi="Courier New" w:cs="Courier New" w:hint="default"/>
      </w:rPr>
    </w:lvl>
    <w:lvl w:ilvl="5" w:tplc="0EA29CB2" w:tentative="1">
      <w:start w:val="1"/>
      <w:numFmt w:val="bullet"/>
      <w:lvlText w:val=""/>
      <w:lvlJc w:val="left"/>
      <w:pPr>
        <w:ind w:left="5029" w:hanging="360"/>
      </w:pPr>
      <w:rPr>
        <w:rFonts w:ascii="Wingdings" w:hAnsi="Wingdings" w:hint="default"/>
      </w:rPr>
    </w:lvl>
    <w:lvl w:ilvl="6" w:tplc="FBD49AC0" w:tentative="1">
      <w:start w:val="1"/>
      <w:numFmt w:val="bullet"/>
      <w:lvlText w:val=""/>
      <w:lvlJc w:val="left"/>
      <w:pPr>
        <w:ind w:left="5749" w:hanging="360"/>
      </w:pPr>
      <w:rPr>
        <w:rFonts w:ascii="Symbol" w:hAnsi="Symbol" w:hint="default"/>
      </w:rPr>
    </w:lvl>
    <w:lvl w:ilvl="7" w:tplc="358A5AFC" w:tentative="1">
      <w:start w:val="1"/>
      <w:numFmt w:val="bullet"/>
      <w:lvlText w:val="o"/>
      <w:lvlJc w:val="left"/>
      <w:pPr>
        <w:ind w:left="6469" w:hanging="360"/>
      </w:pPr>
      <w:rPr>
        <w:rFonts w:ascii="Courier New" w:hAnsi="Courier New" w:cs="Courier New" w:hint="default"/>
      </w:rPr>
    </w:lvl>
    <w:lvl w:ilvl="8" w:tplc="0574ABF8" w:tentative="1">
      <w:start w:val="1"/>
      <w:numFmt w:val="bullet"/>
      <w:lvlText w:val=""/>
      <w:lvlJc w:val="left"/>
      <w:pPr>
        <w:ind w:left="7189" w:hanging="360"/>
      </w:pPr>
      <w:rPr>
        <w:rFonts w:ascii="Wingdings" w:hAnsi="Wingdings" w:hint="default"/>
      </w:rPr>
    </w:lvl>
  </w:abstractNum>
  <w:abstractNum w:abstractNumId="57">
    <w:nsid w:val="40605E42"/>
    <w:multiLevelType w:val="hybridMultilevel"/>
    <w:tmpl w:val="A4DAD5BA"/>
    <w:lvl w:ilvl="0" w:tplc="E30CE49A">
      <w:start w:val="1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20860A3"/>
    <w:multiLevelType w:val="hybridMultilevel"/>
    <w:tmpl w:val="2DF6A548"/>
    <w:lvl w:ilvl="0" w:tplc="77182FF4">
      <w:start w:val="1"/>
      <w:numFmt w:val="decimal"/>
      <w:pStyle w:val="Heading2-numbered"/>
      <w:lvlText w:val="%1."/>
      <w:lvlJc w:val="left"/>
      <w:pPr>
        <w:ind w:left="360" w:hanging="360"/>
      </w:p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59">
    <w:nsid w:val="43FF4546"/>
    <w:multiLevelType w:val="hybridMultilevel"/>
    <w:tmpl w:val="C080A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nsid w:val="440109DB"/>
    <w:multiLevelType w:val="hybridMultilevel"/>
    <w:tmpl w:val="763672D6"/>
    <w:lvl w:ilvl="0" w:tplc="06F07038">
      <w:start w:val="1"/>
      <w:numFmt w:val="bullet"/>
      <w:lvlText w:val=""/>
      <w:lvlJc w:val="left"/>
      <w:pPr>
        <w:ind w:left="1070" w:hanging="360"/>
      </w:pPr>
      <w:rPr>
        <w:rFonts w:ascii="Symbol" w:hAnsi="Symbol" w:hint="default"/>
      </w:rPr>
    </w:lvl>
    <w:lvl w:ilvl="1" w:tplc="B26C4F30" w:tentative="1">
      <w:start w:val="1"/>
      <w:numFmt w:val="bullet"/>
      <w:lvlText w:val="o"/>
      <w:lvlJc w:val="left"/>
      <w:pPr>
        <w:ind w:left="1790" w:hanging="360"/>
      </w:pPr>
      <w:rPr>
        <w:rFonts w:ascii="Courier New" w:hAnsi="Courier New" w:cs="Courier New" w:hint="default"/>
      </w:rPr>
    </w:lvl>
    <w:lvl w:ilvl="2" w:tplc="698A3196" w:tentative="1">
      <w:start w:val="1"/>
      <w:numFmt w:val="bullet"/>
      <w:lvlText w:val=""/>
      <w:lvlJc w:val="left"/>
      <w:pPr>
        <w:ind w:left="2510" w:hanging="360"/>
      </w:pPr>
      <w:rPr>
        <w:rFonts w:ascii="Wingdings" w:hAnsi="Wingdings" w:hint="default"/>
      </w:rPr>
    </w:lvl>
    <w:lvl w:ilvl="3" w:tplc="95CA006C" w:tentative="1">
      <w:start w:val="1"/>
      <w:numFmt w:val="bullet"/>
      <w:lvlText w:val=""/>
      <w:lvlJc w:val="left"/>
      <w:pPr>
        <w:ind w:left="3230" w:hanging="360"/>
      </w:pPr>
      <w:rPr>
        <w:rFonts w:ascii="Symbol" w:hAnsi="Symbol" w:hint="default"/>
      </w:rPr>
    </w:lvl>
    <w:lvl w:ilvl="4" w:tplc="91FE60C8" w:tentative="1">
      <w:start w:val="1"/>
      <w:numFmt w:val="bullet"/>
      <w:lvlText w:val="o"/>
      <w:lvlJc w:val="left"/>
      <w:pPr>
        <w:ind w:left="3950" w:hanging="360"/>
      </w:pPr>
      <w:rPr>
        <w:rFonts w:ascii="Courier New" w:hAnsi="Courier New" w:cs="Courier New" w:hint="default"/>
      </w:rPr>
    </w:lvl>
    <w:lvl w:ilvl="5" w:tplc="4754E8C8" w:tentative="1">
      <w:start w:val="1"/>
      <w:numFmt w:val="bullet"/>
      <w:lvlText w:val=""/>
      <w:lvlJc w:val="left"/>
      <w:pPr>
        <w:ind w:left="4670" w:hanging="360"/>
      </w:pPr>
      <w:rPr>
        <w:rFonts w:ascii="Wingdings" w:hAnsi="Wingdings" w:hint="default"/>
      </w:rPr>
    </w:lvl>
    <w:lvl w:ilvl="6" w:tplc="C1EE3B6E" w:tentative="1">
      <w:start w:val="1"/>
      <w:numFmt w:val="bullet"/>
      <w:lvlText w:val=""/>
      <w:lvlJc w:val="left"/>
      <w:pPr>
        <w:ind w:left="5390" w:hanging="360"/>
      </w:pPr>
      <w:rPr>
        <w:rFonts w:ascii="Symbol" w:hAnsi="Symbol" w:hint="default"/>
      </w:rPr>
    </w:lvl>
    <w:lvl w:ilvl="7" w:tplc="4CBAD600" w:tentative="1">
      <w:start w:val="1"/>
      <w:numFmt w:val="bullet"/>
      <w:lvlText w:val="o"/>
      <w:lvlJc w:val="left"/>
      <w:pPr>
        <w:ind w:left="6110" w:hanging="360"/>
      </w:pPr>
      <w:rPr>
        <w:rFonts w:ascii="Courier New" w:hAnsi="Courier New" w:cs="Courier New" w:hint="default"/>
      </w:rPr>
    </w:lvl>
    <w:lvl w:ilvl="8" w:tplc="80B2C82A" w:tentative="1">
      <w:start w:val="1"/>
      <w:numFmt w:val="bullet"/>
      <w:lvlText w:val=""/>
      <w:lvlJc w:val="left"/>
      <w:pPr>
        <w:ind w:left="6830" w:hanging="360"/>
      </w:pPr>
      <w:rPr>
        <w:rFonts w:ascii="Wingdings" w:hAnsi="Wingdings" w:hint="default"/>
      </w:rPr>
    </w:lvl>
  </w:abstractNum>
  <w:abstractNum w:abstractNumId="61">
    <w:nsid w:val="445A722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2">
    <w:nsid w:val="44A24F3B"/>
    <w:multiLevelType w:val="hybridMultilevel"/>
    <w:tmpl w:val="CBC28D86"/>
    <w:lvl w:ilvl="0" w:tplc="7AC20B44">
      <w:start w:val="1"/>
      <w:numFmt w:val="bullet"/>
      <w:pStyle w:val="Bullet1"/>
      <w:lvlText w:val=""/>
      <w:lvlJc w:val="left"/>
      <w:pPr>
        <w:tabs>
          <w:tab w:val="num" w:pos="794"/>
        </w:tabs>
        <w:ind w:left="794" w:hanging="397"/>
      </w:pPr>
      <w:rPr>
        <w:rFonts w:ascii="Symbol" w:hAnsi="Symbol" w:hint="default"/>
      </w:rPr>
    </w:lvl>
    <w:lvl w:ilvl="1" w:tplc="704A52F2">
      <w:start w:val="1"/>
      <w:numFmt w:val="bullet"/>
      <w:lvlText w:val="o"/>
      <w:lvlJc w:val="left"/>
      <w:pPr>
        <w:tabs>
          <w:tab w:val="num" w:pos="1440"/>
        </w:tabs>
        <w:ind w:left="1440" w:hanging="360"/>
      </w:pPr>
      <w:rPr>
        <w:rFonts w:ascii="Courier New" w:hAnsi="Courier New" w:cs="Courier New" w:hint="default"/>
      </w:rPr>
    </w:lvl>
    <w:lvl w:ilvl="2" w:tplc="6BC84E56" w:tentative="1">
      <w:start w:val="1"/>
      <w:numFmt w:val="bullet"/>
      <w:lvlText w:val=""/>
      <w:lvlJc w:val="left"/>
      <w:pPr>
        <w:tabs>
          <w:tab w:val="num" w:pos="2160"/>
        </w:tabs>
        <w:ind w:left="2160" w:hanging="360"/>
      </w:pPr>
      <w:rPr>
        <w:rFonts w:ascii="Wingdings" w:hAnsi="Wingdings" w:hint="default"/>
      </w:rPr>
    </w:lvl>
    <w:lvl w:ilvl="3" w:tplc="A67EC936" w:tentative="1">
      <w:start w:val="1"/>
      <w:numFmt w:val="bullet"/>
      <w:lvlText w:val=""/>
      <w:lvlJc w:val="left"/>
      <w:pPr>
        <w:tabs>
          <w:tab w:val="num" w:pos="2880"/>
        </w:tabs>
        <w:ind w:left="2880" w:hanging="360"/>
      </w:pPr>
      <w:rPr>
        <w:rFonts w:ascii="Symbol" w:hAnsi="Symbol" w:hint="default"/>
      </w:rPr>
    </w:lvl>
    <w:lvl w:ilvl="4" w:tplc="AEF21080" w:tentative="1">
      <w:start w:val="1"/>
      <w:numFmt w:val="bullet"/>
      <w:lvlText w:val="o"/>
      <w:lvlJc w:val="left"/>
      <w:pPr>
        <w:tabs>
          <w:tab w:val="num" w:pos="3600"/>
        </w:tabs>
        <w:ind w:left="3600" w:hanging="360"/>
      </w:pPr>
      <w:rPr>
        <w:rFonts w:ascii="Courier New" w:hAnsi="Courier New" w:cs="Courier New" w:hint="default"/>
      </w:rPr>
    </w:lvl>
    <w:lvl w:ilvl="5" w:tplc="568E1FF2" w:tentative="1">
      <w:start w:val="1"/>
      <w:numFmt w:val="bullet"/>
      <w:lvlText w:val=""/>
      <w:lvlJc w:val="left"/>
      <w:pPr>
        <w:tabs>
          <w:tab w:val="num" w:pos="4320"/>
        </w:tabs>
        <w:ind w:left="4320" w:hanging="360"/>
      </w:pPr>
      <w:rPr>
        <w:rFonts w:ascii="Wingdings" w:hAnsi="Wingdings" w:hint="default"/>
      </w:rPr>
    </w:lvl>
    <w:lvl w:ilvl="6" w:tplc="D48CB26E" w:tentative="1">
      <w:start w:val="1"/>
      <w:numFmt w:val="bullet"/>
      <w:lvlText w:val=""/>
      <w:lvlJc w:val="left"/>
      <w:pPr>
        <w:tabs>
          <w:tab w:val="num" w:pos="5040"/>
        </w:tabs>
        <w:ind w:left="5040" w:hanging="360"/>
      </w:pPr>
      <w:rPr>
        <w:rFonts w:ascii="Symbol" w:hAnsi="Symbol" w:hint="default"/>
      </w:rPr>
    </w:lvl>
    <w:lvl w:ilvl="7" w:tplc="A646716E" w:tentative="1">
      <w:start w:val="1"/>
      <w:numFmt w:val="bullet"/>
      <w:lvlText w:val="o"/>
      <w:lvlJc w:val="left"/>
      <w:pPr>
        <w:tabs>
          <w:tab w:val="num" w:pos="5760"/>
        </w:tabs>
        <w:ind w:left="5760" w:hanging="360"/>
      </w:pPr>
      <w:rPr>
        <w:rFonts w:ascii="Courier New" w:hAnsi="Courier New" w:cs="Courier New" w:hint="default"/>
      </w:rPr>
    </w:lvl>
    <w:lvl w:ilvl="8" w:tplc="E4BC8996" w:tentative="1">
      <w:start w:val="1"/>
      <w:numFmt w:val="bullet"/>
      <w:lvlText w:val=""/>
      <w:lvlJc w:val="left"/>
      <w:pPr>
        <w:tabs>
          <w:tab w:val="num" w:pos="6480"/>
        </w:tabs>
        <w:ind w:left="6480" w:hanging="360"/>
      </w:pPr>
      <w:rPr>
        <w:rFonts w:ascii="Wingdings" w:hAnsi="Wingdings" w:hint="default"/>
      </w:rPr>
    </w:lvl>
  </w:abstractNum>
  <w:abstractNum w:abstractNumId="63">
    <w:nsid w:val="45797449"/>
    <w:multiLevelType w:val="hybridMultilevel"/>
    <w:tmpl w:val="F0048B9C"/>
    <w:lvl w:ilvl="0" w:tplc="74E28358">
      <w:start w:val="2"/>
      <w:numFmt w:val="bullet"/>
      <w:lvlText w:val="-"/>
      <w:lvlJc w:val="left"/>
      <w:pPr>
        <w:ind w:left="1287" w:hanging="360"/>
      </w:pPr>
      <w:rPr>
        <w:rFonts w:ascii="Times New Roman" w:hAnsi="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4">
    <w:nsid w:val="497004C2"/>
    <w:multiLevelType w:val="hybridMultilevel"/>
    <w:tmpl w:val="E45EA0BA"/>
    <w:lvl w:ilvl="0" w:tplc="63A0556C">
      <w:start w:val="12"/>
      <w:numFmt w:val="bullet"/>
      <w:lvlText w:val="-"/>
      <w:lvlJc w:val="left"/>
      <w:pPr>
        <w:tabs>
          <w:tab w:val="num" w:pos="1440"/>
        </w:tabs>
        <w:ind w:left="1440" w:hanging="360"/>
      </w:pPr>
      <w:rPr>
        <w:rFonts w:ascii="Arial" w:eastAsia="Times New Roman" w:hAnsi="Arial" w:cs="Arial" w:hint="default"/>
      </w:rPr>
    </w:lvl>
    <w:lvl w:ilvl="1" w:tplc="08090019">
      <w:start w:val="1"/>
      <w:numFmt w:val="bullet"/>
      <w:lvlText w:val="o"/>
      <w:lvlJc w:val="left"/>
      <w:pPr>
        <w:tabs>
          <w:tab w:val="num" w:pos="2160"/>
        </w:tabs>
        <w:ind w:left="2160" w:hanging="360"/>
      </w:pPr>
      <w:rPr>
        <w:rFonts w:ascii="Courier New" w:hAnsi="Courier New" w:cs="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65">
    <w:nsid w:val="4E3D47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nsid w:val="4F581E77"/>
    <w:multiLevelType w:val="hybridMultilevel"/>
    <w:tmpl w:val="E4C4D15A"/>
    <w:lvl w:ilvl="0" w:tplc="08090001">
      <w:start w:val="1"/>
      <w:numFmt w:val="bullet"/>
      <w:lvlText w:val=""/>
      <w:lvlJc w:val="left"/>
      <w:pPr>
        <w:tabs>
          <w:tab w:val="num" w:pos="5220"/>
        </w:tabs>
        <w:ind w:left="5220" w:hanging="360"/>
      </w:pPr>
      <w:rPr>
        <w:rFonts w:ascii="Wingdings" w:hAnsi="Wingdings" w:hint="default"/>
      </w:rPr>
    </w:lvl>
    <w:lvl w:ilvl="1" w:tplc="72604576">
      <w:start w:val="1"/>
      <w:numFmt w:val="bullet"/>
      <w:pStyle w:val="OutlineNum2"/>
      <w:lvlText w:val="o"/>
      <w:lvlJc w:val="left"/>
      <w:pPr>
        <w:tabs>
          <w:tab w:val="num" w:pos="1440"/>
        </w:tabs>
        <w:ind w:left="1440" w:hanging="360"/>
      </w:pPr>
      <w:rPr>
        <w:rFonts w:ascii="Courier New" w:hAnsi="Courier New" w:cs="Courier New" w:hint="default"/>
      </w:rPr>
    </w:lvl>
    <w:lvl w:ilvl="2" w:tplc="4022BC6C" w:tentative="1">
      <w:start w:val="1"/>
      <w:numFmt w:val="bullet"/>
      <w:pStyle w:val="OutlineNum3"/>
      <w:lvlText w:val=""/>
      <w:lvlJc w:val="left"/>
      <w:pPr>
        <w:tabs>
          <w:tab w:val="num" w:pos="2160"/>
        </w:tabs>
        <w:ind w:left="2160" w:hanging="360"/>
      </w:pPr>
      <w:rPr>
        <w:rFonts w:ascii="Wingdings" w:hAnsi="Wingdings" w:hint="default"/>
      </w:rPr>
    </w:lvl>
    <w:lvl w:ilvl="3" w:tplc="3426F53A" w:tentative="1">
      <w:start w:val="1"/>
      <w:numFmt w:val="bullet"/>
      <w:lvlText w:val=""/>
      <w:lvlJc w:val="left"/>
      <w:pPr>
        <w:tabs>
          <w:tab w:val="num" w:pos="2880"/>
        </w:tabs>
        <w:ind w:left="2880" w:hanging="360"/>
      </w:pPr>
      <w:rPr>
        <w:rFonts w:ascii="Symbol" w:hAnsi="Symbol" w:hint="default"/>
      </w:rPr>
    </w:lvl>
    <w:lvl w:ilvl="4" w:tplc="51187C22" w:tentative="1">
      <w:start w:val="1"/>
      <w:numFmt w:val="bullet"/>
      <w:lvlText w:val="o"/>
      <w:lvlJc w:val="left"/>
      <w:pPr>
        <w:tabs>
          <w:tab w:val="num" w:pos="3600"/>
        </w:tabs>
        <w:ind w:left="3600" w:hanging="360"/>
      </w:pPr>
      <w:rPr>
        <w:rFonts w:ascii="Courier New" w:hAnsi="Courier New" w:cs="Courier New" w:hint="default"/>
      </w:rPr>
    </w:lvl>
    <w:lvl w:ilvl="5" w:tplc="84960624" w:tentative="1">
      <w:start w:val="1"/>
      <w:numFmt w:val="bullet"/>
      <w:lvlText w:val=""/>
      <w:lvlJc w:val="left"/>
      <w:pPr>
        <w:tabs>
          <w:tab w:val="num" w:pos="4320"/>
        </w:tabs>
        <w:ind w:left="4320" w:hanging="360"/>
      </w:pPr>
      <w:rPr>
        <w:rFonts w:ascii="Wingdings" w:hAnsi="Wingdings" w:hint="default"/>
      </w:rPr>
    </w:lvl>
    <w:lvl w:ilvl="6" w:tplc="02C6B240" w:tentative="1">
      <w:start w:val="1"/>
      <w:numFmt w:val="bullet"/>
      <w:lvlText w:val=""/>
      <w:lvlJc w:val="left"/>
      <w:pPr>
        <w:tabs>
          <w:tab w:val="num" w:pos="5040"/>
        </w:tabs>
        <w:ind w:left="5040" w:hanging="360"/>
      </w:pPr>
      <w:rPr>
        <w:rFonts w:ascii="Symbol" w:hAnsi="Symbol" w:hint="default"/>
      </w:rPr>
    </w:lvl>
    <w:lvl w:ilvl="7" w:tplc="E6A0088E" w:tentative="1">
      <w:start w:val="1"/>
      <w:numFmt w:val="bullet"/>
      <w:lvlText w:val="o"/>
      <w:lvlJc w:val="left"/>
      <w:pPr>
        <w:tabs>
          <w:tab w:val="num" w:pos="5760"/>
        </w:tabs>
        <w:ind w:left="5760" w:hanging="360"/>
      </w:pPr>
      <w:rPr>
        <w:rFonts w:ascii="Courier New" w:hAnsi="Courier New" w:cs="Courier New" w:hint="default"/>
      </w:rPr>
    </w:lvl>
    <w:lvl w:ilvl="8" w:tplc="6E82D126" w:tentative="1">
      <w:start w:val="1"/>
      <w:numFmt w:val="bullet"/>
      <w:lvlText w:val=""/>
      <w:lvlJc w:val="left"/>
      <w:pPr>
        <w:tabs>
          <w:tab w:val="num" w:pos="6480"/>
        </w:tabs>
        <w:ind w:left="6480" w:hanging="360"/>
      </w:pPr>
      <w:rPr>
        <w:rFonts w:ascii="Wingdings" w:hAnsi="Wingdings" w:hint="default"/>
      </w:rPr>
    </w:lvl>
  </w:abstractNum>
  <w:abstractNum w:abstractNumId="67">
    <w:nsid w:val="50D83936"/>
    <w:multiLevelType w:val="hybridMultilevel"/>
    <w:tmpl w:val="2102ADC2"/>
    <w:lvl w:ilvl="0" w:tplc="9AB0BF62">
      <w:start w:val="1"/>
      <w:numFmt w:val="bullet"/>
      <w:lvlText w:val=""/>
      <w:lvlJc w:val="left"/>
      <w:pPr>
        <w:ind w:left="720" w:hanging="360"/>
      </w:pPr>
      <w:rPr>
        <w:rFonts w:ascii="Symbol" w:hAnsi="Symbol" w:hint="default"/>
      </w:rPr>
    </w:lvl>
    <w:lvl w:ilvl="1" w:tplc="82183BE4" w:tentative="1">
      <w:start w:val="1"/>
      <w:numFmt w:val="bullet"/>
      <w:lvlText w:val="o"/>
      <w:lvlJc w:val="left"/>
      <w:pPr>
        <w:ind w:left="1440" w:hanging="360"/>
      </w:pPr>
      <w:rPr>
        <w:rFonts w:ascii="Courier New" w:hAnsi="Courier New" w:cs="Courier New" w:hint="default"/>
      </w:rPr>
    </w:lvl>
    <w:lvl w:ilvl="2" w:tplc="20AA69F6" w:tentative="1">
      <w:start w:val="1"/>
      <w:numFmt w:val="bullet"/>
      <w:lvlText w:val=""/>
      <w:lvlJc w:val="left"/>
      <w:pPr>
        <w:ind w:left="2160" w:hanging="360"/>
      </w:pPr>
      <w:rPr>
        <w:rFonts w:ascii="Wingdings" w:hAnsi="Wingdings" w:hint="default"/>
      </w:rPr>
    </w:lvl>
    <w:lvl w:ilvl="3" w:tplc="8C16C250" w:tentative="1">
      <w:start w:val="1"/>
      <w:numFmt w:val="bullet"/>
      <w:lvlText w:val=""/>
      <w:lvlJc w:val="left"/>
      <w:pPr>
        <w:ind w:left="2880" w:hanging="360"/>
      </w:pPr>
      <w:rPr>
        <w:rFonts w:ascii="Symbol" w:hAnsi="Symbol" w:hint="default"/>
      </w:rPr>
    </w:lvl>
    <w:lvl w:ilvl="4" w:tplc="0F660246" w:tentative="1">
      <w:start w:val="1"/>
      <w:numFmt w:val="bullet"/>
      <w:lvlText w:val="o"/>
      <w:lvlJc w:val="left"/>
      <w:pPr>
        <w:ind w:left="3600" w:hanging="360"/>
      </w:pPr>
      <w:rPr>
        <w:rFonts w:ascii="Courier New" w:hAnsi="Courier New" w:cs="Courier New" w:hint="default"/>
      </w:rPr>
    </w:lvl>
    <w:lvl w:ilvl="5" w:tplc="9A6A7DAA" w:tentative="1">
      <w:start w:val="1"/>
      <w:numFmt w:val="bullet"/>
      <w:lvlText w:val=""/>
      <w:lvlJc w:val="left"/>
      <w:pPr>
        <w:ind w:left="4320" w:hanging="360"/>
      </w:pPr>
      <w:rPr>
        <w:rFonts w:ascii="Wingdings" w:hAnsi="Wingdings" w:hint="default"/>
      </w:rPr>
    </w:lvl>
    <w:lvl w:ilvl="6" w:tplc="605294FA" w:tentative="1">
      <w:start w:val="1"/>
      <w:numFmt w:val="bullet"/>
      <w:lvlText w:val=""/>
      <w:lvlJc w:val="left"/>
      <w:pPr>
        <w:ind w:left="5040" w:hanging="360"/>
      </w:pPr>
      <w:rPr>
        <w:rFonts w:ascii="Symbol" w:hAnsi="Symbol" w:hint="default"/>
      </w:rPr>
    </w:lvl>
    <w:lvl w:ilvl="7" w:tplc="C66A5746" w:tentative="1">
      <w:start w:val="1"/>
      <w:numFmt w:val="bullet"/>
      <w:lvlText w:val="o"/>
      <w:lvlJc w:val="left"/>
      <w:pPr>
        <w:ind w:left="5760" w:hanging="360"/>
      </w:pPr>
      <w:rPr>
        <w:rFonts w:ascii="Courier New" w:hAnsi="Courier New" w:cs="Courier New" w:hint="default"/>
      </w:rPr>
    </w:lvl>
    <w:lvl w:ilvl="8" w:tplc="69E053BC" w:tentative="1">
      <w:start w:val="1"/>
      <w:numFmt w:val="bullet"/>
      <w:lvlText w:val=""/>
      <w:lvlJc w:val="left"/>
      <w:pPr>
        <w:ind w:left="6480" w:hanging="360"/>
      </w:pPr>
      <w:rPr>
        <w:rFonts w:ascii="Wingdings" w:hAnsi="Wingdings" w:hint="default"/>
      </w:rPr>
    </w:lvl>
  </w:abstractNum>
  <w:abstractNum w:abstractNumId="68">
    <w:nsid w:val="53250870"/>
    <w:multiLevelType w:val="hybridMultilevel"/>
    <w:tmpl w:val="B5CCC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4742E0B"/>
    <w:multiLevelType w:val="singleLevel"/>
    <w:tmpl w:val="74E28358"/>
    <w:lvl w:ilvl="0">
      <w:start w:val="2"/>
      <w:numFmt w:val="bullet"/>
      <w:lvlText w:val="-"/>
      <w:lvlJc w:val="left"/>
      <w:pPr>
        <w:ind w:left="720" w:hanging="360"/>
      </w:pPr>
      <w:rPr>
        <w:rFonts w:ascii="Times New Roman" w:hAnsi="Times New Roman" w:hint="default"/>
      </w:rPr>
    </w:lvl>
  </w:abstractNum>
  <w:abstractNum w:abstractNumId="70">
    <w:nsid w:val="57F102CB"/>
    <w:multiLevelType w:val="singleLevel"/>
    <w:tmpl w:val="08090001"/>
    <w:lvl w:ilvl="0">
      <w:start w:val="1"/>
      <w:numFmt w:val="bullet"/>
      <w:pStyle w:val="Bullet4"/>
      <w:lvlText w:val=""/>
      <w:lvlJc w:val="left"/>
      <w:pPr>
        <w:tabs>
          <w:tab w:val="num" w:pos="360"/>
        </w:tabs>
        <w:ind w:left="360" w:hanging="360"/>
      </w:pPr>
      <w:rPr>
        <w:rFonts w:ascii="Symbol" w:hAnsi="Symbol" w:hint="default"/>
      </w:rPr>
    </w:lvl>
  </w:abstractNum>
  <w:abstractNum w:abstractNumId="71">
    <w:nsid w:val="5A7C1671"/>
    <w:multiLevelType w:val="hybridMultilevel"/>
    <w:tmpl w:val="0680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BE64EA2"/>
    <w:multiLevelType w:val="hybridMultilevel"/>
    <w:tmpl w:val="B5DAE494"/>
    <w:lvl w:ilvl="0" w:tplc="4AC25F16">
      <w:start w:val="1"/>
      <w:numFmt w:val="bullet"/>
      <w:lvlText w:val=""/>
      <w:lvlJc w:val="left"/>
      <w:pPr>
        <w:ind w:left="1146" w:hanging="360"/>
      </w:pPr>
      <w:rPr>
        <w:rFonts w:ascii="Symbol" w:hAnsi="Symbol" w:hint="default"/>
      </w:rPr>
    </w:lvl>
    <w:lvl w:ilvl="1" w:tplc="254EABB8" w:tentative="1">
      <w:start w:val="1"/>
      <w:numFmt w:val="bullet"/>
      <w:lvlText w:val="o"/>
      <w:lvlJc w:val="left"/>
      <w:pPr>
        <w:ind w:left="1866" w:hanging="360"/>
      </w:pPr>
      <w:rPr>
        <w:rFonts w:ascii="Courier New" w:hAnsi="Courier New" w:cs="Courier New" w:hint="default"/>
      </w:rPr>
    </w:lvl>
    <w:lvl w:ilvl="2" w:tplc="43186ADA" w:tentative="1">
      <w:start w:val="1"/>
      <w:numFmt w:val="bullet"/>
      <w:lvlText w:val=""/>
      <w:lvlJc w:val="left"/>
      <w:pPr>
        <w:ind w:left="2586" w:hanging="360"/>
      </w:pPr>
      <w:rPr>
        <w:rFonts w:ascii="Wingdings" w:hAnsi="Wingdings" w:hint="default"/>
      </w:rPr>
    </w:lvl>
    <w:lvl w:ilvl="3" w:tplc="CC963DB8" w:tentative="1">
      <w:start w:val="1"/>
      <w:numFmt w:val="bullet"/>
      <w:lvlText w:val=""/>
      <w:lvlJc w:val="left"/>
      <w:pPr>
        <w:ind w:left="3306" w:hanging="360"/>
      </w:pPr>
      <w:rPr>
        <w:rFonts w:ascii="Symbol" w:hAnsi="Symbol" w:hint="default"/>
      </w:rPr>
    </w:lvl>
    <w:lvl w:ilvl="4" w:tplc="44BA26C2" w:tentative="1">
      <w:start w:val="1"/>
      <w:numFmt w:val="bullet"/>
      <w:lvlText w:val="o"/>
      <w:lvlJc w:val="left"/>
      <w:pPr>
        <w:ind w:left="4026" w:hanging="360"/>
      </w:pPr>
      <w:rPr>
        <w:rFonts w:ascii="Courier New" w:hAnsi="Courier New" w:cs="Courier New" w:hint="default"/>
      </w:rPr>
    </w:lvl>
    <w:lvl w:ilvl="5" w:tplc="59822C88" w:tentative="1">
      <w:start w:val="1"/>
      <w:numFmt w:val="bullet"/>
      <w:lvlText w:val=""/>
      <w:lvlJc w:val="left"/>
      <w:pPr>
        <w:ind w:left="4746" w:hanging="360"/>
      </w:pPr>
      <w:rPr>
        <w:rFonts w:ascii="Wingdings" w:hAnsi="Wingdings" w:hint="default"/>
      </w:rPr>
    </w:lvl>
    <w:lvl w:ilvl="6" w:tplc="D8AA8CBC" w:tentative="1">
      <w:start w:val="1"/>
      <w:numFmt w:val="bullet"/>
      <w:lvlText w:val=""/>
      <w:lvlJc w:val="left"/>
      <w:pPr>
        <w:ind w:left="5466" w:hanging="360"/>
      </w:pPr>
      <w:rPr>
        <w:rFonts w:ascii="Symbol" w:hAnsi="Symbol" w:hint="default"/>
      </w:rPr>
    </w:lvl>
    <w:lvl w:ilvl="7" w:tplc="A4A86180" w:tentative="1">
      <w:start w:val="1"/>
      <w:numFmt w:val="bullet"/>
      <w:lvlText w:val="o"/>
      <w:lvlJc w:val="left"/>
      <w:pPr>
        <w:ind w:left="6186" w:hanging="360"/>
      </w:pPr>
      <w:rPr>
        <w:rFonts w:ascii="Courier New" w:hAnsi="Courier New" w:cs="Courier New" w:hint="default"/>
      </w:rPr>
    </w:lvl>
    <w:lvl w:ilvl="8" w:tplc="D4CAFED4" w:tentative="1">
      <w:start w:val="1"/>
      <w:numFmt w:val="bullet"/>
      <w:lvlText w:val=""/>
      <w:lvlJc w:val="left"/>
      <w:pPr>
        <w:ind w:left="6906" w:hanging="360"/>
      </w:pPr>
      <w:rPr>
        <w:rFonts w:ascii="Wingdings" w:hAnsi="Wingdings" w:hint="default"/>
      </w:rPr>
    </w:lvl>
  </w:abstractNum>
  <w:abstractNum w:abstractNumId="73">
    <w:nsid w:val="5DA124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4">
    <w:nsid w:val="604A4EC3"/>
    <w:multiLevelType w:val="hybridMultilevel"/>
    <w:tmpl w:val="B0C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1EF6298"/>
    <w:multiLevelType w:val="hybridMultilevel"/>
    <w:tmpl w:val="6D3E444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6">
    <w:nsid w:val="63F759CD"/>
    <w:multiLevelType w:val="hybridMultilevel"/>
    <w:tmpl w:val="4E8A8C14"/>
    <w:lvl w:ilvl="0" w:tplc="9B3CCAD6">
      <w:start w:val="1"/>
      <w:numFmt w:val="lowerLetter"/>
      <w:pStyle w:val="Heading4"/>
      <w:lvlText w:val="%1)"/>
      <w:lvlJc w:val="left"/>
      <w:pPr>
        <w:ind w:left="1080" w:hanging="360"/>
      </w:pPr>
      <w:rPr>
        <w:b/>
      </w:rPr>
    </w:lvl>
    <w:lvl w:ilvl="1" w:tplc="2638A9A8" w:tentative="1">
      <w:start w:val="1"/>
      <w:numFmt w:val="lowerLetter"/>
      <w:lvlText w:val="%2."/>
      <w:lvlJc w:val="left"/>
      <w:pPr>
        <w:ind w:left="1800" w:hanging="360"/>
      </w:pPr>
    </w:lvl>
    <w:lvl w:ilvl="2" w:tplc="0F20B874" w:tentative="1">
      <w:start w:val="1"/>
      <w:numFmt w:val="lowerRoman"/>
      <w:lvlText w:val="%3."/>
      <w:lvlJc w:val="right"/>
      <w:pPr>
        <w:ind w:left="2520" w:hanging="180"/>
      </w:pPr>
    </w:lvl>
    <w:lvl w:ilvl="3" w:tplc="D7683E3C" w:tentative="1">
      <w:start w:val="1"/>
      <w:numFmt w:val="decimal"/>
      <w:lvlText w:val="%4."/>
      <w:lvlJc w:val="left"/>
      <w:pPr>
        <w:ind w:left="3240" w:hanging="360"/>
      </w:pPr>
    </w:lvl>
    <w:lvl w:ilvl="4" w:tplc="06F8C9B4" w:tentative="1">
      <w:start w:val="1"/>
      <w:numFmt w:val="lowerLetter"/>
      <w:lvlText w:val="%5."/>
      <w:lvlJc w:val="left"/>
      <w:pPr>
        <w:ind w:left="3960" w:hanging="360"/>
      </w:pPr>
    </w:lvl>
    <w:lvl w:ilvl="5" w:tplc="875EB49E" w:tentative="1">
      <w:start w:val="1"/>
      <w:numFmt w:val="lowerRoman"/>
      <w:lvlText w:val="%6."/>
      <w:lvlJc w:val="right"/>
      <w:pPr>
        <w:ind w:left="4680" w:hanging="180"/>
      </w:pPr>
    </w:lvl>
    <w:lvl w:ilvl="6" w:tplc="C6649486" w:tentative="1">
      <w:start w:val="1"/>
      <w:numFmt w:val="decimal"/>
      <w:lvlText w:val="%7."/>
      <w:lvlJc w:val="left"/>
      <w:pPr>
        <w:ind w:left="5400" w:hanging="360"/>
      </w:pPr>
    </w:lvl>
    <w:lvl w:ilvl="7" w:tplc="3F843586" w:tentative="1">
      <w:start w:val="1"/>
      <w:numFmt w:val="lowerLetter"/>
      <w:lvlText w:val="%8."/>
      <w:lvlJc w:val="left"/>
      <w:pPr>
        <w:ind w:left="6120" w:hanging="360"/>
      </w:pPr>
    </w:lvl>
    <w:lvl w:ilvl="8" w:tplc="D4F42176" w:tentative="1">
      <w:start w:val="1"/>
      <w:numFmt w:val="lowerRoman"/>
      <w:lvlText w:val="%9."/>
      <w:lvlJc w:val="right"/>
      <w:pPr>
        <w:ind w:left="6840" w:hanging="180"/>
      </w:pPr>
    </w:lvl>
  </w:abstractNum>
  <w:abstractNum w:abstractNumId="77">
    <w:nsid w:val="64F258EA"/>
    <w:multiLevelType w:val="hybridMultilevel"/>
    <w:tmpl w:val="BE707A4A"/>
    <w:lvl w:ilvl="0" w:tplc="08090001">
      <w:start w:val="12"/>
      <w:numFmt w:val="bullet"/>
      <w:lvlText w:val="-"/>
      <w:lvlJc w:val="left"/>
      <w:pPr>
        <w:ind w:left="1494" w:hanging="360"/>
      </w:pPr>
      <w:rPr>
        <w:rFonts w:ascii="Arial" w:eastAsia="Times New Roman" w:hAnsi="Arial" w:cs="Arial" w:hint="default"/>
      </w:rPr>
    </w:lvl>
    <w:lvl w:ilvl="1" w:tplc="4C301AB2" w:tentative="1">
      <w:start w:val="1"/>
      <w:numFmt w:val="bullet"/>
      <w:lvlText w:val="o"/>
      <w:lvlJc w:val="left"/>
      <w:pPr>
        <w:ind w:left="2214" w:hanging="360"/>
      </w:pPr>
      <w:rPr>
        <w:rFonts w:ascii="Courier New" w:hAnsi="Courier New" w:cs="Courier New" w:hint="default"/>
      </w:rPr>
    </w:lvl>
    <w:lvl w:ilvl="2" w:tplc="8E1E9F32" w:tentative="1">
      <w:start w:val="1"/>
      <w:numFmt w:val="bullet"/>
      <w:lvlText w:val=""/>
      <w:lvlJc w:val="left"/>
      <w:pPr>
        <w:ind w:left="2934" w:hanging="360"/>
      </w:pPr>
      <w:rPr>
        <w:rFonts w:ascii="Wingdings" w:hAnsi="Wingdings" w:hint="default"/>
      </w:rPr>
    </w:lvl>
    <w:lvl w:ilvl="3" w:tplc="BF28FCD2" w:tentative="1">
      <w:start w:val="1"/>
      <w:numFmt w:val="bullet"/>
      <w:lvlText w:val=""/>
      <w:lvlJc w:val="left"/>
      <w:pPr>
        <w:ind w:left="3654" w:hanging="360"/>
      </w:pPr>
      <w:rPr>
        <w:rFonts w:ascii="Symbol" w:hAnsi="Symbol" w:hint="default"/>
      </w:rPr>
    </w:lvl>
    <w:lvl w:ilvl="4" w:tplc="989077A2" w:tentative="1">
      <w:start w:val="1"/>
      <w:numFmt w:val="bullet"/>
      <w:lvlText w:val="o"/>
      <w:lvlJc w:val="left"/>
      <w:pPr>
        <w:ind w:left="4374" w:hanging="360"/>
      </w:pPr>
      <w:rPr>
        <w:rFonts w:ascii="Courier New" w:hAnsi="Courier New" w:cs="Courier New" w:hint="default"/>
      </w:rPr>
    </w:lvl>
    <w:lvl w:ilvl="5" w:tplc="0AB404B6" w:tentative="1">
      <w:start w:val="1"/>
      <w:numFmt w:val="bullet"/>
      <w:lvlText w:val=""/>
      <w:lvlJc w:val="left"/>
      <w:pPr>
        <w:ind w:left="5094" w:hanging="360"/>
      </w:pPr>
      <w:rPr>
        <w:rFonts w:ascii="Wingdings" w:hAnsi="Wingdings" w:hint="default"/>
      </w:rPr>
    </w:lvl>
    <w:lvl w:ilvl="6" w:tplc="F75E6D06" w:tentative="1">
      <w:start w:val="1"/>
      <w:numFmt w:val="bullet"/>
      <w:lvlText w:val=""/>
      <w:lvlJc w:val="left"/>
      <w:pPr>
        <w:ind w:left="5814" w:hanging="360"/>
      </w:pPr>
      <w:rPr>
        <w:rFonts w:ascii="Symbol" w:hAnsi="Symbol" w:hint="default"/>
      </w:rPr>
    </w:lvl>
    <w:lvl w:ilvl="7" w:tplc="0E7AB382" w:tentative="1">
      <w:start w:val="1"/>
      <w:numFmt w:val="bullet"/>
      <w:lvlText w:val="o"/>
      <w:lvlJc w:val="left"/>
      <w:pPr>
        <w:ind w:left="6534" w:hanging="360"/>
      </w:pPr>
      <w:rPr>
        <w:rFonts w:ascii="Courier New" w:hAnsi="Courier New" w:cs="Courier New" w:hint="default"/>
      </w:rPr>
    </w:lvl>
    <w:lvl w:ilvl="8" w:tplc="EFF086A6" w:tentative="1">
      <w:start w:val="1"/>
      <w:numFmt w:val="bullet"/>
      <w:lvlText w:val=""/>
      <w:lvlJc w:val="left"/>
      <w:pPr>
        <w:ind w:left="7254" w:hanging="360"/>
      </w:pPr>
      <w:rPr>
        <w:rFonts w:ascii="Wingdings" w:hAnsi="Wingdings" w:hint="default"/>
      </w:rPr>
    </w:lvl>
  </w:abstractNum>
  <w:abstractNum w:abstractNumId="78">
    <w:nsid w:val="658D2861"/>
    <w:multiLevelType w:val="hybridMultilevel"/>
    <w:tmpl w:val="761E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60B6E64"/>
    <w:multiLevelType w:val="hybridMultilevel"/>
    <w:tmpl w:val="80A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6621203"/>
    <w:multiLevelType w:val="hybridMultilevel"/>
    <w:tmpl w:val="4168B484"/>
    <w:lvl w:ilvl="0" w:tplc="0809001B">
      <w:start w:val="1"/>
      <w:numFmt w:val="low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1">
    <w:nsid w:val="688C06B5"/>
    <w:multiLevelType w:val="hybridMultilevel"/>
    <w:tmpl w:val="F066356A"/>
    <w:lvl w:ilvl="0" w:tplc="8D7425F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2">
    <w:nsid w:val="6A0F1195"/>
    <w:multiLevelType w:val="hybridMultilevel"/>
    <w:tmpl w:val="583096E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3">
    <w:nsid w:val="6D17550A"/>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84">
    <w:nsid w:val="6D1F0A7E"/>
    <w:multiLevelType w:val="hybridMultilevel"/>
    <w:tmpl w:val="1E12F5F2"/>
    <w:lvl w:ilvl="0" w:tplc="7CAEC47A">
      <w:start w:val="1"/>
      <w:numFmt w:val="bullet"/>
      <w:pStyle w:val="BulletSingle"/>
      <w:lvlText w:val=""/>
      <w:lvlJc w:val="left"/>
      <w:pPr>
        <w:tabs>
          <w:tab w:val="num" w:pos="720"/>
        </w:tabs>
        <w:ind w:left="720" w:hanging="360"/>
      </w:pPr>
      <w:rPr>
        <w:rFonts w:ascii="Wingdings" w:hAnsi="Wingdings" w:hint="default"/>
      </w:rPr>
    </w:lvl>
    <w:lvl w:ilvl="1" w:tplc="2E96B3DE" w:tentative="1">
      <w:start w:val="1"/>
      <w:numFmt w:val="bullet"/>
      <w:lvlText w:val="o"/>
      <w:lvlJc w:val="left"/>
      <w:pPr>
        <w:tabs>
          <w:tab w:val="num" w:pos="1440"/>
        </w:tabs>
        <w:ind w:left="1440" w:hanging="360"/>
      </w:pPr>
      <w:rPr>
        <w:rFonts w:ascii="Courier New" w:hAnsi="Courier New" w:cs="Courier New" w:hint="default"/>
      </w:rPr>
    </w:lvl>
    <w:lvl w:ilvl="2" w:tplc="D8827378" w:tentative="1">
      <w:start w:val="1"/>
      <w:numFmt w:val="bullet"/>
      <w:lvlText w:val=""/>
      <w:lvlJc w:val="left"/>
      <w:pPr>
        <w:tabs>
          <w:tab w:val="num" w:pos="2160"/>
        </w:tabs>
        <w:ind w:left="2160" w:hanging="360"/>
      </w:pPr>
      <w:rPr>
        <w:rFonts w:ascii="Wingdings" w:hAnsi="Wingdings" w:hint="default"/>
      </w:rPr>
    </w:lvl>
    <w:lvl w:ilvl="3" w:tplc="46B639CA" w:tentative="1">
      <w:start w:val="1"/>
      <w:numFmt w:val="bullet"/>
      <w:lvlText w:val=""/>
      <w:lvlJc w:val="left"/>
      <w:pPr>
        <w:tabs>
          <w:tab w:val="num" w:pos="2880"/>
        </w:tabs>
        <w:ind w:left="2880" w:hanging="360"/>
      </w:pPr>
      <w:rPr>
        <w:rFonts w:ascii="Symbol" w:hAnsi="Symbol" w:hint="default"/>
      </w:rPr>
    </w:lvl>
    <w:lvl w:ilvl="4" w:tplc="7FC66076" w:tentative="1">
      <w:start w:val="1"/>
      <w:numFmt w:val="bullet"/>
      <w:lvlText w:val="o"/>
      <w:lvlJc w:val="left"/>
      <w:pPr>
        <w:tabs>
          <w:tab w:val="num" w:pos="3600"/>
        </w:tabs>
        <w:ind w:left="3600" w:hanging="360"/>
      </w:pPr>
      <w:rPr>
        <w:rFonts w:ascii="Courier New" w:hAnsi="Courier New" w:cs="Courier New" w:hint="default"/>
      </w:rPr>
    </w:lvl>
    <w:lvl w:ilvl="5" w:tplc="1F765838" w:tentative="1">
      <w:start w:val="1"/>
      <w:numFmt w:val="bullet"/>
      <w:lvlText w:val=""/>
      <w:lvlJc w:val="left"/>
      <w:pPr>
        <w:tabs>
          <w:tab w:val="num" w:pos="4320"/>
        </w:tabs>
        <w:ind w:left="4320" w:hanging="360"/>
      </w:pPr>
      <w:rPr>
        <w:rFonts w:ascii="Wingdings" w:hAnsi="Wingdings" w:hint="default"/>
      </w:rPr>
    </w:lvl>
    <w:lvl w:ilvl="6" w:tplc="D1A095A0" w:tentative="1">
      <w:start w:val="1"/>
      <w:numFmt w:val="bullet"/>
      <w:lvlText w:val=""/>
      <w:lvlJc w:val="left"/>
      <w:pPr>
        <w:tabs>
          <w:tab w:val="num" w:pos="5040"/>
        </w:tabs>
        <w:ind w:left="5040" w:hanging="360"/>
      </w:pPr>
      <w:rPr>
        <w:rFonts w:ascii="Symbol" w:hAnsi="Symbol" w:hint="default"/>
      </w:rPr>
    </w:lvl>
    <w:lvl w:ilvl="7" w:tplc="A042A52E" w:tentative="1">
      <w:start w:val="1"/>
      <w:numFmt w:val="bullet"/>
      <w:lvlText w:val="o"/>
      <w:lvlJc w:val="left"/>
      <w:pPr>
        <w:tabs>
          <w:tab w:val="num" w:pos="5760"/>
        </w:tabs>
        <w:ind w:left="5760" w:hanging="360"/>
      </w:pPr>
      <w:rPr>
        <w:rFonts w:ascii="Courier New" w:hAnsi="Courier New" w:cs="Courier New" w:hint="default"/>
      </w:rPr>
    </w:lvl>
    <w:lvl w:ilvl="8" w:tplc="5B344BFE" w:tentative="1">
      <w:start w:val="1"/>
      <w:numFmt w:val="bullet"/>
      <w:lvlText w:val=""/>
      <w:lvlJc w:val="left"/>
      <w:pPr>
        <w:tabs>
          <w:tab w:val="num" w:pos="6480"/>
        </w:tabs>
        <w:ind w:left="6480" w:hanging="360"/>
      </w:pPr>
      <w:rPr>
        <w:rFonts w:ascii="Wingdings" w:hAnsi="Wingdings" w:hint="default"/>
      </w:rPr>
    </w:lvl>
  </w:abstractNum>
  <w:abstractNum w:abstractNumId="85">
    <w:nsid w:val="6E0B6001"/>
    <w:multiLevelType w:val="hybridMultilevel"/>
    <w:tmpl w:val="27E049E2"/>
    <w:lvl w:ilvl="0" w:tplc="08090001">
      <w:start w:val="1"/>
      <w:numFmt w:val="bullet"/>
      <w:lvlText w:val=""/>
      <w:lvlJc w:val="left"/>
      <w:pPr>
        <w:ind w:left="720" w:hanging="360"/>
      </w:pPr>
      <w:rPr>
        <w:rFonts w:ascii="Symbol" w:hAnsi="Symbol" w:hint="default"/>
      </w:rPr>
    </w:lvl>
    <w:lvl w:ilvl="1" w:tplc="84F054D0">
      <w:start w:val="1"/>
      <w:numFmt w:val="bullet"/>
      <w:lvlText w:val=""/>
      <w:lvlJc w:val="left"/>
      <w:pPr>
        <w:ind w:left="1440" w:hanging="360"/>
      </w:pPr>
      <w:rPr>
        <w:rFonts w:ascii="Symbol" w:hAnsi="Symbol"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E2C69D4"/>
    <w:multiLevelType w:val="hybridMultilevel"/>
    <w:tmpl w:val="710A0CAE"/>
    <w:lvl w:ilvl="0" w:tplc="75409D74">
      <w:start w:val="732"/>
      <w:numFmt w:val="bullet"/>
      <w:lvlText w:val="-"/>
      <w:lvlJc w:val="left"/>
      <w:pPr>
        <w:ind w:left="1800" w:hanging="360"/>
      </w:pPr>
      <w:rPr>
        <w:rFonts w:ascii="Arial" w:eastAsia="Arial Unicode MS" w:hAnsi="Arial" w:cs="Arial" w:hint="default"/>
      </w:rPr>
    </w:lvl>
    <w:lvl w:ilvl="1" w:tplc="07B63F3C" w:tentative="1">
      <w:start w:val="1"/>
      <w:numFmt w:val="lowerLetter"/>
      <w:lvlText w:val="%2."/>
      <w:lvlJc w:val="left"/>
      <w:pPr>
        <w:ind w:left="2520" w:hanging="360"/>
      </w:pPr>
    </w:lvl>
    <w:lvl w:ilvl="2" w:tplc="3948CE6A" w:tentative="1">
      <w:start w:val="1"/>
      <w:numFmt w:val="lowerRoman"/>
      <w:lvlText w:val="%3."/>
      <w:lvlJc w:val="right"/>
      <w:pPr>
        <w:ind w:left="3240" w:hanging="180"/>
      </w:pPr>
    </w:lvl>
    <w:lvl w:ilvl="3" w:tplc="36D62B82" w:tentative="1">
      <w:start w:val="1"/>
      <w:numFmt w:val="decimal"/>
      <w:lvlText w:val="%4."/>
      <w:lvlJc w:val="left"/>
      <w:pPr>
        <w:ind w:left="3960" w:hanging="360"/>
      </w:pPr>
    </w:lvl>
    <w:lvl w:ilvl="4" w:tplc="9AAAD110" w:tentative="1">
      <w:start w:val="1"/>
      <w:numFmt w:val="lowerLetter"/>
      <w:lvlText w:val="%5."/>
      <w:lvlJc w:val="left"/>
      <w:pPr>
        <w:ind w:left="4680" w:hanging="360"/>
      </w:pPr>
    </w:lvl>
    <w:lvl w:ilvl="5" w:tplc="E564BF02" w:tentative="1">
      <w:start w:val="1"/>
      <w:numFmt w:val="lowerRoman"/>
      <w:lvlText w:val="%6."/>
      <w:lvlJc w:val="right"/>
      <w:pPr>
        <w:ind w:left="5400" w:hanging="180"/>
      </w:pPr>
    </w:lvl>
    <w:lvl w:ilvl="6" w:tplc="4198B1D2" w:tentative="1">
      <w:start w:val="1"/>
      <w:numFmt w:val="decimal"/>
      <w:lvlText w:val="%7."/>
      <w:lvlJc w:val="left"/>
      <w:pPr>
        <w:ind w:left="6120" w:hanging="360"/>
      </w:pPr>
    </w:lvl>
    <w:lvl w:ilvl="7" w:tplc="71C62AEE" w:tentative="1">
      <w:start w:val="1"/>
      <w:numFmt w:val="lowerLetter"/>
      <w:lvlText w:val="%8."/>
      <w:lvlJc w:val="left"/>
      <w:pPr>
        <w:ind w:left="6840" w:hanging="360"/>
      </w:pPr>
    </w:lvl>
    <w:lvl w:ilvl="8" w:tplc="6FEAEA04" w:tentative="1">
      <w:start w:val="1"/>
      <w:numFmt w:val="lowerRoman"/>
      <w:lvlText w:val="%9."/>
      <w:lvlJc w:val="right"/>
      <w:pPr>
        <w:ind w:left="7560" w:hanging="180"/>
      </w:pPr>
    </w:lvl>
  </w:abstractNum>
  <w:abstractNum w:abstractNumId="87">
    <w:nsid w:val="6FCB17FA"/>
    <w:multiLevelType w:val="hybridMultilevel"/>
    <w:tmpl w:val="CEA4EF72"/>
    <w:lvl w:ilvl="0" w:tplc="0100B3E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nsid w:val="712C6B77"/>
    <w:multiLevelType w:val="multilevel"/>
    <w:tmpl w:val="DEB43394"/>
    <w:lvl w:ilvl="0">
      <w:start w:val="1"/>
      <w:numFmt w:val="decimal"/>
      <w:pStyle w:val="Heading3-numbered"/>
      <w:lvlText w:val="%1."/>
      <w:lvlJc w:val="left"/>
      <w:pPr>
        <w:ind w:left="360" w:hanging="360"/>
      </w:pPr>
      <w:rPr>
        <w:rFonts w:hint="default"/>
        <w:b/>
        <w:i w:val="0"/>
        <w:color w:val="auto"/>
        <w:sz w:val="24"/>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9">
    <w:nsid w:val="717970F6"/>
    <w:multiLevelType w:val="hybridMultilevel"/>
    <w:tmpl w:val="BB6EFE48"/>
    <w:lvl w:ilvl="0" w:tplc="F1D63346">
      <w:start w:val="1"/>
      <w:numFmt w:val="bullet"/>
      <w:lvlText w:val=""/>
      <w:lvlJc w:val="left"/>
      <w:pPr>
        <w:ind w:left="1260" w:hanging="360"/>
      </w:pPr>
      <w:rPr>
        <w:rFonts w:ascii="Symbol" w:hAnsi="Symbol" w:hint="default"/>
      </w:rPr>
    </w:lvl>
    <w:lvl w:ilvl="1" w:tplc="6E7E7494" w:tentative="1">
      <w:start w:val="1"/>
      <w:numFmt w:val="bullet"/>
      <w:lvlText w:val="o"/>
      <w:lvlJc w:val="left"/>
      <w:pPr>
        <w:ind w:left="1980" w:hanging="360"/>
      </w:pPr>
      <w:rPr>
        <w:rFonts w:ascii="Courier New" w:hAnsi="Courier New" w:cs="Courier New" w:hint="default"/>
      </w:rPr>
    </w:lvl>
    <w:lvl w:ilvl="2" w:tplc="E480BC84" w:tentative="1">
      <w:start w:val="1"/>
      <w:numFmt w:val="bullet"/>
      <w:lvlText w:val=""/>
      <w:lvlJc w:val="left"/>
      <w:pPr>
        <w:ind w:left="2700" w:hanging="360"/>
      </w:pPr>
      <w:rPr>
        <w:rFonts w:ascii="Wingdings" w:hAnsi="Wingdings" w:hint="default"/>
      </w:rPr>
    </w:lvl>
    <w:lvl w:ilvl="3" w:tplc="850A3EBC" w:tentative="1">
      <w:start w:val="1"/>
      <w:numFmt w:val="bullet"/>
      <w:lvlText w:val=""/>
      <w:lvlJc w:val="left"/>
      <w:pPr>
        <w:ind w:left="3420" w:hanging="360"/>
      </w:pPr>
      <w:rPr>
        <w:rFonts w:ascii="Symbol" w:hAnsi="Symbol" w:hint="default"/>
      </w:rPr>
    </w:lvl>
    <w:lvl w:ilvl="4" w:tplc="3BE63D42" w:tentative="1">
      <w:start w:val="1"/>
      <w:numFmt w:val="bullet"/>
      <w:lvlText w:val="o"/>
      <w:lvlJc w:val="left"/>
      <w:pPr>
        <w:ind w:left="4140" w:hanging="360"/>
      </w:pPr>
      <w:rPr>
        <w:rFonts w:ascii="Courier New" w:hAnsi="Courier New" w:cs="Courier New" w:hint="default"/>
      </w:rPr>
    </w:lvl>
    <w:lvl w:ilvl="5" w:tplc="9E7A4C3E" w:tentative="1">
      <w:start w:val="1"/>
      <w:numFmt w:val="bullet"/>
      <w:lvlText w:val=""/>
      <w:lvlJc w:val="left"/>
      <w:pPr>
        <w:ind w:left="4860" w:hanging="360"/>
      </w:pPr>
      <w:rPr>
        <w:rFonts w:ascii="Wingdings" w:hAnsi="Wingdings" w:hint="default"/>
      </w:rPr>
    </w:lvl>
    <w:lvl w:ilvl="6" w:tplc="381A8FC6" w:tentative="1">
      <w:start w:val="1"/>
      <w:numFmt w:val="bullet"/>
      <w:lvlText w:val=""/>
      <w:lvlJc w:val="left"/>
      <w:pPr>
        <w:ind w:left="5580" w:hanging="360"/>
      </w:pPr>
      <w:rPr>
        <w:rFonts w:ascii="Symbol" w:hAnsi="Symbol" w:hint="default"/>
      </w:rPr>
    </w:lvl>
    <w:lvl w:ilvl="7" w:tplc="1A408522" w:tentative="1">
      <w:start w:val="1"/>
      <w:numFmt w:val="bullet"/>
      <w:lvlText w:val="o"/>
      <w:lvlJc w:val="left"/>
      <w:pPr>
        <w:ind w:left="6300" w:hanging="360"/>
      </w:pPr>
      <w:rPr>
        <w:rFonts w:ascii="Courier New" w:hAnsi="Courier New" w:cs="Courier New" w:hint="default"/>
      </w:rPr>
    </w:lvl>
    <w:lvl w:ilvl="8" w:tplc="D708EF34" w:tentative="1">
      <w:start w:val="1"/>
      <w:numFmt w:val="bullet"/>
      <w:lvlText w:val=""/>
      <w:lvlJc w:val="left"/>
      <w:pPr>
        <w:ind w:left="7020" w:hanging="360"/>
      </w:pPr>
      <w:rPr>
        <w:rFonts w:ascii="Wingdings" w:hAnsi="Wingdings" w:hint="default"/>
      </w:rPr>
    </w:lvl>
  </w:abstractNum>
  <w:abstractNum w:abstractNumId="90">
    <w:nsid w:val="71965AAA"/>
    <w:multiLevelType w:val="hybridMultilevel"/>
    <w:tmpl w:val="D946FE64"/>
    <w:lvl w:ilvl="0" w:tplc="429271C2">
      <w:start w:val="1"/>
      <w:numFmt w:val="bullet"/>
      <w:lvlText w:val=""/>
      <w:lvlJc w:val="left"/>
      <w:pPr>
        <w:ind w:left="720" w:hanging="360"/>
      </w:pPr>
      <w:rPr>
        <w:rFonts w:ascii="Symbol" w:hAnsi="Symbol" w:hint="default"/>
      </w:rPr>
    </w:lvl>
    <w:lvl w:ilvl="1" w:tplc="99CCB8D0" w:tentative="1">
      <w:start w:val="1"/>
      <w:numFmt w:val="bullet"/>
      <w:lvlText w:val="o"/>
      <w:lvlJc w:val="left"/>
      <w:pPr>
        <w:ind w:left="1440" w:hanging="360"/>
      </w:pPr>
      <w:rPr>
        <w:rFonts w:ascii="Courier New" w:hAnsi="Courier New" w:cs="Courier New" w:hint="default"/>
      </w:rPr>
    </w:lvl>
    <w:lvl w:ilvl="2" w:tplc="9C529354" w:tentative="1">
      <w:start w:val="1"/>
      <w:numFmt w:val="bullet"/>
      <w:lvlText w:val=""/>
      <w:lvlJc w:val="left"/>
      <w:pPr>
        <w:ind w:left="2160" w:hanging="360"/>
      </w:pPr>
      <w:rPr>
        <w:rFonts w:ascii="Wingdings" w:hAnsi="Wingdings" w:hint="default"/>
      </w:rPr>
    </w:lvl>
    <w:lvl w:ilvl="3" w:tplc="96BC3CDA" w:tentative="1">
      <w:start w:val="1"/>
      <w:numFmt w:val="bullet"/>
      <w:lvlText w:val=""/>
      <w:lvlJc w:val="left"/>
      <w:pPr>
        <w:ind w:left="2880" w:hanging="360"/>
      </w:pPr>
      <w:rPr>
        <w:rFonts w:ascii="Symbol" w:hAnsi="Symbol" w:hint="default"/>
      </w:rPr>
    </w:lvl>
    <w:lvl w:ilvl="4" w:tplc="D03C1BFE" w:tentative="1">
      <w:start w:val="1"/>
      <w:numFmt w:val="bullet"/>
      <w:lvlText w:val="o"/>
      <w:lvlJc w:val="left"/>
      <w:pPr>
        <w:ind w:left="3600" w:hanging="360"/>
      </w:pPr>
      <w:rPr>
        <w:rFonts w:ascii="Courier New" w:hAnsi="Courier New" w:cs="Courier New" w:hint="default"/>
      </w:rPr>
    </w:lvl>
    <w:lvl w:ilvl="5" w:tplc="309C6110" w:tentative="1">
      <w:start w:val="1"/>
      <w:numFmt w:val="bullet"/>
      <w:lvlText w:val=""/>
      <w:lvlJc w:val="left"/>
      <w:pPr>
        <w:ind w:left="4320" w:hanging="360"/>
      </w:pPr>
      <w:rPr>
        <w:rFonts w:ascii="Wingdings" w:hAnsi="Wingdings" w:hint="default"/>
      </w:rPr>
    </w:lvl>
    <w:lvl w:ilvl="6" w:tplc="1CF68C80" w:tentative="1">
      <w:start w:val="1"/>
      <w:numFmt w:val="bullet"/>
      <w:lvlText w:val=""/>
      <w:lvlJc w:val="left"/>
      <w:pPr>
        <w:ind w:left="5040" w:hanging="360"/>
      </w:pPr>
      <w:rPr>
        <w:rFonts w:ascii="Symbol" w:hAnsi="Symbol" w:hint="default"/>
      </w:rPr>
    </w:lvl>
    <w:lvl w:ilvl="7" w:tplc="A712DFE2" w:tentative="1">
      <w:start w:val="1"/>
      <w:numFmt w:val="bullet"/>
      <w:lvlText w:val="o"/>
      <w:lvlJc w:val="left"/>
      <w:pPr>
        <w:ind w:left="5760" w:hanging="360"/>
      </w:pPr>
      <w:rPr>
        <w:rFonts w:ascii="Courier New" w:hAnsi="Courier New" w:cs="Courier New" w:hint="default"/>
      </w:rPr>
    </w:lvl>
    <w:lvl w:ilvl="8" w:tplc="80280264" w:tentative="1">
      <w:start w:val="1"/>
      <w:numFmt w:val="bullet"/>
      <w:lvlText w:val=""/>
      <w:lvlJc w:val="left"/>
      <w:pPr>
        <w:ind w:left="6480" w:hanging="360"/>
      </w:pPr>
      <w:rPr>
        <w:rFonts w:ascii="Wingdings" w:hAnsi="Wingdings" w:hint="default"/>
      </w:rPr>
    </w:lvl>
  </w:abstractNum>
  <w:abstractNum w:abstractNumId="91">
    <w:nsid w:val="77EA21C3"/>
    <w:multiLevelType w:val="hybridMultilevel"/>
    <w:tmpl w:val="1F2E8F7C"/>
    <w:name w:val="BulletList"/>
    <w:lvl w:ilvl="0" w:tplc="272C1E78">
      <w:start w:val="1"/>
      <w:numFmt w:val="bullet"/>
      <w:lvlText w:val=""/>
      <w:lvlJc w:val="left"/>
      <w:pPr>
        <w:tabs>
          <w:tab w:val="num" w:pos="7164"/>
        </w:tabs>
        <w:ind w:left="7164" w:hanging="360"/>
      </w:pPr>
      <w:rPr>
        <w:rFonts w:ascii="Symbol" w:hAnsi="Symbol" w:hint="default"/>
      </w:rPr>
    </w:lvl>
    <w:lvl w:ilvl="1" w:tplc="4660578A" w:tentative="1">
      <w:start w:val="1"/>
      <w:numFmt w:val="lowerLetter"/>
      <w:lvlText w:val="%2."/>
      <w:lvlJc w:val="left"/>
      <w:pPr>
        <w:tabs>
          <w:tab w:val="num" w:pos="7884"/>
        </w:tabs>
        <w:ind w:left="7884" w:hanging="360"/>
      </w:pPr>
    </w:lvl>
    <w:lvl w:ilvl="2" w:tplc="A3F0D366" w:tentative="1">
      <w:start w:val="1"/>
      <w:numFmt w:val="lowerRoman"/>
      <w:lvlText w:val="%3."/>
      <w:lvlJc w:val="right"/>
      <w:pPr>
        <w:tabs>
          <w:tab w:val="num" w:pos="8604"/>
        </w:tabs>
        <w:ind w:left="8604" w:hanging="180"/>
      </w:pPr>
    </w:lvl>
    <w:lvl w:ilvl="3" w:tplc="A3C2F704" w:tentative="1">
      <w:start w:val="1"/>
      <w:numFmt w:val="decimal"/>
      <w:lvlText w:val="%4."/>
      <w:lvlJc w:val="left"/>
      <w:pPr>
        <w:tabs>
          <w:tab w:val="num" w:pos="9324"/>
        </w:tabs>
        <w:ind w:left="9324" w:hanging="360"/>
      </w:pPr>
    </w:lvl>
    <w:lvl w:ilvl="4" w:tplc="DEE21FCE" w:tentative="1">
      <w:start w:val="1"/>
      <w:numFmt w:val="lowerLetter"/>
      <w:lvlText w:val="%5."/>
      <w:lvlJc w:val="left"/>
      <w:pPr>
        <w:tabs>
          <w:tab w:val="num" w:pos="10044"/>
        </w:tabs>
        <w:ind w:left="10044" w:hanging="360"/>
      </w:pPr>
    </w:lvl>
    <w:lvl w:ilvl="5" w:tplc="8C6A4A08" w:tentative="1">
      <w:start w:val="1"/>
      <w:numFmt w:val="lowerRoman"/>
      <w:lvlText w:val="%6."/>
      <w:lvlJc w:val="right"/>
      <w:pPr>
        <w:tabs>
          <w:tab w:val="num" w:pos="10764"/>
        </w:tabs>
        <w:ind w:left="10764" w:hanging="180"/>
      </w:pPr>
    </w:lvl>
    <w:lvl w:ilvl="6" w:tplc="9266F0A4" w:tentative="1">
      <w:start w:val="1"/>
      <w:numFmt w:val="decimal"/>
      <w:lvlText w:val="%7."/>
      <w:lvlJc w:val="left"/>
      <w:pPr>
        <w:tabs>
          <w:tab w:val="num" w:pos="11484"/>
        </w:tabs>
        <w:ind w:left="11484" w:hanging="360"/>
      </w:pPr>
    </w:lvl>
    <w:lvl w:ilvl="7" w:tplc="77768966" w:tentative="1">
      <w:start w:val="1"/>
      <w:numFmt w:val="lowerLetter"/>
      <w:lvlText w:val="%8."/>
      <w:lvlJc w:val="left"/>
      <w:pPr>
        <w:tabs>
          <w:tab w:val="num" w:pos="12204"/>
        </w:tabs>
        <w:ind w:left="12204" w:hanging="360"/>
      </w:pPr>
    </w:lvl>
    <w:lvl w:ilvl="8" w:tplc="8E528058" w:tentative="1">
      <w:start w:val="1"/>
      <w:numFmt w:val="lowerRoman"/>
      <w:lvlText w:val="%9."/>
      <w:lvlJc w:val="right"/>
      <w:pPr>
        <w:tabs>
          <w:tab w:val="num" w:pos="12924"/>
        </w:tabs>
        <w:ind w:left="12924" w:hanging="180"/>
      </w:pPr>
    </w:lvl>
  </w:abstractNum>
  <w:abstractNum w:abstractNumId="92">
    <w:nsid w:val="78E077D7"/>
    <w:multiLevelType w:val="hybridMultilevel"/>
    <w:tmpl w:val="0E90EAD4"/>
    <w:lvl w:ilvl="0" w:tplc="6BBA1B18">
      <w:start w:val="1"/>
      <w:numFmt w:val="lowerLetter"/>
      <w:lvlText w:val="%1)"/>
      <w:lvlJc w:val="left"/>
      <w:pPr>
        <w:ind w:left="1287" w:hanging="360"/>
      </w:pPr>
      <w:rPr>
        <w:b w:val="0"/>
      </w:rPr>
    </w:lvl>
    <w:lvl w:ilvl="1" w:tplc="08090003">
      <w:start w:val="1"/>
      <w:numFmt w:val="lowerLetter"/>
      <w:lvlText w:val="%2."/>
      <w:lvlJc w:val="left"/>
      <w:pPr>
        <w:ind w:left="2007" w:hanging="360"/>
      </w:pPr>
    </w:lvl>
    <w:lvl w:ilvl="2" w:tplc="08090005" w:tentative="1">
      <w:start w:val="1"/>
      <w:numFmt w:val="lowerRoman"/>
      <w:lvlText w:val="%3."/>
      <w:lvlJc w:val="right"/>
      <w:pPr>
        <w:ind w:left="2727" w:hanging="180"/>
      </w:pPr>
    </w:lvl>
    <w:lvl w:ilvl="3" w:tplc="08090001" w:tentative="1">
      <w:start w:val="1"/>
      <w:numFmt w:val="decimal"/>
      <w:lvlText w:val="%4."/>
      <w:lvlJc w:val="left"/>
      <w:pPr>
        <w:ind w:left="3447" w:hanging="360"/>
      </w:pPr>
    </w:lvl>
    <w:lvl w:ilvl="4" w:tplc="08090003" w:tentative="1">
      <w:start w:val="1"/>
      <w:numFmt w:val="lowerLetter"/>
      <w:lvlText w:val="%5."/>
      <w:lvlJc w:val="left"/>
      <w:pPr>
        <w:ind w:left="4167" w:hanging="360"/>
      </w:pPr>
    </w:lvl>
    <w:lvl w:ilvl="5" w:tplc="08090005" w:tentative="1">
      <w:start w:val="1"/>
      <w:numFmt w:val="lowerRoman"/>
      <w:lvlText w:val="%6."/>
      <w:lvlJc w:val="right"/>
      <w:pPr>
        <w:ind w:left="4887" w:hanging="180"/>
      </w:pPr>
    </w:lvl>
    <w:lvl w:ilvl="6" w:tplc="08090001" w:tentative="1">
      <w:start w:val="1"/>
      <w:numFmt w:val="decimal"/>
      <w:lvlText w:val="%7."/>
      <w:lvlJc w:val="left"/>
      <w:pPr>
        <w:ind w:left="5607" w:hanging="360"/>
      </w:pPr>
    </w:lvl>
    <w:lvl w:ilvl="7" w:tplc="08090003" w:tentative="1">
      <w:start w:val="1"/>
      <w:numFmt w:val="lowerLetter"/>
      <w:lvlText w:val="%8."/>
      <w:lvlJc w:val="left"/>
      <w:pPr>
        <w:ind w:left="6327" w:hanging="360"/>
      </w:pPr>
    </w:lvl>
    <w:lvl w:ilvl="8" w:tplc="08090005" w:tentative="1">
      <w:start w:val="1"/>
      <w:numFmt w:val="lowerRoman"/>
      <w:lvlText w:val="%9."/>
      <w:lvlJc w:val="right"/>
      <w:pPr>
        <w:ind w:left="7047" w:hanging="180"/>
      </w:pPr>
    </w:lvl>
  </w:abstractNum>
  <w:abstractNum w:abstractNumId="93">
    <w:nsid w:val="796A3B4D"/>
    <w:multiLevelType w:val="hybridMultilevel"/>
    <w:tmpl w:val="63984D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A4B69E1"/>
    <w:multiLevelType w:val="hybridMultilevel"/>
    <w:tmpl w:val="49B6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7CFB7B74"/>
    <w:multiLevelType w:val="singleLevel"/>
    <w:tmpl w:val="08090001"/>
    <w:lvl w:ilvl="0">
      <w:start w:val="1"/>
      <w:numFmt w:val="bullet"/>
      <w:pStyle w:val="Bodytextnumbered"/>
      <w:lvlText w:val=""/>
      <w:lvlJc w:val="left"/>
      <w:pPr>
        <w:tabs>
          <w:tab w:val="num" w:pos="360"/>
        </w:tabs>
        <w:ind w:left="360" w:hanging="360"/>
      </w:pPr>
      <w:rPr>
        <w:rFonts w:ascii="Symbol" w:hAnsi="Symbol" w:hint="default"/>
      </w:rPr>
    </w:lvl>
  </w:abstractNum>
  <w:abstractNum w:abstractNumId="96">
    <w:nsid w:val="7E1C5C54"/>
    <w:multiLevelType w:val="hybridMultilevel"/>
    <w:tmpl w:val="84A2A736"/>
    <w:lvl w:ilvl="0" w:tplc="B83E940E">
      <w:start w:val="1"/>
      <w:numFmt w:val="bullet"/>
      <w:lvlText w:val=""/>
      <w:lvlJc w:val="left"/>
      <w:pPr>
        <w:tabs>
          <w:tab w:val="num" w:pos="1440"/>
        </w:tabs>
        <w:ind w:left="1440" w:hanging="360"/>
      </w:pPr>
      <w:rPr>
        <w:rFonts w:ascii="Symbol" w:hAnsi="Symbol" w:hint="default"/>
      </w:rPr>
    </w:lvl>
    <w:lvl w:ilvl="1" w:tplc="688EA91C" w:tentative="1">
      <w:start w:val="1"/>
      <w:numFmt w:val="bullet"/>
      <w:lvlText w:val="o"/>
      <w:lvlJc w:val="left"/>
      <w:pPr>
        <w:tabs>
          <w:tab w:val="num" w:pos="2160"/>
        </w:tabs>
        <w:ind w:left="2160" w:hanging="360"/>
      </w:pPr>
      <w:rPr>
        <w:rFonts w:ascii="Courier New" w:hAnsi="Courier New" w:cs="Courier New" w:hint="default"/>
      </w:rPr>
    </w:lvl>
    <w:lvl w:ilvl="2" w:tplc="310A9DC0" w:tentative="1">
      <w:start w:val="1"/>
      <w:numFmt w:val="bullet"/>
      <w:lvlText w:val=""/>
      <w:lvlJc w:val="left"/>
      <w:pPr>
        <w:tabs>
          <w:tab w:val="num" w:pos="2880"/>
        </w:tabs>
        <w:ind w:left="2880" w:hanging="360"/>
      </w:pPr>
      <w:rPr>
        <w:rFonts w:ascii="Wingdings" w:hAnsi="Wingdings" w:hint="default"/>
      </w:rPr>
    </w:lvl>
    <w:lvl w:ilvl="3" w:tplc="383E0F7A" w:tentative="1">
      <w:start w:val="1"/>
      <w:numFmt w:val="bullet"/>
      <w:lvlText w:val=""/>
      <w:lvlJc w:val="left"/>
      <w:pPr>
        <w:tabs>
          <w:tab w:val="num" w:pos="3600"/>
        </w:tabs>
        <w:ind w:left="3600" w:hanging="360"/>
      </w:pPr>
      <w:rPr>
        <w:rFonts w:ascii="Symbol" w:hAnsi="Symbol" w:hint="default"/>
      </w:rPr>
    </w:lvl>
    <w:lvl w:ilvl="4" w:tplc="FD7064C8" w:tentative="1">
      <w:start w:val="1"/>
      <w:numFmt w:val="bullet"/>
      <w:lvlText w:val="o"/>
      <w:lvlJc w:val="left"/>
      <w:pPr>
        <w:tabs>
          <w:tab w:val="num" w:pos="4320"/>
        </w:tabs>
        <w:ind w:left="4320" w:hanging="360"/>
      </w:pPr>
      <w:rPr>
        <w:rFonts w:ascii="Courier New" w:hAnsi="Courier New" w:cs="Courier New" w:hint="default"/>
      </w:rPr>
    </w:lvl>
    <w:lvl w:ilvl="5" w:tplc="E9F4D2BC" w:tentative="1">
      <w:start w:val="1"/>
      <w:numFmt w:val="bullet"/>
      <w:lvlText w:val=""/>
      <w:lvlJc w:val="left"/>
      <w:pPr>
        <w:tabs>
          <w:tab w:val="num" w:pos="5040"/>
        </w:tabs>
        <w:ind w:left="5040" w:hanging="360"/>
      </w:pPr>
      <w:rPr>
        <w:rFonts w:ascii="Wingdings" w:hAnsi="Wingdings" w:hint="default"/>
      </w:rPr>
    </w:lvl>
    <w:lvl w:ilvl="6" w:tplc="15CA5B72" w:tentative="1">
      <w:start w:val="1"/>
      <w:numFmt w:val="bullet"/>
      <w:lvlText w:val=""/>
      <w:lvlJc w:val="left"/>
      <w:pPr>
        <w:tabs>
          <w:tab w:val="num" w:pos="5760"/>
        </w:tabs>
        <w:ind w:left="5760" w:hanging="360"/>
      </w:pPr>
      <w:rPr>
        <w:rFonts w:ascii="Symbol" w:hAnsi="Symbol" w:hint="default"/>
      </w:rPr>
    </w:lvl>
    <w:lvl w:ilvl="7" w:tplc="A8BCC512" w:tentative="1">
      <w:start w:val="1"/>
      <w:numFmt w:val="bullet"/>
      <w:lvlText w:val="o"/>
      <w:lvlJc w:val="left"/>
      <w:pPr>
        <w:tabs>
          <w:tab w:val="num" w:pos="6480"/>
        </w:tabs>
        <w:ind w:left="6480" w:hanging="360"/>
      </w:pPr>
      <w:rPr>
        <w:rFonts w:ascii="Courier New" w:hAnsi="Courier New" w:cs="Courier New" w:hint="default"/>
      </w:rPr>
    </w:lvl>
    <w:lvl w:ilvl="8" w:tplc="D278F582" w:tentative="1">
      <w:start w:val="1"/>
      <w:numFmt w:val="bullet"/>
      <w:lvlText w:val=""/>
      <w:lvlJc w:val="left"/>
      <w:pPr>
        <w:tabs>
          <w:tab w:val="num" w:pos="7200"/>
        </w:tabs>
        <w:ind w:left="7200" w:hanging="360"/>
      </w:pPr>
      <w:rPr>
        <w:rFonts w:ascii="Wingdings" w:hAnsi="Wingdings" w:hint="default"/>
      </w:rPr>
    </w:lvl>
  </w:abstractNum>
  <w:num w:numId="1">
    <w:abstractNumId w:val="41"/>
  </w:num>
  <w:num w:numId="2">
    <w:abstractNumId w:val="95"/>
  </w:num>
  <w:num w:numId="3">
    <w:abstractNumId w:val="70"/>
  </w:num>
  <w:num w:numId="4">
    <w:abstractNumId w:val="66"/>
  </w:num>
  <w:num w:numId="5">
    <w:abstractNumId w:val="84"/>
  </w:num>
  <w:num w:numId="6">
    <w:abstractNumId w:val="29"/>
  </w:num>
  <w:num w:numId="7">
    <w:abstractNumId w:val="45"/>
  </w:num>
  <w:num w:numId="8">
    <w:abstractNumId w:val="6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num>
  <w:num w:numId="11">
    <w:abstractNumId w:val="34"/>
  </w:num>
  <w:num w:numId="12">
    <w:abstractNumId w:val="58"/>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0"/>
  </w:num>
  <w:num w:numId="23">
    <w:abstractNumId w:val="96"/>
  </w:num>
  <w:num w:numId="24">
    <w:abstractNumId w:val="19"/>
  </w:num>
  <w:num w:numId="25">
    <w:abstractNumId w:val="24"/>
  </w:num>
  <w:num w:numId="26">
    <w:abstractNumId w:val="18"/>
  </w:num>
  <w:num w:numId="27">
    <w:abstractNumId w:val="91"/>
  </w:num>
  <w:num w:numId="28">
    <w:abstractNumId w:val="81"/>
  </w:num>
  <w:num w:numId="29">
    <w:abstractNumId w:val="37"/>
  </w:num>
  <w:num w:numId="30">
    <w:abstractNumId w:val="14"/>
  </w:num>
  <w:num w:numId="31">
    <w:abstractNumId w:val="32"/>
  </w:num>
  <w:num w:numId="32">
    <w:abstractNumId w:val="33"/>
  </w:num>
  <w:num w:numId="33">
    <w:abstractNumId w:val="52"/>
  </w:num>
  <w:num w:numId="34">
    <w:abstractNumId w:val="89"/>
  </w:num>
  <w:num w:numId="35">
    <w:abstractNumId w:val="88"/>
  </w:num>
  <w:num w:numId="36">
    <w:abstractNumId w:val="76"/>
  </w:num>
  <w:num w:numId="37">
    <w:abstractNumId w:val="60"/>
  </w:num>
  <w:num w:numId="38">
    <w:abstractNumId w:val="50"/>
  </w:num>
  <w:num w:numId="39">
    <w:abstractNumId w:val="20"/>
  </w:num>
  <w:num w:numId="40">
    <w:abstractNumId w:val="17"/>
  </w:num>
  <w:num w:numId="41">
    <w:abstractNumId w:val="25"/>
  </w:num>
  <w:num w:numId="42">
    <w:abstractNumId w:val="83"/>
  </w:num>
  <w:num w:numId="43">
    <w:abstractNumId w:val="72"/>
  </w:num>
  <w:num w:numId="44">
    <w:abstractNumId w:val="43"/>
  </w:num>
  <w:num w:numId="45">
    <w:abstractNumId w:val="49"/>
  </w:num>
  <w:num w:numId="46">
    <w:abstractNumId w:val="67"/>
  </w:num>
  <w:num w:numId="47">
    <w:abstractNumId w:val="21"/>
  </w:num>
  <w:num w:numId="4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16"/>
  </w:num>
  <w:num w:numId="53">
    <w:abstractNumId w:val="87"/>
  </w:num>
  <w:num w:numId="54">
    <w:abstractNumId w:val="22"/>
  </w:num>
  <w:num w:numId="55">
    <w:abstractNumId w:val="40"/>
  </w:num>
  <w:num w:numId="56">
    <w:abstractNumId w:val="90"/>
  </w:num>
  <w:num w:numId="57">
    <w:abstractNumId w:val="77"/>
  </w:num>
  <w:num w:numId="58">
    <w:abstractNumId w:val="12"/>
  </w:num>
  <w:num w:numId="59">
    <w:abstractNumId w:val="15"/>
  </w:num>
  <w:num w:numId="60">
    <w:abstractNumId w:val="75"/>
  </w:num>
  <w:num w:numId="61">
    <w:abstractNumId w:val="86"/>
  </w:num>
  <w:num w:numId="62">
    <w:abstractNumId w:val="26"/>
  </w:num>
  <w:num w:numId="63">
    <w:abstractNumId w:val="73"/>
  </w:num>
  <w:num w:numId="64">
    <w:abstractNumId w:val="59"/>
  </w:num>
  <w:num w:numId="65">
    <w:abstractNumId w:val="93"/>
  </w:num>
  <w:num w:numId="66">
    <w:abstractNumId w:val="85"/>
  </w:num>
  <w:num w:numId="67">
    <w:abstractNumId w:val="9"/>
  </w:num>
  <w:num w:numId="68">
    <w:abstractNumId w:val="47"/>
  </w:num>
  <w:num w:numId="69">
    <w:abstractNumId w:val="44"/>
  </w:num>
  <w:num w:numId="70">
    <w:abstractNumId w:val="27"/>
  </w:num>
  <w:num w:numId="71">
    <w:abstractNumId w:val="38"/>
  </w:num>
  <w:num w:numId="72">
    <w:abstractNumId w:val="64"/>
  </w:num>
  <w:num w:numId="73">
    <w:abstractNumId w:val="68"/>
  </w:num>
  <w:num w:numId="74">
    <w:abstractNumId w:val="61"/>
  </w:num>
  <w:num w:numId="75">
    <w:abstractNumId w:val="39"/>
  </w:num>
  <w:num w:numId="76">
    <w:abstractNumId w:val="69"/>
  </w:num>
  <w:num w:numId="77">
    <w:abstractNumId w:val="65"/>
  </w:num>
  <w:num w:numId="78">
    <w:abstractNumId w:val="80"/>
  </w:num>
  <w:num w:numId="79">
    <w:abstractNumId w:val="36"/>
  </w:num>
  <w:num w:numId="80">
    <w:abstractNumId w:val="92"/>
  </w:num>
  <w:num w:numId="81">
    <w:abstractNumId w:val="63"/>
  </w:num>
  <w:num w:numId="82">
    <w:abstractNumId w:val="28"/>
  </w:num>
  <w:num w:numId="83">
    <w:abstractNumId w:val="51"/>
  </w:num>
  <w:num w:numId="84">
    <w:abstractNumId w:val="82"/>
  </w:num>
  <w:num w:numId="85">
    <w:abstractNumId w:val="71"/>
  </w:num>
  <w:num w:numId="86">
    <w:abstractNumId w:val="31"/>
  </w:num>
  <w:num w:numId="87">
    <w:abstractNumId w:val="46"/>
  </w:num>
  <w:num w:numId="88">
    <w:abstractNumId w:val="57"/>
  </w:num>
  <w:num w:numId="89">
    <w:abstractNumId w:val="10"/>
  </w:num>
  <w:num w:numId="90">
    <w:abstractNumId w:val="48"/>
  </w:num>
  <w:num w:numId="91">
    <w:abstractNumId w:val="42"/>
  </w:num>
  <w:num w:numId="92">
    <w:abstractNumId w:val="94"/>
  </w:num>
  <w:num w:numId="93">
    <w:abstractNumId w:val="78"/>
  </w:num>
  <w:num w:numId="94">
    <w:abstractNumId w:val="23"/>
  </w:num>
  <w:num w:numId="95">
    <w:abstractNumId w:val="79"/>
  </w:num>
  <w:num w:numId="96">
    <w:abstractNumId w:val="74"/>
  </w:num>
  <w:num w:numId="97">
    <w:abstractNumId w:val="13"/>
  </w:num>
  <w:num w:numId="98">
    <w:abstractNumId w:val="35"/>
  </w:num>
  <w:num w:numId="99">
    <w:abstractNumId w:val="5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attachedTemplate r:id="rId1"/>
  <w:documentProtection w:edit="readOnly" w:enforcement="0"/>
  <w:defaultTabStop w:val="720"/>
  <w:drawingGridHorizontalSpacing w:val="120"/>
  <w:drawingGridVerticalSpacing w:val="360"/>
  <w:displayHorizontalDrawingGridEvery w:val="0"/>
  <w:displayVerticalDrawingGridEvery w:val="0"/>
  <w:characterSpacingControl w:val="doNotCompress"/>
  <w:hdrShapeDefaults>
    <o:shapedefaults v:ext="edit" spidmax="2050">
      <o:colormru v:ext="edit" colors="#d31145,#fffddf,#ffecd6"/>
      <o:colormenu v:ext="edit" fillcolor="none" strokecolor="none" shadowcolor="none [2412]"/>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579"/>
    <w:rsid w:val="00000CB1"/>
    <w:rsid w:val="00001249"/>
    <w:rsid w:val="00002B14"/>
    <w:rsid w:val="000033B9"/>
    <w:rsid w:val="0000380C"/>
    <w:rsid w:val="00003EB0"/>
    <w:rsid w:val="00004E6A"/>
    <w:rsid w:val="00005277"/>
    <w:rsid w:val="00005822"/>
    <w:rsid w:val="00006736"/>
    <w:rsid w:val="000068C0"/>
    <w:rsid w:val="0001053F"/>
    <w:rsid w:val="00011429"/>
    <w:rsid w:val="000118F6"/>
    <w:rsid w:val="00011F03"/>
    <w:rsid w:val="00013F03"/>
    <w:rsid w:val="00014990"/>
    <w:rsid w:val="00015CBD"/>
    <w:rsid w:val="000165C0"/>
    <w:rsid w:val="00016AE0"/>
    <w:rsid w:val="0001734F"/>
    <w:rsid w:val="00017B09"/>
    <w:rsid w:val="0002009B"/>
    <w:rsid w:val="00020377"/>
    <w:rsid w:val="00020689"/>
    <w:rsid w:val="00020B50"/>
    <w:rsid w:val="00021105"/>
    <w:rsid w:val="00022BA0"/>
    <w:rsid w:val="00023138"/>
    <w:rsid w:val="00024017"/>
    <w:rsid w:val="00024ED3"/>
    <w:rsid w:val="00025986"/>
    <w:rsid w:val="00027CA5"/>
    <w:rsid w:val="000309C3"/>
    <w:rsid w:val="00031836"/>
    <w:rsid w:val="0003279F"/>
    <w:rsid w:val="00037C7E"/>
    <w:rsid w:val="00040C67"/>
    <w:rsid w:val="00043106"/>
    <w:rsid w:val="000437BE"/>
    <w:rsid w:val="00044D01"/>
    <w:rsid w:val="000451EC"/>
    <w:rsid w:val="00045217"/>
    <w:rsid w:val="00045789"/>
    <w:rsid w:val="0004609F"/>
    <w:rsid w:val="00047CA9"/>
    <w:rsid w:val="00050556"/>
    <w:rsid w:val="00050773"/>
    <w:rsid w:val="0005110C"/>
    <w:rsid w:val="000519BC"/>
    <w:rsid w:val="00051FD0"/>
    <w:rsid w:val="00056286"/>
    <w:rsid w:val="00056356"/>
    <w:rsid w:val="00060568"/>
    <w:rsid w:val="00061885"/>
    <w:rsid w:val="000619B5"/>
    <w:rsid w:val="0006296D"/>
    <w:rsid w:val="00062BCE"/>
    <w:rsid w:val="00063665"/>
    <w:rsid w:val="00063FDF"/>
    <w:rsid w:val="000641EE"/>
    <w:rsid w:val="0006557A"/>
    <w:rsid w:val="000659FA"/>
    <w:rsid w:val="00065A23"/>
    <w:rsid w:val="0006601C"/>
    <w:rsid w:val="000670D6"/>
    <w:rsid w:val="00067718"/>
    <w:rsid w:val="00067989"/>
    <w:rsid w:val="000701AB"/>
    <w:rsid w:val="0007027D"/>
    <w:rsid w:val="00070F08"/>
    <w:rsid w:val="0007123B"/>
    <w:rsid w:val="00071ADD"/>
    <w:rsid w:val="000720C3"/>
    <w:rsid w:val="00072A21"/>
    <w:rsid w:val="00072E28"/>
    <w:rsid w:val="000739A6"/>
    <w:rsid w:val="000741EB"/>
    <w:rsid w:val="000746E9"/>
    <w:rsid w:val="0007606B"/>
    <w:rsid w:val="0008010D"/>
    <w:rsid w:val="00080957"/>
    <w:rsid w:val="000809F2"/>
    <w:rsid w:val="00081800"/>
    <w:rsid w:val="00082728"/>
    <w:rsid w:val="0008360D"/>
    <w:rsid w:val="0008462B"/>
    <w:rsid w:val="00084771"/>
    <w:rsid w:val="00085214"/>
    <w:rsid w:val="00086822"/>
    <w:rsid w:val="00090134"/>
    <w:rsid w:val="0009038B"/>
    <w:rsid w:val="00090E48"/>
    <w:rsid w:val="00092218"/>
    <w:rsid w:val="00092756"/>
    <w:rsid w:val="0009291C"/>
    <w:rsid w:val="00093721"/>
    <w:rsid w:val="00093CD0"/>
    <w:rsid w:val="0009438D"/>
    <w:rsid w:val="00095101"/>
    <w:rsid w:val="000967E6"/>
    <w:rsid w:val="000A048C"/>
    <w:rsid w:val="000A15E4"/>
    <w:rsid w:val="000A36C7"/>
    <w:rsid w:val="000A3901"/>
    <w:rsid w:val="000A3BD2"/>
    <w:rsid w:val="000A4182"/>
    <w:rsid w:val="000A4259"/>
    <w:rsid w:val="000A5DD8"/>
    <w:rsid w:val="000A7D3C"/>
    <w:rsid w:val="000B11F8"/>
    <w:rsid w:val="000B1E42"/>
    <w:rsid w:val="000B2652"/>
    <w:rsid w:val="000B27EE"/>
    <w:rsid w:val="000B29E0"/>
    <w:rsid w:val="000B2FD3"/>
    <w:rsid w:val="000B2FEA"/>
    <w:rsid w:val="000B4357"/>
    <w:rsid w:val="000B53DE"/>
    <w:rsid w:val="000B54CC"/>
    <w:rsid w:val="000B6735"/>
    <w:rsid w:val="000B796D"/>
    <w:rsid w:val="000B7BF4"/>
    <w:rsid w:val="000C0436"/>
    <w:rsid w:val="000C08A2"/>
    <w:rsid w:val="000C3DB8"/>
    <w:rsid w:val="000C4476"/>
    <w:rsid w:val="000C4509"/>
    <w:rsid w:val="000C4EF2"/>
    <w:rsid w:val="000C5117"/>
    <w:rsid w:val="000C64DC"/>
    <w:rsid w:val="000C6AF1"/>
    <w:rsid w:val="000D0D7F"/>
    <w:rsid w:val="000D15C8"/>
    <w:rsid w:val="000D193C"/>
    <w:rsid w:val="000D1F61"/>
    <w:rsid w:val="000D2424"/>
    <w:rsid w:val="000D2C62"/>
    <w:rsid w:val="000D3601"/>
    <w:rsid w:val="000D3D9C"/>
    <w:rsid w:val="000D4435"/>
    <w:rsid w:val="000E1A3E"/>
    <w:rsid w:val="000E1DF4"/>
    <w:rsid w:val="000E22B9"/>
    <w:rsid w:val="000E4357"/>
    <w:rsid w:val="000E47B4"/>
    <w:rsid w:val="000E51E9"/>
    <w:rsid w:val="000E561F"/>
    <w:rsid w:val="000F1E05"/>
    <w:rsid w:val="000F2763"/>
    <w:rsid w:val="000F2931"/>
    <w:rsid w:val="000F3545"/>
    <w:rsid w:val="000F425C"/>
    <w:rsid w:val="000F4C8F"/>
    <w:rsid w:val="000F59A8"/>
    <w:rsid w:val="000F7FC0"/>
    <w:rsid w:val="001001D6"/>
    <w:rsid w:val="0010121D"/>
    <w:rsid w:val="00102F74"/>
    <w:rsid w:val="00103348"/>
    <w:rsid w:val="00103398"/>
    <w:rsid w:val="00103C5F"/>
    <w:rsid w:val="001052D2"/>
    <w:rsid w:val="001057E2"/>
    <w:rsid w:val="001062CE"/>
    <w:rsid w:val="00107352"/>
    <w:rsid w:val="00107A41"/>
    <w:rsid w:val="001100C4"/>
    <w:rsid w:val="001114DA"/>
    <w:rsid w:val="00112B05"/>
    <w:rsid w:val="00116453"/>
    <w:rsid w:val="001171F1"/>
    <w:rsid w:val="001209CC"/>
    <w:rsid w:val="00121727"/>
    <w:rsid w:val="00121886"/>
    <w:rsid w:val="00122466"/>
    <w:rsid w:val="00122567"/>
    <w:rsid w:val="00122637"/>
    <w:rsid w:val="00122F96"/>
    <w:rsid w:val="00123773"/>
    <w:rsid w:val="001248E1"/>
    <w:rsid w:val="00124AEC"/>
    <w:rsid w:val="00124D22"/>
    <w:rsid w:val="00124F14"/>
    <w:rsid w:val="00124FDC"/>
    <w:rsid w:val="00125764"/>
    <w:rsid w:val="00125CA3"/>
    <w:rsid w:val="001301C0"/>
    <w:rsid w:val="00130A49"/>
    <w:rsid w:val="001318F2"/>
    <w:rsid w:val="001327C9"/>
    <w:rsid w:val="00132928"/>
    <w:rsid w:val="00134383"/>
    <w:rsid w:val="00134E8E"/>
    <w:rsid w:val="001353C9"/>
    <w:rsid w:val="001359FF"/>
    <w:rsid w:val="00135D50"/>
    <w:rsid w:val="0013646D"/>
    <w:rsid w:val="00136D94"/>
    <w:rsid w:val="00140D09"/>
    <w:rsid w:val="00141ABD"/>
    <w:rsid w:val="001423CA"/>
    <w:rsid w:val="00142442"/>
    <w:rsid w:val="00142E26"/>
    <w:rsid w:val="00144198"/>
    <w:rsid w:val="00144349"/>
    <w:rsid w:val="00144480"/>
    <w:rsid w:val="00147AC4"/>
    <w:rsid w:val="00147DA5"/>
    <w:rsid w:val="0015063B"/>
    <w:rsid w:val="001509A6"/>
    <w:rsid w:val="00151F29"/>
    <w:rsid w:val="00152B2D"/>
    <w:rsid w:val="0015351F"/>
    <w:rsid w:val="00153D5E"/>
    <w:rsid w:val="00153DF8"/>
    <w:rsid w:val="00155087"/>
    <w:rsid w:val="00156773"/>
    <w:rsid w:val="001568FC"/>
    <w:rsid w:val="00157938"/>
    <w:rsid w:val="00160147"/>
    <w:rsid w:val="001602B7"/>
    <w:rsid w:val="00160D1F"/>
    <w:rsid w:val="00161225"/>
    <w:rsid w:val="001612F8"/>
    <w:rsid w:val="0016132A"/>
    <w:rsid w:val="00161415"/>
    <w:rsid w:val="00162755"/>
    <w:rsid w:val="00162E26"/>
    <w:rsid w:val="00162FBD"/>
    <w:rsid w:val="00163FD2"/>
    <w:rsid w:val="00164C5D"/>
    <w:rsid w:val="00164C7A"/>
    <w:rsid w:val="00165163"/>
    <w:rsid w:val="001661F0"/>
    <w:rsid w:val="00166DDD"/>
    <w:rsid w:val="00167DD3"/>
    <w:rsid w:val="001714B0"/>
    <w:rsid w:val="001720A9"/>
    <w:rsid w:val="00172418"/>
    <w:rsid w:val="00173932"/>
    <w:rsid w:val="00173C77"/>
    <w:rsid w:val="00173F6F"/>
    <w:rsid w:val="00174280"/>
    <w:rsid w:val="0017632B"/>
    <w:rsid w:val="00177009"/>
    <w:rsid w:val="0017779C"/>
    <w:rsid w:val="001803C8"/>
    <w:rsid w:val="00180A89"/>
    <w:rsid w:val="00180F11"/>
    <w:rsid w:val="001816CB"/>
    <w:rsid w:val="00182B10"/>
    <w:rsid w:val="0018303B"/>
    <w:rsid w:val="00183237"/>
    <w:rsid w:val="001834B5"/>
    <w:rsid w:val="00183E65"/>
    <w:rsid w:val="00184887"/>
    <w:rsid w:val="00186385"/>
    <w:rsid w:val="0019010D"/>
    <w:rsid w:val="00191139"/>
    <w:rsid w:val="00192F79"/>
    <w:rsid w:val="0019498B"/>
    <w:rsid w:val="00194EE6"/>
    <w:rsid w:val="00195D58"/>
    <w:rsid w:val="001966CE"/>
    <w:rsid w:val="00196A45"/>
    <w:rsid w:val="001A233C"/>
    <w:rsid w:val="001A3F8A"/>
    <w:rsid w:val="001A419C"/>
    <w:rsid w:val="001A5E75"/>
    <w:rsid w:val="001A67F0"/>
    <w:rsid w:val="001A7112"/>
    <w:rsid w:val="001A7773"/>
    <w:rsid w:val="001B1DAF"/>
    <w:rsid w:val="001B382B"/>
    <w:rsid w:val="001B440C"/>
    <w:rsid w:val="001B457D"/>
    <w:rsid w:val="001B5330"/>
    <w:rsid w:val="001C0D5C"/>
    <w:rsid w:val="001C1AA2"/>
    <w:rsid w:val="001C2B90"/>
    <w:rsid w:val="001C305F"/>
    <w:rsid w:val="001C7240"/>
    <w:rsid w:val="001D114D"/>
    <w:rsid w:val="001D11E0"/>
    <w:rsid w:val="001D162B"/>
    <w:rsid w:val="001D1D93"/>
    <w:rsid w:val="001D2936"/>
    <w:rsid w:val="001D34B5"/>
    <w:rsid w:val="001D471F"/>
    <w:rsid w:val="001D50EB"/>
    <w:rsid w:val="001D6C4E"/>
    <w:rsid w:val="001D712F"/>
    <w:rsid w:val="001D73DF"/>
    <w:rsid w:val="001E1F1D"/>
    <w:rsid w:val="001E22B3"/>
    <w:rsid w:val="001E236B"/>
    <w:rsid w:val="001E25FD"/>
    <w:rsid w:val="001E29E1"/>
    <w:rsid w:val="001E2D67"/>
    <w:rsid w:val="001E417F"/>
    <w:rsid w:val="001E5A4D"/>
    <w:rsid w:val="001E7EF0"/>
    <w:rsid w:val="001F00AE"/>
    <w:rsid w:val="001F075E"/>
    <w:rsid w:val="001F0951"/>
    <w:rsid w:val="001F1B7B"/>
    <w:rsid w:val="001F21F5"/>
    <w:rsid w:val="001F3B5F"/>
    <w:rsid w:val="001F513D"/>
    <w:rsid w:val="00200DEC"/>
    <w:rsid w:val="00201140"/>
    <w:rsid w:val="00202570"/>
    <w:rsid w:val="002027FC"/>
    <w:rsid w:val="00204D02"/>
    <w:rsid w:val="00210D52"/>
    <w:rsid w:val="00211DAF"/>
    <w:rsid w:val="0021200B"/>
    <w:rsid w:val="00214801"/>
    <w:rsid w:val="002152BF"/>
    <w:rsid w:val="00216BAE"/>
    <w:rsid w:val="00216BD5"/>
    <w:rsid w:val="002213E6"/>
    <w:rsid w:val="002215E5"/>
    <w:rsid w:val="002224D8"/>
    <w:rsid w:val="00222D1E"/>
    <w:rsid w:val="002231B6"/>
    <w:rsid w:val="002238C7"/>
    <w:rsid w:val="00224AAD"/>
    <w:rsid w:val="00224CD9"/>
    <w:rsid w:val="00225F76"/>
    <w:rsid w:val="002263DE"/>
    <w:rsid w:val="002269B0"/>
    <w:rsid w:val="00226F26"/>
    <w:rsid w:val="00227E9E"/>
    <w:rsid w:val="00227F9C"/>
    <w:rsid w:val="00230506"/>
    <w:rsid w:val="0023076D"/>
    <w:rsid w:val="0023097E"/>
    <w:rsid w:val="00231B9C"/>
    <w:rsid w:val="00231F92"/>
    <w:rsid w:val="00233576"/>
    <w:rsid w:val="00233E4B"/>
    <w:rsid w:val="00234765"/>
    <w:rsid w:val="0023492F"/>
    <w:rsid w:val="00234D53"/>
    <w:rsid w:val="00235446"/>
    <w:rsid w:val="002359B6"/>
    <w:rsid w:val="00235E84"/>
    <w:rsid w:val="002409F0"/>
    <w:rsid w:val="00240B76"/>
    <w:rsid w:val="00240E9F"/>
    <w:rsid w:val="00240FF9"/>
    <w:rsid w:val="00241824"/>
    <w:rsid w:val="00242688"/>
    <w:rsid w:val="00242B97"/>
    <w:rsid w:val="0024345A"/>
    <w:rsid w:val="00243EE8"/>
    <w:rsid w:val="00244B66"/>
    <w:rsid w:val="00246B61"/>
    <w:rsid w:val="0024700B"/>
    <w:rsid w:val="002478B8"/>
    <w:rsid w:val="002511B6"/>
    <w:rsid w:val="00252C58"/>
    <w:rsid w:val="00252D30"/>
    <w:rsid w:val="002554AA"/>
    <w:rsid w:val="00256BD3"/>
    <w:rsid w:val="00256CC2"/>
    <w:rsid w:val="0025796E"/>
    <w:rsid w:val="00260A00"/>
    <w:rsid w:val="00261551"/>
    <w:rsid w:val="002618B8"/>
    <w:rsid w:val="002627F4"/>
    <w:rsid w:val="00262B18"/>
    <w:rsid w:val="00262C43"/>
    <w:rsid w:val="00263580"/>
    <w:rsid w:val="002655BA"/>
    <w:rsid w:val="002665E3"/>
    <w:rsid w:val="0026678D"/>
    <w:rsid w:val="00267E3B"/>
    <w:rsid w:val="00271773"/>
    <w:rsid w:val="00272350"/>
    <w:rsid w:val="00274758"/>
    <w:rsid w:val="00274865"/>
    <w:rsid w:val="00274914"/>
    <w:rsid w:val="00274C76"/>
    <w:rsid w:val="002758FC"/>
    <w:rsid w:val="00275B89"/>
    <w:rsid w:val="002766E8"/>
    <w:rsid w:val="00276ACC"/>
    <w:rsid w:val="002772FA"/>
    <w:rsid w:val="002775EE"/>
    <w:rsid w:val="00277BAC"/>
    <w:rsid w:val="00280ED7"/>
    <w:rsid w:val="002848E5"/>
    <w:rsid w:val="00284C2C"/>
    <w:rsid w:val="00286D86"/>
    <w:rsid w:val="00290982"/>
    <w:rsid w:val="00290A5A"/>
    <w:rsid w:val="002918E8"/>
    <w:rsid w:val="00293B06"/>
    <w:rsid w:val="00294E1A"/>
    <w:rsid w:val="00295A3F"/>
    <w:rsid w:val="00295CEC"/>
    <w:rsid w:val="00295FE8"/>
    <w:rsid w:val="002964DC"/>
    <w:rsid w:val="00296E92"/>
    <w:rsid w:val="002A0203"/>
    <w:rsid w:val="002A028C"/>
    <w:rsid w:val="002A101C"/>
    <w:rsid w:val="002A110B"/>
    <w:rsid w:val="002A15E1"/>
    <w:rsid w:val="002A1CCB"/>
    <w:rsid w:val="002A3292"/>
    <w:rsid w:val="002A57F2"/>
    <w:rsid w:val="002A63E0"/>
    <w:rsid w:val="002A6DE2"/>
    <w:rsid w:val="002A7FC1"/>
    <w:rsid w:val="002B0184"/>
    <w:rsid w:val="002B288C"/>
    <w:rsid w:val="002B39DE"/>
    <w:rsid w:val="002B4B21"/>
    <w:rsid w:val="002B50EF"/>
    <w:rsid w:val="002B6997"/>
    <w:rsid w:val="002B6FC4"/>
    <w:rsid w:val="002C37B3"/>
    <w:rsid w:val="002C38A1"/>
    <w:rsid w:val="002C4196"/>
    <w:rsid w:val="002C48FC"/>
    <w:rsid w:val="002C561B"/>
    <w:rsid w:val="002C6A6A"/>
    <w:rsid w:val="002D0BE6"/>
    <w:rsid w:val="002D106D"/>
    <w:rsid w:val="002D1EF3"/>
    <w:rsid w:val="002D209B"/>
    <w:rsid w:val="002D226B"/>
    <w:rsid w:val="002D40B2"/>
    <w:rsid w:val="002D48AF"/>
    <w:rsid w:val="002D4DFF"/>
    <w:rsid w:val="002D5781"/>
    <w:rsid w:val="002D67A3"/>
    <w:rsid w:val="002D69F0"/>
    <w:rsid w:val="002D7960"/>
    <w:rsid w:val="002D79D2"/>
    <w:rsid w:val="002D7C23"/>
    <w:rsid w:val="002E08C0"/>
    <w:rsid w:val="002E1F62"/>
    <w:rsid w:val="002E2AD5"/>
    <w:rsid w:val="002E3218"/>
    <w:rsid w:val="002E33B9"/>
    <w:rsid w:val="002E3873"/>
    <w:rsid w:val="002E4AF5"/>
    <w:rsid w:val="002E5340"/>
    <w:rsid w:val="002E7708"/>
    <w:rsid w:val="002F17B5"/>
    <w:rsid w:val="002F2130"/>
    <w:rsid w:val="002F2AAE"/>
    <w:rsid w:val="002F2AC4"/>
    <w:rsid w:val="002F5DBA"/>
    <w:rsid w:val="002F6246"/>
    <w:rsid w:val="002F7251"/>
    <w:rsid w:val="003006E7"/>
    <w:rsid w:val="00300ABF"/>
    <w:rsid w:val="003025D4"/>
    <w:rsid w:val="003028FD"/>
    <w:rsid w:val="003031AC"/>
    <w:rsid w:val="0030471C"/>
    <w:rsid w:val="00304D85"/>
    <w:rsid w:val="003054B5"/>
    <w:rsid w:val="003059E8"/>
    <w:rsid w:val="00306719"/>
    <w:rsid w:val="0030684C"/>
    <w:rsid w:val="0030761B"/>
    <w:rsid w:val="003121E2"/>
    <w:rsid w:val="003133F4"/>
    <w:rsid w:val="00313657"/>
    <w:rsid w:val="003143C4"/>
    <w:rsid w:val="003147CB"/>
    <w:rsid w:val="003154F9"/>
    <w:rsid w:val="003159A6"/>
    <w:rsid w:val="00316247"/>
    <w:rsid w:val="003167E4"/>
    <w:rsid w:val="003210E1"/>
    <w:rsid w:val="00321511"/>
    <w:rsid w:val="003218D4"/>
    <w:rsid w:val="0032276D"/>
    <w:rsid w:val="0032298A"/>
    <w:rsid w:val="00322F88"/>
    <w:rsid w:val="00323DB1"/>
    <w:rsid w:val="00324648"/>
    <w:rsid w:val="00324DB2"/>
    <w:rsid w:val="00325446"/>
    <w:rsid w:val="00325CF6"/>
    <w:rsid w:val="00326867"/>
    <w:rsid w:val="00326CCB"/>
    <w:rsid w:val="003271D3"/>
    <w:rsid w:val="00327C2D"/>
    <w:rsid w:val="0033055E"/>
    <w:rsid w:val="00332347"/>
    <w:rsid w:val="00332F0F"/>
    <w:rsid w:val="00333B56"/>
    <w:rsid w:val="003348C9"/>
    <w:rsid w:val="0033508C"/>
    <w:rsid w:val="0033509F"/>
    <w:rsid w:val="003350AF"/>
    <w:rsid w:val="00337048"/>
    <w:rsid w:val="00337471"/>
    <w:rsid w:val="00337490"/>
    <w:rsid w:val="00340774"/>
    <w:rsid w:val="003409DE"/>
    <w:rsid w:val="00341FA8"/>
    <w:rsid w:val="00342811"/>
    <w:rsid w:val="00344414"/>
    <w:rsid w:val="00344A55"/>
    <w:rsid w:val="00345281"/>
    <w:rsid w:val="003452E1"/>
    <w:rsid w:val="00345DE3"/>
    <w:rsid w:val="0034797D"/>
    <w:rsid w:val="00350973"/>
    <w:rsid w:val="00350F56"/>
    <w:rsid w:val="003527D5"/>
    <w:rsid w:val="00352C6F"/>
    <w:rsid w:val="00353206"/>
    <w:rsid w:val="0035520B"/>
    <w:rsid w:val="00356BF2"/>
    <w:rsid w:val="00356F3C"/>
    <w:rsid w:val="00361223"/>
    <w:rsid w:val="00361900"/>
    <w:rsid w:val="0036290C"/>
    <w:rsid w:val="00363B47"/>
    <w:rsid w:val="00363BAC"/>
    <w:rsid w:val="00363F88"/>
    <w:rsid w:val="00365381"/>
    <w:rsid w:val="00365825"/>
    <w:rsid w:val="0036660B"/>
    <w:rsid w:val="0036667D"/>
    <w:rsid w:val="0036687D"/>
    <w:rsid w:val="003676E6"/>
    <w:rsid w:val="003678C6"/>
    <w:rsid w:val="0037015F"/>
    <w:rsid w:val="003705BF"/>
    <w:rsid w:val="00370CDD"/>
    <w:rsid w:val="0037114A"/>
    <w:rsid w:val="00371DBF"/>
    <w:rsid w:val="003720CF"/>
    <w:rsid w:val="00372C41"/>
    <w:rsid w:val="0037414A"/>
    <w:rsid w:val="003750F0"/>
    <w:rsid w:val="003762DA"/>
    <w:rsid w:val="0037684A"/>
    <w:rsid w:val="00377384"/>
    <w:rsid w:val="003819AF"/>
    <w:rsid w:val="003821B3"/>
    <w:rsid w:val="0038245D"/>
    <w:rsid w:val="00383AE9"/>
    <w:rsid w:val="00384419"/>
    <w:rsid w:val="00384FF3"/>
    <w:rsid w:val="003877D8"/>
    <w:rsid w:val="00391F97"/>
    <w:rsid w:val="003929BC"/>
    <w:rsid w:val="003948FB"/>
    <w:rsid w:val="00394975"/>
    <w:rsid w:val="003959EC"/>
    <w:rsid w:val="00396698"/>
    <w:rsid w:val="0039686C"/>
    <w:rsid w:val="003A077E"/>
    <w:rsid w:val="003A1A87"/>
    <w:rsid w:val="003A2194"/>
    <w:rsid w:val="003A238D"/>
    <w:rsid w:val="003A2958"/>
    <w:rsid w:val="003A3798"/>
    <w:rsid w:val="003A4E90"/>
    <w:rsid w:val="003A55F8"/>
    <w:rsid w:val="003A5B8C"/>
    <w:rsid w:val="003A5FAC"/>
    <w:rsid w:val="003A7DCB"/>
    <w:rsid w:val="003B0690"/>
    <w:rsid w:val="003B0C73"/>
    <w:rsid w:val="003B156B"/>
    <w:rsid w:val="003B28E7"/>
    <w:rsid w:val="003B2BE9"/>
    <w:rsid w:val="003B3BBA"/>
    <w:rsid w:val="003B4B1D"/>
    <w:rsid w:val="003B584F"/>
    <w:rsid w:val="003B6173"/>
    <w:rsid w:val="003B75F8"/>
    <w:rsid w:val="003B77BD"/>
    <w:rsid w:val="003C07CC"/>
    <w:rsid w:val="003C3313"/>
    <w:rsid w:val="003C332D"/>
    <w:rsid w:val="003C370E"/>
    <w:rsid w:val="003C3B99"/>
    <w:rsid w:val="003C5D0D"/>
    <w:rsid w:val="003C689F"/>
    <w:rsid w:val="003C76C4"/>
    <w:rsid w:val="003D1166"/>
    <w:rsid w:val="003D132E"/>
    <w:rsid w:val="003D1FEA"/>
    <w:rsid w:val="003D3492"/>
    <w:rsid w:val="003D374D"/>
    <w:rsid w:val="003D37C3"/>
    <w:rsid w:val="003D606E"/>
    <w:rsid w:val="003E098E"/>
    <w:rsid w:val="003E0ABD"/>
    <w:rsid w:val="003E1624"/>
    <w:rsid w:val="003E1CEE"/>
    <w:rsid w:val="003E2063"/>
    <w:rsid w:val="003E3B8C"/>
    <w:rsid w:val="003E49E8"/>
    <w:rsid w:val="003E4C50"/>
    <w:rsid w:val="003E519E"/>
    <w:rsid w:val="003E53EE"/>
    <w:rsid w:val="003E5484"/>
    <w:rsid w:val="003E560D"/>
    <w:rsid w:val="003E5F47"/>
    <w:rsid w:val="003E6689"/>
    <w:rsid w:val="003E743D"/>
    <w:rsid w:val="003F2359"/>
    <w:rsid w:val="003F288C"/>
    <w:rsid w:val="003F2E5E"/>
    <w:rsid w:val="003F3398"/>
    <w:rsid w:val="003F395F"/>
    <w:rsid w:val="003F3D21"/>
    <w:rsid w:val="003F5220"/>
    <w:rsid w:val="003F5454"/>
    <w:rsid w:val="003F55B6"/>
    <w:rsid w:val="003F691B"/>
    <w:rsid w:val="003F6F9F"/>
    <w:rsid w:val="0040049B"/>
    <w:rsid w:val="00400C8A"/>
    <w:rsid w:val="0040187E"/>
    <w:rsid w:val="0040213A"/>
    <w:rsid w:val="004034E1"/>
    <w:rsid w:val="0040416F"/>
    <w:rsid w:val="00404D97"/>
    <w:rsid w:val="004060D9"/>
    <w:rsid w:val="0040688F"/>
    <w:rsid w:val="00406E34"/>
    <w:rsid w:val="004070B4"/>
    <w:rsid w:val="00407CD7"/>
    <w:rsid w:val="0041021E"/>
    <w:rsid w:val="00410767"/>
    <w:rsid w:val="00410D1F"/>
    <w:rsid w:val="00411C2A"/>
    <w:rsid w:val="0041278E"/>
    <w:rsid w:val="004140C0"/>
    <w:rsid w:val="004145D2"/>
    <w:rsid w:val="00414D2A"/>
    <w:rsid w:val="00414E6D"/>
    <w:rsid w:val="00415B61"/>
    <w:rsid w:val="004164FC"/>
    <w:rsid w:val="004169EF"/>
    <w:rsid w:val="00416D1E"/>
    <w:rsid w:val="00417563"/>
    <w:rsid w:val="00421B66"/>
    <w:rsid w:val="00422911"/>
    <w:rsid w:val="00424E57"/>
    <w:rsid w:val="0042503D"/>
    <w:rsid w:val="00425AE3"/>
    <w:rsid w:val="00426C3F"/>
    <w:rsid w:val="00427995"/>
    <w:rsid w:val="00431EE6"/>
    <w:rsid w:val="00432FD5"/>
    <w:rsid w:val="00434123"/>
    <w:rsid w:val="0043422A"/>
    <w:rsid w:val="00434482"/>
    <w:rsid w:val="004362ED"/>
    <w:rsid w:val="004364D0"/>
    <w:rsid w:val="00436686"/>
    <w:rsid w:val="00436F5B"/>
    <w:rsid w:val="00437A2A"/>
    <w:rsid w:val="00437CFE"/>
    <w:rsid w:val="00437D90"/>
    <w:rsid w:val="00441246"/>
    <w:rsid w:val="00441F50"/>
    <w:rsid w:val="00442270"/>
    <w:rsid w:val="004431CC"/>
    <w:rsid w:val="00443C48"/>
    <w:rsid w:val="00445B09"/>
    <w:rsid w:val="00445FDE"/>
    <w:rsid w:val="00446068"/>
    <w:rsid w:val="004502F4"/>
    <w:rsid w:val="00451457"/>
    <w:rsid w:val="00451658"/>
    <w:rsid w:val="00451CE6"/>
    <w:rsid w:val="00452A61"/>
    <w:rsid w:val="00452F29"/>
    <w:rsid w:val="004533FD"/>
    <w:rsid w:val="0045368C"/>
    <w:rsid w:val="00454708"/>
    <w:rsid w:val="004547C0"/>
    <w:rsid w:val="00454CEC"/>
    <w:rsid w:val="0045796B"/>
    <w:rsid w:val="00457A4F"/>
    <w:rsid w:val="00457DEA"/>
    <w:rsid w:val="004619A0"/>
    <w:rsid w:val="004623EC"/>
    <w:rsid w:val="00462C61"/>
    <w:rsid w:val="00462D00"/>
    <w:rsid w:val="00462DCC"/>
    <w:rsid w:val="00463367"/>
    <w:rsid w:val="004647FD"/>
    <w:rsid w:val="0046492F"/>
    <w:rsid w:val="0046498B"/>
    <w:rsid w:val="004649CA"/>
    <w:rsid w:val="00466754"/>
    <w:rsid w:val="00471116"/>
    <w:rsid w:val="00472A0F"/>
    <w:rsid w:val="00473E49"/>
    <w:rsid w:val="00480707"/>
    <w:rsid w:val="00481A3D"/>
    <w:rsid w:val="00482AE7"/>
    <w:rsid w:val="00483A52"/>
    <w:rsid w:val="004840C6"/>
    <w:rsid w:val="004862DE"/>
    <w:rsid w:val="0048682C"/>
    <w:rsid w:val="00491B6F"/>
    <w:rsid w:val="00492C13"/>
    <w:rsid w:val="00495D89"/>
    <w:rsid w:val="00495E35"/>
    <w:rsid w:val="00496967"/>
    <w:rsid w:val="00496DCD"/>
    <w:rsid w:val="004977B2"/>
    <w:rsid w:val="004977C5"/>
    <w:rsid w:val="004A0014"/>
    <w:rsid w:val="004A0269"/>
    <w:rsid w:val="004A12B3"/>
    <w:rsid w:val="004A1642"/>
    <w:rsid w:val="004A1E4F"/>
    <w:rsid w:val="004A258F"/>
    <w:rsid w:val="004A4B0F"/>
    <w:rsid w:val="004A4CFF"/>
    <w:rsid w:val="004A4F18"/>
    <w:rsid w:val="004A6C95"/>
    <w:rsid w:val="004A778C"/>
    <w:rsid w:val="004B0016"/>
    <w:rsid w:val="004B001A"/>
    <w:rsid w:val="004B0108"/>
    <w:rsid w:val="004B02C7"/>
    <w:rsid w:val="004B0BD8"/>
    <w:rsid w:val="004B12AD"/>
    <w:rsid w:val="004B1E31"/>
    <w:rsid w:val="004B24D7"/>
    <w:rsid w:val="004B284D"/>
    <w:rsid w:val="004B2A12"/>
    <w:rsid w:val="004B3858"/>
    <w:rsid w:val="004B3ECC"/>
    <w:rsid w:val="004B42CD"/>
    <w:rsid w:val="004B45A9"/>
    <w:rsid w:val="004B4829"/>
    <w:rsid w:val="004B573E"/>
    <w:rsid w:val="004B5B15"/>
    <w:rsid w:val="004B6A51"/>
    <w:rsid w:val="004B7D97"/>
    <w:rsid w:val="004C03BF"/>
    <w:rsid w:val="004C2246"/>
    <w:rsid w:val="004C22BB"/>
    <w:rsid w:val="004C2626"/>
    <w:rsid w:val="004C35D3"/>
    <w:rsid w:val="004C51E0"/>
    <w:rsid w:val="004C60CB"/>
    <w:rsid w:val="004C6F87"/>
    <w:rsid w:val="004C72BC"/>
    <w:rsid w:val="004C7834"/>
    <w:rsid w:val="004D073E"/>
    <w:rsid w:val="004D0F2F"/>
    <w:rsid w:val="004D1204"/>
    <w:rsid w:val="004D1FF6"/>
    <w:rsid w:val="004D25A4"/>
    <w:rsid w:val="004D2938"/>
    <w:rsid w:val="004D5149"/>
    <w:rsid w:val="004D517A"/>
    <w:rsid w:val="004E0297"/>
    <w:rsid w:val="004E02F8"/>
    <w:rsid w:val="004E08CF"/>
    <w:rsid w:val="004E1AA9"/>
    <w:rsid w:val="004E2912"/>
    <w:rsid w:val="004E3451"/>
    <w:rsid w:val="004E4117"/>
    <w:rsid w:val="004E41A3"/>
    <w:rsid w:val="004E41B3"/>
    <w:rsid w:val="004E4E2C"/>
    <w:rsid w:val="004E555B"/>
    <w:rsid w:val="004E6041"/>
    <w:rsid w:val="004E6514"/>
    <w:rsid w:val="004E6909"/>
    <w:rsid w:val="004E7C8E"/>
    <w:rsid w:val="004F1705"/>
    <w:rsid w:val="004F1F6F"/>
    <w:rsid w:val="004F2233"/>
    <w:rsid w:val="004F2862"/>
    <w:rsid w:val="004F28FA"/>
    <w:rsid w:val="004F4F4A"/>
    <w:rsid w:val="004F533E"/>
    <w:rsid w:val="004F5AC8"/>
    <w:rsid w:val="004F7221"/>
    <w:rsid w:val="004F7AD1"/>
    <w:rsid w:val="0050057E"/>
    <w:rsid w:val="00500B26"/>
    <w:rsid w:val="005011CB"/>
    <w:rsid w:val="00501B0E"/>
    <w:rsid w:val="00505280"/>
    <w:rsid w:val="00505318"/>
    <w:rsid w:val="0050772D"/>
    <w:rsid w:val="00510037"/>
    <w:rsid w:val="00510040"/>
    <w:rsid w:val="005107F5"/>
    <w:rsid w:val="00511F5D"/>
    <w:rsid w:val="00514021"/>
    <w:rsid w:val="00515A2A"/>
    <w:rsid w:val="00515C2F"/>
    <w:rsid w:val="00516099"/>
    <w:rsid w:val="00516464"/>
    <w:rsid w:val="00516752"/>
    <w:rsid w:val="00516A8C"/>
    <w:rsid w:val="00517723"/>
    <w:rsid w:val="00517CAE"/>
    <w:rsid w:val="0052033C"/>
    <w:rsid w:val="00522C31"/>
    <w:rsid w:val="00523A3B"/>
    <w:rsid w:val="00525054"/>
    <w:rsid w:val="00526567"/>
    <w:rsid w:val="00526B3D"/>
    <w:rsid w:val="005278D6"/>
    <w:rsid w:val="00527F60"/>
    <w:rsid w:val="005306DF"/>
    <w:rsid w:val="00530756"/>
    <w:rsid w:val="00530C22"/>
    <w:rsid w:val="00531F2A"/>
    <w:rsid w:val="00531F2D"/>
    <w:rsid w:val="00533982"/>
    <w:rsid w:val="005360E5"/>
    <w:rsid w:val="005366AE"/>
    <w:rsid w:val="005379F5"/>
    <w:rsid w:val="005400FE"/>
    <w:rsid w:val="0054261B"/>
    <w:rsid w:val="00544A42"/>
    <w:rsid w:val="00544E83"/>
    <w:rsid w:val="00545003"/>
    <w:rsid w:val="005450BD"/>
    <w:rsid w:val="00546B9B"/>
    <w:rsid w:val="005474B6"/>
    <w:rsid w:val="005509CC"/>
    <w:rsid w:val="00551ACF"/>
    <w:rsid w:val="00552502"/>
    <w:rsid w:val="005526DA"/>
    <w:rsid w:val="00552962"/>
    <w:rsid w:val="00552ED9"/>
    <w:rsid w:val="00553EFD"/>
    <w:rsid w:val="005555D9"/>
    <w:rsid w:val="00555949"/>
    <w:rsid w:val="00555A50"/>
    <w:rsid w:val="00555FA3"/>
    <w:rsid w:val="0055738D"/>
    <w:rsid w:val="00557F13"/>
    <w:rsid w:val="0056068E"/>
    <w:rsid w:val="005606FB"/>
    <w:rsid w:val="00560D37"/>
    <w:rsid w:val="005610EF"/>
    <w:rsid w:val="00562427"/>
    <w:rsid w:val="00565169"/>
    <w:rsid w:val="00565DF7"/>
    <w:rsid w:val="00566130"/>
    <w:rsid w:val="005667C2"/>
    <w:rsid w:val="005670F2"/>
    <w:rsid w:val="005744C2"/>
    <w:rsid w:val="00577F8C"/>
    <w:rsid w:val="005802F2"/>
    <w:rsid w:val="00580E1E"/>
    <w:rsid w:val="005811FD"/>
    <w:rsid w:val="00581A8E"/>
    <w:rsid w:val="00583DED"/>
    <w:rsid w:val="0058413E"/>
    <w:rsid w:val="00584EA2"/>
    <w:rsid w:val="00584F4C"/>
    <w:rsid w:val="005853E2"/>
    <w:rsid w:val="005855CE"/>
    <w:rsid w:val="005903F0"/>
    <w:rsid w:val="00591C3B"/>
    <w:rsid w:val="00591F1A"/>
    <w:rsid w:val="00592D8F"/>
    <w:rsid w:val="005934E0"/>
    <w:rsid w:val="00594892"/>
    <w:rsid w:val="00594FBE"/>
    <w:rsid w:val="005957C9"/>
    <w:rsid w:val="00596B8C"/>
    <w:rsid w:val="00596EEA"/>
    <w:rsid w:val="00597F30"/>
    <w:rsid w:val="005A1261"/>
    <w:rsid w:val="005A13FE"/>
    <w:rsid w:val="005A14C7"/>
    <w:rsid w:val="005A2725"/>
    <w:rsid w:val="005A2BC6"/>
    <w:rsid w:val="005A39D3"/>
    <w:rsid w:val="005A4493"/>
    <w:rsid w:val="005A4E58"/>
    <w:rsid w:val="005A5131"/>
    <w:rsid w:val="005A56D4"/>
    <w:rsid w:val="005A6661"/>
    <w:rsid w:val="005A6868"/>
    <w:rsid w:val="005A6BE8"/>
    <w:rsid w:val="005A736C"/>
    <w:rsid w:val="005A76BB"/>
    <w:rsid w:val="005A77F0"/>
    <w:rsid w:val="005B33AE"/>
    <w:rsid w:val="005B3A3C"/>
    <w:rsid w:val="005B5928"/>
    <w:rsid w:val="005B5F3D"/>
    <w:rsid w:val="005C0198"/>
    <w:rsid w:val="005C14AC"/>
    <w:rsid w:val="005C2480"/>
    <w:rsid w:val="005C342B"/>
    <w:rsid w:val="005C382F"/>
    <w:rsid w:val="005C38AB"/>
    <w:rsid w:val="005C42FF"/>
    <w:rsid w:val="005C54CC"/>
    <w:rsid w:val="005C6353"/>
    <w:rsid w:val="005C6E3B"/>
    <w:rsid w:val="005D0F7A"/>
    <w:rsid w:val="005D3D85"/>
    <w:rsid w:val="005D3E0E"/>
    <w:rsid w:val="005D4EBB"/>
    <w:rsid w:val="005D583B"/>
    <w:rsid w:val="005D622F"/>
    <w:rsid w:val="005D6253"/>
    <w:rsid w:val="005D6D08"/>
    <w:rsid w:val="005E0292"/>
    <w:rsid w:val="005E0813"/>
    <w:rsid w:val="005E09E7"/>
    <w:rsid w:val="005E4ACB"/>
    <w:rsid w:val="005E4EF2"/>
    <w:rsid w:val="005E50A5"/>
    <w:rsid w:val="005E5B6D"/>
    <w:rsid w:val="005E6D70"/>
    <w:rsid w:val="005E78AE"/>
    <w:rsid w:val="005F0A9A"/>
    <w:rsid w:val="005F1E0B"/>
    <w:rsid w:val="005F4E82"/>
    <w:rsid w:val="005F5EE7"/>
    <w:rsid w:val="005F6805"/>
    <w:rsid w:val="005F7503"/>
    <w:rsid w:val="006004F8"/>
    <w:rsid w:val="00600839"/>
    <w:rsid w:val="006008D5"/>
    <w:rsid w:val="006027E1"/>
    <w:rsid w:val="00602D56"/>
    <w:rsid w:val="006048D7"/>
    <w:rsid w:val="006051B7"/>
    <w:rsid w:val="00606281"/>
    <w:rsid w:val="0060657C"/>
    <w:rsid w:val="0060672B"/>
    <w:rsid w:val="00606CD2"/>
    <w:rsid w:val="0061095A"/>
    <w:rsid w:val="0061106D"/>
    <w:rsid w:val="00612774"/>
    <w:rsid w:val="00612BB0"/>
    <w:rsid w:val="00614061"/>
    <w:rsid w:val="006145BC"/>
    <w:rsid w:val="0061524F"/>
    <w:rsid w:val="00617CC3"/>
    <w:rsid w:val="006208E7"/>
    <w:rsid w:val="0062134E"/>
    <w:rsid w:val="00621E0F"/>
    <w:rsid w:val="0062242F"/>
    <w:rsid w:val="00623B49"/>
    <w:rsid w:val="00624ADB"/>
    <w:rsid w:val="006259C4"/>
    <w:rsid w:val="0062676D"/>
    <w:rsid w:val="00626DE4"/>
    <w:rsid w:val="00630492"/>
    <w:rsid w:val="00630928"/>
    <w:rsid w:val="00632117"/>
    <w:rsid w:val="006321DF"/>
    <w:rsid w:val="00632A36"/>
    <w:rsid w:val="006330D8"/>
    <w:rsid w:val="006332C6"/>
    <w:rsid w:val="00634CCB"/>
    <w:rsid w:val="00635EBB"/>
    <w:rsid w:val="00637180"/>
    <w:rsid w:val="006372FE"/>
    <w:rsid w:val="00637F7A"/>
    <w:rsid w:val="00640062"/>
    <w:rsid w:val="006410EA"/>
    <w:rsid w:val="006425CB"/>
    <w:rsid w:val="00642CD8"/>
    <w:rsid w:val="00644D17"/>
    <w:rsid w:val="00646846"/>
    <w:rsid w:val="00647646"/>
    <w:rsid w:val="00647B4F"/>
    <w:rsid w:val="00650336"/>
    <w:rsid w:val="006516BF"/>
    <w:rsid w:val="006518BD"/>
    <w:rsid w:val="00651C6F"/>
    <w:rsid w:val="00652CD9"/>
    <w:rsid w:val="00653B75"/>
    <w:rsid w:val="00654208"/>
    <w:rsid w:val="00654571"/>
    <w:rsid w:val="0065646C"/>
    <w:rsid w:val="00656B0D"/>
    <w:rsid w:val="00656C1F"/>
    <w:rsid w:val="006573DF"/>
    <w:rsid w:val="00657CCB"/>
    <w:rsid w:val="00657E34"/>
    <w:rsid w:val="00660ADA"/>
    <w:rsid w:val="0066106B"/>
    <w:rsid w:val="00661867"/>
    <w:rsid w:val="00663A90"/>
    <w:rsid w:val="00663E2A"/>
    <w:rsid w:val="00664CA4"/>
    <w:rsid w:val="00664FE2"/>
    <w:rsid w:val="0067098E"/>
    <w:rsid w:val="00670DBC"/>
    <w:rsid w:val="006728BA"/>
    <w:rsid w:val="00673336"/>
    <w:rsid w:val="006737C6"/>
    <w:rsid w:val="0067486C"/>
    <w:rsid w:val="00675165"/>
    <w:rsid w:val="006752FD"/>
    <w:rsid w:val="00675319"/>
    <w:rsid w:val="00675B77"/>
    <w:rsid w:val="00676B6C"/>
    <w:rsid w:val="00677180"/>
    <w:rsid w:val="00677DC6"/>
    <w:rsid w:val="006803D3"/>
    <w:rsid w:val="006809BE"/>
    <w:rsid w:val="0068311D"/>
    <w:rsid w:val="00684014"/>
    <w:rsid w:val="00684B24"/>
    <w:rsid w:val="0068532E"/>
    <w:rsid w:val="00686F84"/>
    <w:rsid w:val="00687957"/>
    <w:rsid w:val="0069131A"/>
    <w:rsid w:val="006920A2"/>
    <w:rsid w:val="006937A6"/>
    <w:rsid w:val="00693B54"/>
    <w:rsid w:val="006958AC"/>
    <w:rsid w:val="00695EDB"/>
    <w:rsid w:val="00696343"/>
    <w:rsid w:val="0069771E"/>
    <w:rsid w:val="006977BB"/>
    <w:rsid w:val="006A0DD0"/>
    <w:rsid w:val="006A17B7"/>
    <w:rsid w:val="006A1F67"/>
    <w:rsid w:val="006A23C5"/>
    <w:rsid w:val="006A3D4D"/>
    <w:rsid w:val="006A44F7"/>
    <w:rsid w:val="006A4E89"/>
    <w:rsid w:val="006A6598"/>
    <w:rsid w:val="006A71F8"/>
    <w:rsid w:val="006A7810"/>
    <w:rsid w:val="006B1F53"/>
    <w:rsid w:val="006B4402"/>
    <w:rsid w:val="006B5116"/>
    <w:rsid w:val="006B58A7"/>
    <w:rsid w:val="006B5B7D"/>
    <w:rsid w:val="006B77D2"/>
    <w:rsid w:val="006B7B0B"/>
    <w:rsid w:val="006C0508"/>
    <w:rsid w:val="006C19FF"/>
    <w:rsid w:val="006C1EAA"/>
    <w:rsid w:val="006C210D"/>
    <w:rsid w:val="006C5364"/>
    <w:rsid w:val="006C5A28"/>
    <w:rsid w:val="006C5C96"/>
    <w:rsid w:val="006C63C2"/>
    <w:rsid w:val="006D01F9"/>
    <w:rsid w:val="006D059C"/>
    <w:rsid w:val="006D06DE"/>
    <w:rsid w:val="006D133B"/>
    <w:rsid w:val="006D2775"/>
    <w:rsid w:val="006D300C"/>
    <w:rsid w:val="006D3C53"/>
    <w:rsid w:val="006D4183"/>
    <w:rsid w:val="006D4B54"/>
    <w:rsid w:val="006D57D8"/>
    <w:rsid w:val="006D5A81"/>
    <w:rsid w:val="006D5BE5"/>
    <w:rsid w:val="006D6283"/>
    <w:rsid w:val="006E0E85"/>
    <w:rsid w:val="006E28FD"/>
    <w:rsid w:val="006E53A5"/>
    <w:rsid w:val="006E641D"/>
    <w:rsid w:val="006E66E3"/>
    <w:rsid w:val="006E735F"/>
    <w:rsid w:val="006F03E1"/>
    <w:rsid w:val="006F0CB5"/>
    <w:rsid w:val="006F2C34"/>
    <w:rsid w:val="006F37C1"/>
    <w:rsid w:val="006F39AA"/>
    <w:rsid w:val="006F4556"/>
    <w:rsid w:val="006F48D1"/>
    <w:rsid w:val="006F4F32"/>
    <w:rsid w:val="006F4FF7"/>
    <w:rsid w:val="006F5D75"/>
    <w:rsid w:val="006F67FE"/>
    <w:rsid w:val="006F6AB1"/>
    <w:rsid w:val="006F70E6"/>
    <w:rsid w:val="007025DD"/>
    <w:rsid w:val="00704EED"/>
    <w:rsid w:val="00704EF1"/>
    <w:rsid w:val="00704FB4"/>
    <w:rsid w:val="007073A4"/>
    <w:rsid w:val="00707B63"/>
    <w:rsid w:val="007108D3"/>
    <w:rsid w:val="007111CD"/>
    <w:rsid w:val="00714113"/>
    <w:rsid w:val="007143D8"/>
    <w:rsid w:val="00716437"/>
    <w:rsid w:val="007165B6"/>
    <w:rsid w:val="00716937"/>
    <w:rsid w:val="00717052"/>
    <w:rsid w:val="007177E8"/>
    <w:rsid w:val="00717988"/>
    <w:rsid w:val="00717EFF"/>
    <w:rsid w:val="00722302"/>
    <w:rsid w:val="00723821"/>
    <w:rsid w:val="00725E04"/>
    <w:rsid w:val="007272FE"/>
    <w:rsid w:val="00727810"/>
    <w:rsid w:val="007301F6"/>
    <w:rsid w:val="007305B7"/>
    <w:rsid w:val="00730B2B"/>
    <w:rsid w:val="00732E2E"/>
    <w:rsid w:val="00733360"/>
    <w:rsid w:val="00735FD6"/>
    <w:rsid w:val="0073644C"/>
    <w:rsid w:val="00736579"/>
    <w:rsid w:val="00737491"/>
    <w:rsid w:val="00737D5D"/>
    <w:rsid w:val="00737F82"/>
    <w:rsid w:val="00740A97"/>
    <w:rsid w:val="00741C15"/>
    <w:rsid w:val="007423F7"/>
    <w:rsid w:val="00742D7E"/>
    <w:rsid w:val="00743C20"/>
    <w:rsid w:val="00745689"/>
    <w:rsid w:val="00745AB3"/>
    <w:rsid w:val="00745B0F"/>
    <w:rsid w:val="00746A1C"/>
    <w:rsid w:val="007516C5"/>
    <w:rsid w:val="0075312E"/>
    <w:rsid w:val="007531E3"/>
    <w:rsid w:val="00753FFD"/>
    <w:rsid w:val="00754584"/>
    <w:rsid w:val="00754B3D"/>
    <w:rsid w:val="007560DC"/>
    <w:rsid w:val="00756442"/>
    <w:rsid w:val="00756878"/>
    <w:rsid w:val="00756EC8"/>
    <w:rsid w:val="00757277"/>
    <w:rsid w:val="0075744A"/>
    <w:rsid w:val="0076279F"/>
    <w:rsid w:val="00764621"/>
    <w:rsid w:val="0076524B"/>
    <w:rsid w:val="00767E6D"/>
    <w:rsid w:val="0077097F"/>
    <w:rsid w:val="00770CBB"/>
    <w:rsid w:val="00770E91"/>
    <w:rsid w:val="00771079"/>
    <w:rsid w:val="00772854"/>
    <w:rsid w:val="007738D0"/>
    <w:rsid w:val="0077399D"/>
    <w:rsid w:val="00775589"/>
    <w:rsid w:val="00777D7F"/>
    <w:rsid w:val="00777FDD"/>
    <w:rsid w:val="00780665"/>
    <w:rsid w:val="00780E01"/>
    <w:rsid w:val="00782000"/>
    <w:rsid w:val="00782567"/>
    <w:rsid w:val="00782AC9"/>
    <w:rsid w:val="00782BD5"/>
    <w:rsid w:val="00783C76"/>
    <w:rsid w:val="00783CE2"/>
    <w:rsid w:val="00783DD8"/>
    <w:rsid w:val="00784105"/>
    <w:rsid w:val="00784C85"/>
    <w:rsid w:val="00785595"/>
    <w:rsid w:val="00785E69"/>
    <w:rsid w:val="00785F3B"/>
    <w:rsid w:val="007871E4"/>
    <w:rsid w:val="0078795A"/>
    <w:rsid w:val="00790957"/>
    <w:rsid w:val="00794610"/>
    <w:rsid w:val="00794D28"/>
    <w:rsid w:val="00795732"/>
    <w:rsid w:val="00796606"/>
    <w:rsid w:val="0079660B"/>
    <w:rsid w:val="00796D1A"/>
    <w:rsid w:val="00797100"/>
    <w:rsid w:val="007973EF"/>
    <w:rsid w:val="007979AF"/>
    <w:rsid w:val="007979CB"/>
    <w:rsid w:val="007A0611"/>
    <w:rsid w:val="007A09F7"/>
    <w:rsid w:val="007A2D31"/>
    <w:rsid w:val="007A2F27"/>
    <w:rsid w:val="007A4138"/>
    <w:rsid w:val="007A4575"/>
    <w:rsid w:val="007A4C1D"/>
    <w:rsid w:val="007A4FAA"/>
    <w:rsid w:val="007A5DF9"/>
    <w:rsid w:val="007A701C"/>
    <w:rsid w:val="007A7902"/>
    <w:rsid w:val="007A7D0A"/>
    <w:rsid w:val="007B061D"/>
    <w:rsid w:val="007B184F"/>
    <w:rsid w:val="007B1A75"/>
    <w:rsid w:val="007B412B"/>
    <w:rsid w:val="007B5C1B"/>
    <w:rsid w:val="007B68C6"/>
    <w:rsid w:val="007B7242"/>
    <w:rsid w:val="007B74F4"/>
    <w:rsid w:val="007B75EE"/>
    <w:rsid w:val="007C0183"/>
    <w:rsid w:val="007C3387"/>
    <w:rsid w:val="007C4FFD"/>
    <w:rsid w:val="007C60B5"/>
    <w:rsid w:val="007D10ED"/>
    <w:rsid w:val="007D1AF8"/>
    <w:rsid w:val="007D1E4D"/>
    <w:rsid w:val="007D22B1"/>
    <w:rsid w:val="007D25E5"/>
    <w:rsid w:val="007D4A5D"/>
    <w:rsid w:val="007D4BA3"/>
    <w:rsid w:val="007D4EEA"/>
    <w:rsid w:val="007D6ED6"/>
    <w:rsid w:val="007D7A1F"/>
    <w:rsid w:val="007D7B48"/>
    <w:rsid w:val="007E0D18"/>
    <w:rsid w:val="007E0E9C"/>
    <w:rsid w:val="007E1B2B"/>
    <w:rsid w:val="007E1CBA"/>
    <w:rsid w:val="007E1CED"/>
    <w:rsid w:val="007E1FED"/>
    <w:rsid w:val="007E455C"/>
    <w:rsid w:val="007E4C45"/>
    <w:rsid w:val="007E4E85"/>
    <w:rsid w:val="007E657F"/>
    <w:rsid w:val="007E778D"/>
    <w:rsid w:val="007F0427"/>
    <w:rsid w:val="007F0E6B"/>
    <w:rsid w:val="007F16B4"/>
    <w:rsid w:val="007F1EE3"/>
    <w:rsid w:val="007F5C76"/>
    <w:rsid w:val="007F6829"/>
    <w:rsid w:val="007F7637"/>
    <w:rsid w:val="007F7D2F"/>
    <w:rsid w:val="00800270"/>
    <w:rsid w:val="00800875"/>
    <w:rsid w:val="00801B20"/>
    <w:rsid w:val="00801BC4"/>
    <w:rsid w:val="00801FD5"/>
    <w:rsid w:val="00803EAA"/>
    <w:rsid w:val="00806A71"/>
    <w:rsid w:val="008111A3"/>
    <w:rsid w:val="0081161B"/>
    <w:rsid w:val="00811B07"/>
    <w:rsid w:val="0081686D"/>
    <w:rsid w:val="00816A7D"/>
    <w:rsid w:val="00817256"/>
    <w:rsid w:val="00817D25"/>
    <w:rsid w:val="00820532"/>
    <w:rsid w:val="00821D61"/>
    <w:rsid w:val="00823989"/>
    <w:rsid w:val="00824C32"/>
    <w:rsid w:val="00824CFB"/>
    <w:rsid w:val="00824DC9"/>
    <w:rsid w:val="00826084"/>
    <w:rsid w:val="0082646D"/>
    <w:rsid w:val="008308D0"/>
    <w:rsid w:val="00830CF5"/>
    <w:rsid w:val="00830FA0"/>
    <w:rsid w:val="00834251"/>
    <w:rsid w:val="008350FD"/>
    <w:rsid w:val="008351C7"/>
    <w:rsid w:val="00837ED8"/>
    <w:rsid w:val="00837F7F"/>
    <w:rsid w:val="0084083D"/>
    <w:rsid w:val="00840A56"/>
    <w:rsid w:val="008427B0"/>
    <w:rsid w:val="0084339C"/>
    <w:rsid w:val="00843FA3"/>
    <w:rsid w:val="00846066"/>
    <w:rsid w:val="00846218"/>
    <w:rsid w:val="00846DAF"/>
    <w:rsid w:val="00847975"/>
    <w:rsid w:val="00850008"/>
    <w:rsid w:val="00850B66"/>
    <w:rsid w:val="00852089"/>
    <w:rsid w:val="008523F6"/>
    <w:rsid w:val="008528B2"/>
    <w:rsid w:val="008537B2"/>
    <w:rsid w:val="00853CDC"/>
    <w:rsid w:val="00854B87"/>
    <w:rsid w:val="00856C92"/>
    <w:rsid w:val="008573D0"/>
    <w:rsid w:val="008600DD"/>
    <w:rsid w:val="008610E4"/>
    <w:rsid w:val="00862AFA"/>
    <w:rsid w:val="008637F6"/>
    <w:rsid w:val="00863F8B"/>
    <w:rsid w:val="0086463B"/>
    <w:rsid w:val="00865370"/>
    <w:rsid w:val="00865623"/>
    <w:rsid w:val="0086593E"/>
    <w:rsid w:val="0086618F"/>
    <w:rsid w:val="00870247"/>
    <w:rsid w:val="008707EB"/>
    <w:rsid w:val="00871906"/>
    <w:rsid w:val="00872606"/>
    <w:rsid w:val="00872778"/>
    <w:rsid w:val="00872A96"/>
    <w:rsid w:val="008733CC"/>
    <w:rsid w:val="008748E8"/>
    <w:rsid w:val="00874FCD"/>
    <w:rsid w:val="00875DBD"/>
    <w:rsid w:val="008768A5"/>
    <w:rsid w:val="00876DEC"/>
    <w:rsid w:val="00876F4F"/>
    <w:rsid w:val="00877804"/>
    <w:rsid w:val="008778FF"/>
    <w:rsid w:val="008821CD"/>
    <w:rsid w:val="0088444B"/>
    <w:rsid w:val="008848AB"/>
    <w:rsid w:val="00885F80"/>
    <w:rsid w:val="00886A5B"/>
    <w:rsid w:val="00887AB2"/>
    <w:rsid w:val="00887C6E"/>
    <w:rsid w:val="0089094C"/>
    <w:rsid w:val="00890A9E"/>
    <w:rsid w:val="00891825"/>
    <w:rsid w:val="008942DC"/>
    <w:rsid w:val="0089493D"/>
    <w:rsid w:val="008950FD"/>
    <w:rsid w:val="008955D6"/>
    <w:rsid w:val="00895CC1"/>
    <w:rsid w:val="00896310"/>
    <w:rsid w:val="008978A9"/>
    <w:rsid w:val="00897C8D"/>
    <w:rsid w:val="008A01CB"/>
    <w:rsid w:val="008A06A5"/>
    <w:rsid w:val="008A0788"/>
    <w:rsid w:val="008A20E7"/>
    <w:rsid w:val="008A24FD"/>
    <w:rsid w:val="008A2960"/>
    <w:rsid w:val="008A301D"/>
    <w:rsid w:val="008A4A8C"/>
    <w:rsid w:val="008A5559"/>
    <w:rsid w:val="008A5B37"/>
    <w:rsid w:val="008A5D78"/>
    <w:rsid w:val="008A64BC"/>
    <w:rsid w:val="008A6E20"/>
    <w:rsid w:val="008B055A"/>
    <w:rsid w:val="008B1CAE"/>
    <w:rsid w:val="008B2CB1"/>
    <w:rsid w:val="008B3FCA"/>
    <w:rsid w:val="008B439A"/>
    <w:rsid w:val="008B5002"/>
    <w:rsid w:val="008B6042"/>
    <w:rsid w:val="008B65A2"/>
    <w:rsid w:val="008B7454"/>
    <w:rsid w:val="008B7741"/>
    <w:rsid w:val="008B7B52"/>
    <w:rsid w:val="008B7BFA"/>
    <w:rsid w:val="008C017E"/>
    <w:rsid w:val="008C02A2"/>
    <w:rsid w:val="008C069B"/>
    <w:rsid w:val="008C0AEC"/>
    <w:rsid w:val="008C208B"/>
    <w:rsid w:val="008C3487"/>
    <w:rsid w:val="008C3748"/>
    <w:rsid w:val="008C42EC"/>
    <w:rsid w:val="008C4F35"/>
    <w:rsid w:val="008C5721"/>
    <w:rsid w:val="008C7B35"/>
    <w:rsid w:val="008D1DB1"/>
    <w:rsid w:val="008D2500"/>
    <w:rsid w:val="008D26FA"/>
    <w:rsid w:val="008D2BEE"/>
    <w:rsid w:val="008D2C7A"/>
    <w:rsid w:val="008D2E40"/>
    <w:rsid w:val="008D3369"/>
    <w:rsid w:val="008D39FF"/>
    <w:rsid w:val="008D480B"/>
    <w:rsid w:val="008D4B18"/>
    <w:rsid w:val="008D4F7C"/>
    <w:rsid w:val="008D4FF6"/>
    <w:rsid w:val="008D5152"/>
    <w:rsid w:val="008D56D9"/>
    <w:rsid w:val="008D6E36"/>
    <w:rsid w:val="008D73E1"/>
    <w:rsid w:val="008E0105"/>
    <w:rsid w:val="008E0F34"/>
    <w:rsid w:val="008E11C5"/>
    <w:rsid w:val="008E1274"/>
    <w:rsid w:val="008E1BEE"/>
    <w:rsid w:val="008E1C37"/>
    <w:rsid w:val="008E55A4"/>
    <w:rsid w:val="008E7313"/>
    <w:rsid w:val="008F0E55"/>
    <w:rsid w:val="008F1867"/>
    <w:rsid w:val="008F2A78"/>
    <w:rsid w:val="008F44ED"/>
    <w:rsid w:val="008F478C"/>
    <w:rsid w:val="008F479A"/>
    <w:rsid w:val="008F4ADB"/>
    <w:rsid w:val="008F541B"/>
    <w:rsid w:val="008F633F"/>
    <w:rsid w:val="008F6375"/>
    <w:rsid w:val="008F795E"/>
    <w:rsid w:val="00901893"/>
    <w:rsid w:val="0090280D"/>
    <w:rsid w:val="00902963"/>
    <w:rsid w:val="009035F4"/>
    <w:rsid w:val="0090481B"/>
    <w:rsid w:val="00904AE0"/>
    <w:rsid w:val="00905263"/>
    <w:rsid w:val="00905A12"/>
    <w:rsid w:val="0090683B"/>
    <w:rsid w:val="00906984"/>
    <w:rsid w:val="009078D6"/>
    <w:rsid w:val="00907DA8"/>
    <w:rsid w:val="00907DE0"/>
    <w:rsid w:val="00910DB6"/>
    <w:rsid w:val="00911722"/>
    <w:rsid w:val="009124AF"/>
    <w:rsid w:val="009129D0"/>
    <w:rsid w:val="00912D90"/>
    <w:rsid w:val="00914EC4"/>
    <w:rsid w:val="00915A97"/>
    <w:rsid w:val="00917036"/>
    <w:rsid w:val="00917737"/>
    <w:rsid w:val="009205CF"/>
    <w:rsid w:val="00920EFB"/>
    <w:rsid w:val="0092111A"/>
    <w:rsid w:val="00921D38"/>
    <w:rsid w:val="00921DAA"/>
    <w:rsid w:val="00922AF8"/>
    <w:rsid w:val="00923A5A"/>
    <w:rsid w:val="00923E12"/>
    <w:rsid w:val="00925E0A"/>
    <w:rsid w:val="009268A1"/>
    <w:rsid w:val="00926AF1"/>
    <w:rsid w:val="009276EC"/>
    <w:rsid w:val="00927A03"/>
    <w:rsid w:val="00930B49"/>
    <w:rsid w:val="00932A59"/>
    <w:rsid w:val="009337DD"/>
    <w:rsid w:val="009343D3"/>
    <w:rsid w:val="00935A8A"/>
    <w:rsid w:val="00936978"/>
    <w:rsid w:val="00936FFD"/>
    <w:rsid w:val="009376DC"/>
    <w:rsid w:val="00937EE0"/>
    <w:rsid w:val="009402F2"/>
    <w:rsid w:val="00940831"/>
    <w:rsid w:val="0094243E"/>
    <w:rsid w:val="00942AF1"/>
    <w:rsid w:val="00942BC2"/>
    <w:rsid w:val="00942F31"/>
    <w:rsid w:val="0094368F"/>
    <w:rsid w:val="00943C0D"/>
    <w:rsid w:val="0094549C"/>
    <w:rsid w:val="00945B35"/>
    <w:rsid w:val="009507DB"/>
    <w:rsid w:val="00950E2F"/>
    <w:rsid w:val="00951E8F"/>
    <w:rsid w:val="009537B2"/>
    <w:rsid w:val="009544DB"/>
    <w:rsid w:val="009554C0"/>
    <w:rsid w:val="009556AA"/>
    <w:rsid w:val="00955CB4"/>
    <w:rsid w:val="00956449"/>
    <w:rsid w:val="00957DE0"/>
    <w:rsid w:val="00960640"/>
    <w:rsid w:val="00961639"/>
    <w:rsid w:val="00962AA7"/>
    <w:rsid w:val="00962AEB"/>
    <w:rsid w:val="0096401E"/>
    <w:rsid w:val="00964876"/>
    <w:rsid w:val="009652E6"/>
    <w:rsid w:val="009660CB"/>
    <w:rsid w:val="009677B6"/>
    <w:rsid w:val="00971041"/>
    <w:rsid w:val="00972600"/>
    <w:rsid w:val="009728A2"/>
    <w:rsid w:val="00974A58"/>
    <w:rsid w:val="00980293"/>
    <w:rsid w:val="00980C35"/>
    <w:rsid w:val="00981C9F"/>
    <w:rsid w:val="00982232"/>
    <w:rsid w:val="00982A2E"/>
    <w:rsid w:val="00983540"/>
    <w:rsid w:val="0098354F"/>
    <w:rsid w:val="00983788"/>
    <w:rsid w:val="009837B1"/>
    <w:rsid w:val="009845EF"/>
    <w:rsid w:val="00984D49"/>
    <w:rsid w:val="00985A94"/>
    <w:rsid w:val="00986813"/>
    <w:rsid w:val="009877E1"/>
    <w:rsid w:val="009878A0"/>
    <w:rsid w:val="00987ECB"/>
    <w:rsid w:val="00991D5C"/>
    <w:rsid w:val="00992FE7"/>
    <w:rsid w:val="009930DC"/>
    <w:rsid w:val="00993D73"/>
    <w:rsid w:val="00993EC1"/>
    <w:rsid w:val="00994E2D"/>
    <w:rsid w:val="00996E68"/>
    <w:rsid w:val="009A035E"/>
    <w:rsid w:val="009A1440"/>
    <w:rsid w:val="009A2291"/>
    <w:rsid w:val="009A26E2"/>
    <w:rsid w:val="009A2AE1"/>
    <w:rsid w:val="009A3420"/>
    <w:rsid w:val="009A3BF6"/>
    <w:rsid w:val="009A4282"/>
    <w:rsid w:val="009A49A9"/>
    <w:rsid w:val="009A49D9"/>
    <w:rsid w:val="009A4C35"/>
    <w:rsid w:val="009A58B0"/>
    <w:rsid w:val="009A605E"/>
    <w:rsid w:val="009B0A67"/>
    <w:rsid w:val="009B2C6F"/>
    <w:rsid w:val="009B339E"/>
    <w:rsid w:val="009B36E3"/>
    <w:rsid w:val="009B422C"/>
    <w:rsid w:val="009B6469"/>
    <w:rsid w:val="009B6A72"/>
    <w:rsid w:val="009B6D8B"/>
    <w:rsid w:val="009B7CA5"/>
    <w:rsid w:val="009C0085"/>
    <w:rsid w:val="009C08B3"/>
    <w:rsid w:val="009C11CA"/>
    <w:rsid w:val="009C33F5"/>
    <w:rsid w:val="009C4433"/>
    <w:rsid w:val="009C4C42"/>
    <w:rsid w:val="009C760E"/>
    <w:rsid w:val="009D07E0"/>
    <w:rsid w:val="009D2C26"/>
    <w:rsid w:val="009D3475"/>
    <w:rsid w:val="009D3A16"/>
    <w:rsid w:val="009D3F32"/>
    <w:rsid w:val="009D4341"/>
    <w:rsid w:val="009D483F"/>
    <w:rsid w:val="009D549D"/>
    <w:rsid w:val="009D6A16"/>
    <w:rsid w:val="009D6EAC"/>
    <w:rsid w:val="009E5659"/>
    <w:rsid w:val="009E6314"/>
    <w:rsid w:val="009E65C2"/>
    <w:rsid w:val="009E7619"/>
    <w:rsid w:val="009F4CEB"/>
    <w:rsid w:val="009F50F2"/>
    <w:rsid w:val="009F621D"/>
    <w:rsid w:val="009F6553"/>
    <w:rsid w:val="009F6B07"/>
    <w:rsid w:val="00A0059C"/>
    <w:rsid w:val="00A015C1"/>
    <w:rsid w:val="00A0198C"/>
    <w:rsid w:val="00A0295B"/>
    <w:rsid w:val="00A02A7F"/>
    <w:rsid w:val="00A030F1"/>
    <w:rsid w:val="00A048B7"/>
    <w:rsid w:val="00A05859"/>
    <w:rsid w:val="00A07B04"/>
    <w:rsid w:val="00A107BB"/>
    <w:rsid w:val="00A113CE"/>
    <w:rsid w:val="00A13144"/>
    <w:rsid w:val="00A13302"/>
    <w:rsid w:val="00A1365E"/>
    <w:rsid w:val="00A14480"/>
    <w:rsid w:val="00A1605C"/>
    <w:rsid w:val="00A17BCD"/>
    <w:rsid w:val="00A17DAA"/>
    <w:rsid w:val="00A20A86"/>
    <w:rsid w:val="00A240D3"/>
    <w:rsid w:val="00A26419"/>
    <w:rsid w:val="00A2646D"/>
    <w:rsid w:val="00A26824"/>
    <w:rsid w:val="00A26F12"/>
    <w:rsid w:val="00A279A2"/>
    <w:rsid w:val="00A30119"/>
    <w:rsid w:val="00A30C31"/>
    <w:rsid w:val="00A31312"/>
    <w:rsid w:val="00A31995"/>
    <w:rsid w:val="00A32AC8"/>
    <w:rsid w:val="00A32C25"/>
    <w:rsid w:val="00A33695"/>
    <w:rsid w:val="00A33DBA"/>
    <w:rsid w:val="00A34168"/>
    <w:rsid w:val="00A341D2"/>
    <w:rsid w:val="00A40224"/>
    <w:rsid w:val="00A40D29"/>
    <w:rsid w:val="00A4192A"/>
    <w:rsid w:val="00A426BB"/>
    <w:rsid w:val="00A427A8"/>
    <w:rsid w:val="00A4319B"/>
    <w:rsid w:val="00A43490"/>
    <w:rsid w:val="00A43910"/>
    <w:rsid w:val="00A43A8C"/>
    <w:rsid w:val="00A446D2"/>
    <w:rsid w:val="00A44BA9"/>
    <w:rsid w:val="00A44D8C"/>
    <w:rsid w:val="00A4682F"/>
    <w:rsid w:val="00A46981"/>
    <w:rsid w:val="00A500F8"/>
    <w:rsid w:val="00A50DA4"/>
    <w:rsid w:val="00A51585"/>
    <w:rsid w:val="00A53B0D"/>
    <w:rsid w:val="00A553A8"/>
    <w:rsid w:val="00A55927"/>
    <w:rsid w:val="00A55DB8"/>
    <w:rsid w:val="00A56DA5"/>
    <w:rsid w:val="00A60CA0"/>
    <w:rsid w:val="00A619E0"/>
    <w:rsid w:val="00A62428"/>
    <w:rsid w:val="00A63984"/>
    <w:rsid w:val="00A64893"/>
    <w:rsid w:val="00A64CC3"/>
    <w:rsid w:val="00A6501F"/>
    <w:rsid w:val="00A66A80"/>
    <w:rsid w:val="00A67398"/>
    <w:rsid w:val="00A67CE2"/>
    <w:rsid w:val="00A67D3A"/>
    <w:rsid w:val="00A704C6"/>
    <w:rsid w:val="00A71B1E"/>
    <w:rsid w:val="00A72994"/>
    <w:rsid w:val="00A742E7"/>
    <w:rsid w:val="00A750F4"/>
    <w:rsid w:val="00A75E7D"/>
    <w:rsid w:val="00A76229"/>
    <w:rsid w:val="00A803D1"/>
    <w:rsid w:val="00A8184F"/>
    <w:rsid w:val="00A83C57"/>
    <w:rsid w:val="00A84E4B"/>
    <w:rsid w:val="00A856CC"/>
    <w:rsid w:val="00A85B2E"/>
    <w:rsid w:val="00A85B63"/>
    <w:rsid w:val="00A85FE3"/>
    <w:rsid w:val="00A8604D"/>
    <w:rsid w:val="00A87CCB"/>
    <w:rsid w:val="00A87D18"/>
    <w:rsid w:val="00A90216"/>
    <w:rsid w:val="00A906DA"/>
    <w:rsid w:val="00A908F7"/>
    <w:rsid w:val="00A90E0E"/>
    <w:rsid w:val="00A913E7"/>
    <w:rsid w:val="00A91917"/>
    <w:rsid w:val="00A92053"/>
    <w:rsid w:val="00A92C36"/>
    <w:rsid w:val="00A92FC8"/>
    <w:rsid w:val="00A9462E"/>
    <w:rsid w:val="00A954DE"/>
    <w:rsid w:val="00A955E3"/>
    <w:rsid w:val="00A9597D"/>
    <w:rsid w:val="00A96182"/>
    <w:rsid w:val="00A96AF5"/>
    <w:rsid w:val="00A9760A"/>
    <w:rsid w:val="00AA0715"/>
    <w:rsid w:val="00AA0B95"/>
    <w:rsid w:val="00AA10B1"/>
    <w:rsid w:val="00AA2032"/>
    <w:rsid w:val="00AA2ABD"/>
    <w:rsid w:val="00AA33A9"/>
    <w:rsid w:val="00AA3DF7"/>
    <w:rsid w:val="00AA422D"/>
    <w:rsid w:val="00AA4DFB"/>
    <w:rsid w:val="00AA5305"/>
    <w:rsid w:val="00AA538C"/>
    <w:rsid w:val="00AA6759"/>
    <w:rsid w:val="00AA69B5"/>
    <w:rsid w:val="00AB040F"/>
    <w:rsid w:val="00AB19D7"/>
    <w:rsid w:val="00AB1ACD"/>
    <w:rsid w:val="00AB2558"/>
    <w:rsid w:val="00AB2CBC"/>
    <w:rsid w:val="00AB36A1"/>
    <w:rsid w:val="00AB39E8"/>
    <w:rsid w:val="00AB4059"/>
    <w:rsid w:val="00AB4388"/>
    <w:rsid w:val="00AB452A"/>
    <w:rsid w:val="00AB4BA3"/>
    <w:rsid w:val="00AB5928"/>
    <w:rsid w:val="00AB5CBE"/>
    <w:rsid w:val="00AB61DD"/>
    <w:rsid w:val="00AB7DDB"/>
    <w:rsid w:val="00AC0229"/>
    <w:rsid w:val="00AC2082"/>
    <w:rsid w:val="00AC4A29"/>
    <w:rsid w:val="00AC58DC"/>
    <w:rsid w:val="00AC5B1A"/>
    <w:rsid w:val="00AC6097"/>
    <w:rsid w:val="00AC6461"/>
    <w:rsid w:val="00AD0E1A"/>
    <w:rsid w:val="00AD1BFA"/>
    <w:rsid w:val="00AD5D5C"/>
    <w:rsid w:val="00AD6623"/>
    <w:rsid w:val="00AD7185"/>
    <w:rsid w:val="00AD7DC6"/>
    <w:rsid w:val="00AE0167"/>
    <w:rsid w:val="00AE04D4"/>
    <w:rsid w:val="00AE1475"/>
    <w:rsid w:val="00AE1692"/>
    <w:rsid w:val="00AE22F5"/>
    <w:rsid w:val="00AE2646"/>
    <w:rsid w:val="00AE26C1"/>
    <w:rsid w:val="00AE3309"/>
    <w:rsid w:val="00AE3DDF"/>
    <w:rsid w:val="00AE4DFB"/>
    <w:rsid w:val="00AE50AD"/>
    <w:rsid w:val="00AE5964"/>
    <w:rsid w:val="00AE6249"/>
    <w:rsid w:val="00AE687B"/>
    <w:rsid w:val="00AE7706"/>
    <w:rsid w:val="00AF0558"/>
    <w:rsid w:val="00AF0711"/>
    <w:rsid w:val="00AF137F"/>
    <w:rsid w:val="00AF1F5F"/>
    <w:rsid w:val="00AF35EA"/>
    <w:rsid w:val="00AF3DAE"/>
    <w:rsid w:val="00AF48DD"/>
    <w:rsid w:val="00AF5A89"/>
    <w:rsid w:val="00AF6504"/>
    <w:rsid w:val="00AF7F9C"/>
    <w:rsid w:val="00B0026F"/>
    <w:rsid w:val="00B009B3"/>
    <w:rsid w:val="00B02322"/>
    <w:rsid w:val="00B03245"/>
    <w:rsid w:val="00B0404C"/>
    <w:rsid w:val="00B04BA1"/>
    <w:rsid w:val="00B06F0A"/>
    <w:rsid w:val="00B10101"/>
    <w:rsid w:val="00B10877"/>
    <w:rsid w:val="00B10B63"/>
    <w:rsid w:val="00B10F0A"/>
    <w:rsid w:val="00B10F55"/>
    <w:rsid w:val="00B114AB"/>
    <w:rsid w:val="00B115BC"/>
    <w:rsid w:val="00B116C0"/>
    <w:rsid w:val="00B13246"/>
    <w:rsid w:val="00B14367"/>
    <w:rsid w:val="00B14850"/>
    <w:rsid w:val="00B14BDA"/>
    <w:rsid w:val="00B150CA"/>
    <w:rsid w:val="00B154B5"/>
    <w:rsid w:val="00B20FE7"/>
    <w:rsid w:val="00B212E3"/>
    <w:rsid w:val="00B21BF4"/>
    <w:rsid w:val="00B22A0D"/>
    <w:rsid w:val="00B236CE"/>
    <w:rsid w:val="00B23907"/>
    <w:rsid w:val="00B266F8"/>
    <w:rsid w:val="00B30509"/>
    <w:rsid w:val="00B30E60"/>
    <w:rsid w:val="00B31D9A"/>
    <w:rsid w:val="00B32433"/>
    <w:rsid w:val="00B33FEA"/>
    <w:rsid w:val="00B34AB5"/>
    <w:rsid w:val="00B34E61"/>
    <w:rsid w:val="00B36331"/>
    <w:rsid w:val="00B36B65"/>
    <w:rsid w:val="00B4046D"/>
    <w:rsid w:val="00B406F6"/>
    <w:rsid w:val="00B4083A"/>
    <w:rsid w:val="00B42EBE"/>
    <w:rsid w:val="00B432D2"/>
    <w:rsid w:val="00B43F05"/>
    <w:rsid w:val="00B4402B"/>
    <w:rsid w:val="00B4527F"/>
    <w:rsid w:val="00B458E0"/>
    <w:rsid w:val="00B46187"/>
    <w:rsid w:val="00B46377"/>
    <w:rsid w:val="00B47098"/>
    <w:rsid w:val="00B47649"/>
    <w:rsid w:val="00B503D3"/>
    <w:rsid w:val="00B5048A"/>
    <w:rsid w:val="00B50B67"/>
    <w:rsid w:val="00B51F6A"/>
    <w:rsid w:val="00B52392"/>
    <w:rsid w:val="00B54255"/>
    <w:rsid w:val="00B54507"/>
    <w:rsid w:val="00B545FE"/>
    <w:rsid w:val="00B55289"/>
    <w:rsid w:val="00B5683E"/>
    <w:rsid w:val="00B57977"/>
    <w:rsid w:val="00B57CAF"/>
    <w:rsid w:val="00B6131E"/>
    <w:rsid w:val="00B614F6"/>
    <w:rsid w:val="00B6170C"/>
    <w:rsid w:val="00B625C4"/>
    <w:rsid w:val="00B629EF"/>
    <w:rsid w:val="00B64E2C"/>
    <w:rsid w:val="00B70B4B"/>
    <w:rsid w:val="00B719E7"/>
    <w:rsid w:val="00B723E6"/>
    <w:rsid w:val="00B72452"/>
    <w:rsid w:val="00B77936"/>
    <w:rsid w:val="00B77B5A"/>
    <w:rsid w:val="00B801DA"/>
    <w:rsid w:val="00B80DA1"/>
    <w:rsid w:val="00B80DB7"/>
    <w:rsid w:val="00B817DE"/>
    <w:rsid w:val="00B839DD"/>
    <w:rsid w:val="00B845C9"/>
    <w:rsid w:val="00B8492B"/>
    <w:rsid w:val="00B84F37"/>
    <w:rsid w:val="00B8515F"/>
    <w:rsid w:val="00B8583B"/>
    <w:rsid w:val="00B86ADF"/>
    <w:rsid w:val="00B877B8"/>
    <w:rsid w:val="00B90034"/>
    <w:rsid w:val="00B913A7"/>
    <w:rsid w:val="00B935ED"/>
    <w:rsid w:val="00B941A5"/>
    <w:rsid w:val="00B94672"/>
    <w:rsid w:val="00B9556C"/>
    <w:rsid w:val="00B95A1C"/>
    <w:rsid w:val="00B9659A"/>
    <w:rsid w:val="00B96BF7"/>
    <w:rsid w:val="00B976DC"/>
    <w:rsid w:val="00BA0BBC"/>
    <w:rsid w:val="00BA128D"/>
    <w:rsid w:val="00BA3F79"/>
    <w:rsid w:val="00BA613A"/>
    <w:rsid w:val="00BA6622"/>
    <w:rsid w:val="00BB0557"/>
    <w:rsid w:val="00BB163D"/>
    <w:rsid w:val="00BB1F7E"/>
    <w:rsid w:val="00BB7D32"/>
    <w:rsid w:val="00BC0919"/>
    <w:rsid w:val="00BC440D"/>
    <w:rsid w:val="00BC4A41"/>
    <w:rsid w:val="00BC5A58"/>
    <w:rsid w:val="00BC7AFA"/>
    <w:rsid w:val="00BD025F"/>
    <w:rsid w:val="00BD02DE"/>
    <w:rsid w:val="00BD143C"/>
    <w:rsid w:val="00BD3100"/>
    <w:rsid w:val="00BD3170"/>
    <w:rsid w:val="00BD49AF"/>
    <w:rsid w:val="00BD5FF0"/>
    <w:rsid w:val="00BD611B"/>
    <w:rsid w:val="00BE0228"/>
    <w:rsid w:val="00BE03B7"/>
    <w:rsid w:val="00BE049B"/>
    <w:rsid w:val="00BE0C6B"/>
    <w:rsid w:val="00BE1110"/>
    <w:rsid w:val="00BE1183"/>
    <w:rsid w:val="00BE2280"/>
    <w:rsid w:val="00BE231B"/>
    <w:rsid w:val="00BE231E"/>
    <w:rsid w:val="00BE2C9C"/>
    <w:rsid w:val="00BE369B"/>
    <w:rsid w:val="00BE3D96"/>
    <w:rsid w:val="00BE43F5"/>
    <w:rsid w:val="00BE4672"/>
    <w:rsid w:val="00BE4E56"/>
    <w:rsid w:val="00BE506D"/>
    <w:rsid w:val="00BE52A3"/>
    <w:rsid w:val="00BF1166"/>
    <w:rsid w:val="00BF1315"/>
    <w:rsid w:val="00BF1427"/>
    <w:rsid w:val="00BF1F14"/>
    <w:rsid w:val="00BF2894"/>
    <w:rsid w:val="00BF2ACB"/>
    <w:rsid w:val="00BF3707"/>
    <w:rsid w:val="00BF3B3C"/>
    <w:rsid w:val="00BF4011"/>
    <w:rsid w:val="00BF4061"/>
    <w:rsid w:val="00BF4487"/>
    <w:rsid w:val="00BF4F52"/>
    <w:rsid w:val="00BF5862"/>
    <w:rsid w:val="00BF5930"/>
    <w:rsid w:val="00BF5BA0"/>
    <w:rsid w:val="00BF6E9D"/>
    <w:rsid w:val="00BF7B09"/>
    <w:rsid w:val="00BF7D57"/>
    <w:rsid w:val="00C00583"/>
    <w:rsid w:val="00C040CF"/>
    <w:rsid w:val="00C04790"/>
    <w:rsid w:val="00C06EEA"/>
    <w:rsid w:val="00C13992"/>
    <w:rsid w:val="00C14C10"/>
    <w:rsid w:val="00C15030"/>
    <w:rsid w:val="00C15B70"/>
    <w:rsid w:val="00C16288"/>
    <w:rsid w:val="00C1787A"/>
    <w:rsid w:val="00C17B25"/>
    <w:rsid w:val="00C206EB"/>
    <w:rsid w:val="00C21DD0"/>
    <w:rsid w:val="00C228FD"/>
    <w:rsid w:val="00C253BF"/>
    <w:rsid w:val="00C253DB"/>
    <w:rsid w:val="00C267E7"/>
    <w:rsid w:val="00C26F63"/>
    <w:rsid w:val="00C2701D"/>
    <w:rsid w:val="00C27319"/>
    <w:rsid w:val="00C30728"/>
    <w:rsid w:val="00C30A1A"/>
    <w:rsid w:val="00C3153C"/>
    <w:rsid w:val="00C3239E"/>
    <w:rsid w:val="00C34A66"/>
    <w:rsid w:val="00C3581B"/>
    <w:rsid w:val="00C35DBE"/>
    <w:rsid w:val="00C36311"/>
    <w:rsid w:val="00C36572"/>
    <w:rsid w:val="00C36A52"/>
    <w:rsid w:val="00C3719A"/>
    <w:rsid w:val="00C378A0"/>
    <w:rsid w:val="00C40BA6"/>
    <w:rsid w:val="00C411F3"/>
    <w:rsid w:val="00C415D6"/>
    <w:rsid w:val="00C429BB"/>
    <w:rsid w:val="00C43082"/>
    <w:rsid w:val="00C441D6"/>
    <w:rsid w:val="00C443B2"/>
    <w:rsid w:val="00C45540"/>
    <w:rsid w:val="00C45AF1"/>
    <w:rsid w:val="00C45F3C"/>
    <w:rsid w:val="00C46A78"/>
    <w:rsid w:val="00C470C1"/>
    <w:rsid w:val="00C471F0"/>
    <w:rsid w:val="00C47C8E"/>
    <w:rsid w:val="00C5024F"/>
    <w:rsid w:val="00C509ED"/>
    <w:rsid w:val="00C515BA"/>
    <w:rsid w:val="00C5163B"/>
    <w:rsid w:val="00C51881"/>
    <w:rsid w:val="00C51A09"/>
    <w:rsid w:val="00C53823"/>
    <w:rsid w:val="00C55157"/>
    <w:rsid w:val="00C55881"/>
    <w:rsid w:val="00C56099"/>
    <w:rsid w:val="00C5672B"/>
    <w:rsid w:val="00C56C53"/>
    <w:rsid w:val="00C5757D"/>
    <w:rsid w:val="00C603AF"/>
    <w:rsid w:val="00C620F1"/>
    <w:rsid w:val="00C62180"/>
    <w:rsid w:val="00C62BE1"/>
    <w:rsid w:val="00C63B87"/>
    <w:rsid w:val="00C63CEE"/>
    <w:rsid w:val="00C647F8"/>
    <w:rsid w:val="00C650F9"/>
    <w:rsid w:val="00C67CC0"/>
    <w:rsid w:val="00C700F5"/>
    <w:rsid w:val="00C70F26"/>
    <w:rsid w:val="00C70FAC"/>
    <w:rsid w:val="00C71064"/>
    <w:rsid w:val="00C747F1"/>
    <w:rsid w:val="00C74D27"/>
    <w:rsid w:val="00C80F30"/>
    <w:rsid w:val="00C81821"/>
    <w:rsid w:val="00C82175"/>
    <w:rsid w:val="00C82461"/>
    <w:rsid w:val="00C83788"/>
    <w:rsid w:val="00C83FF9"/>
    <w:rsid w:val="00C84673"/>
    <w:rsid w:val="00C854DB"/>
    <w:rsid w:val="00C85A16"/>
    <w:rsid w:val="00C85F21"/>
    <w:rsid w:val="00C868B1"/>
    <w:rsid w:val="00C86CFE"/>
    <w:rsid w:val="00C87BDD"/>
    <w:rsid w:val="00C9030A"/>
    <w:rsid w:val="00C91973"/>
    <w:rsid w:val="00C93122"/>
    <w:rsid w:val="00C93416"/>
    <w:rsid w:val="00C94ABC"/>
    <w:rsid w:val="00C94CFA"/>
    <w:rsid w:val="00C957F6"/>
    <w:rsid w:val="00C9635B"/>
    <w:rsid w:val="00C966F3"/>
    <w:rsid w:val="00C96AA8"/>
    <w:rsid w:val="00C9791F"/>
    <w:rsid w:val="00C97E9C"/>
    <w:rsid w:val="00C97F1F"/>
    <w:rsid w:val="00CA040B"/>
    <w:rsid w:val="00CA132E"/>
    <w:rsid w:val="00CA19A4"/>
    <w:rsid w:val="00CA2D33"/>
    <w:rsid w:val="00CA318D"/>
    <w:rsid w:val="00CA35D0"/>
    <w:rsid w:val="00CA385A"/>
    <w:rsid w:val="00CA4719"/>
    <w:rsid w:val="00CA575A"/>
    <w:rsid w:val="00CA5AC4"/>
    <w:rsid w:val="00CA62F4"/>
    <w:rsid w:val="00CA6438"/>
    <w:rsid w:val="00CA6597"/>
    <w:rsid w:val="00CA6708"/>
    <w:rsid w:val="00CA6E44"/>
    <w:rsid w:val="00CB27E8"/>
    <w:rsid w:val="00CB3346"/>
    <w:rsid w:val="00CB3ECF"/>
    <w:rsid w:val="00CB5342"/>
    <w:rsid w:val="00CB5A45"/>
    <w:rsid w:val="00CB5E59"/>
    <w:rsid w:val="00CB63EF"/>
    <w:rsid w:val="00CB6856"/>
    <w:rsid w:val="00CB713D"/>
    <w:rsid w:val="00CB7B7B"/>
    <w:rsid w:val="00CC1667"/>
    <w:rsid w:val="00CC24FD"/>
    <w:rsid w:val="00CC274F"/>
    <w:rsid w:val="00CC34A1"/>
    <w:rsid w:val="00CC35AE"/>
    <w:rsid w:val="00CC45BC"/>
    <w:rsid w:val="00CC5807"/>
    <w:rsid w:val="00CC6FC5"/>
    <w:rsid w:val="00CC779E"/>
    <w:rsid w:val="00CD26F6"/>
    <w:rsid w:val="00CD3648"/>
    <w:rsid w:val="00CD49FF"/>
    <w:rsid w:val="00CD4CF3"/>
    <w:rsid w:val="00CD5421"/>
    <w:rsid w:val="00CD67B1"/>
    <w:rsid w:val="00CD7BD0"/>
    <w:rsid w:val="00CE0536"/>
    <w:rsid w:val="00CE14DE"/>
    <w:rsid w:val="00CE32C7"/>
    <w:rsid w:val="00CE742B"/>
    <w:rsid w:val="00CE781D"/>
    <w:rsid w:val="00CF0494"/>
    <w:rsid w:val="00CF1F19"/>
    <w:rsid w:val="00CF214A"/>
    <w:rsid w:val="00CF2307"/>
    <w:rsid w:val="00CF29BE"/>
    <w:rsid w:val="00CF2F10"/>
    <w:rsid w:val="00CF343E"/>
    <w:rsid w:val="00CF39EC"/>
    <w:rsid w:val="00CF4741"/>
    <w:rsid w:val="00CF572A"/>
    <w:rsid w:val="00CF649E"/>
    <w:rsid w:val="00CF676B"/>
    <w:rsid w:val="00D0054C"/>
    <w:rsid w:val="00D0122A"/>
    <w:rsid w:val="00D01330"/>
    <w:rsid w:val="00D0307D"/>
    <w:rsid w:val="00D04825"/>
    <w:rsid w:val="00D04E4F"/>
    <w:rsid w:val="00D05274"/>
    <w:rsid w:val="00D071A5"/>
    <w:rsid w:val="00D07DEC"/>
    <w:rsid w:val="00D103F8"/>
    <w:rsid w:val="00D11BC8"/>
    <w:rsid w:val="00D11E42"/>
    <w:rsid w:val="00D12059"/>
    <w:rsid w:val="00D121AB"/>
    <w:rsid w:val="00D122A9"/>
    <w:rsid w:val="00D12E3E"/>
    <w:rsid w:val="00D13CC5"/>
    <w:rsid w:val="00D13CD1"/>
    <w:rsid w:val="00D1446E"/>
    <w:rsid w:val="00D14697"/>
    <w:rsid w:val="00D14AC2"/>
    <w:rsid w:val="00D14D28"/>
    <w:rsid w:val="00D17002"/>
    <w:rsid w:val="00D178EB"/>
    <w:rsid w:val="00D20246"/>
    <w:rsid w:val="00D21215"/>
    <w:rsid w:val="00D22B6E"/>
    <w:rsid w:val="00D237C4"/>
    <w:rsid w:val="00D250E0"/>
    <w:rsid w:val="00D25B29"/>
    <w:rsid w:val="00D25CE7"/>
    <w:rsid w:val="00D26F1C"/>
    <w:rsid w:val="00D273A7"/>
    <w:rsid w:val="00D311BD"/>
    <w:rsid w:val="00D322DD"/>
    <w:rsid w:val="00D3335C"/>
    <w:rsid w:val="00D3384B"/>
    <w:rsid w:val="00D33945"/>
    <w:rsid w:val="00D35BCE"/>
    <w:rsid w:val="00D371C1"/>
    <w:rsid w:val="00D40D0D"/>
    <w:rsid w:val="00D41223"/>
    <w:rsid w:val="00D41A83"/>
    <w:rsid w:val="00D41E1D"/>
    <w:rsid w:val="00D41FFC"/>
    <w:rsid w:val="00D433A9"/>
    <w:rsid w:val="00D4351E"/>
    <w:rsid w:val="00D43CEA"/>
    <w:rsid w:val="00D44A98"/>
    <w:rsid w:val="00D45934"/>
    <w:rsid w:val="00D4682A"/>
    <w:rsid w:val="00D47AB4"/>
    <w:rsid w:val="00D51210"/>
    <w:rsid w:val="00D51E08"/>
    <w:rsid w:val="00D52F8A"/>
    <w:rsid w:val="00D5312A"/>
    <w:rsid w:val="00D535AE"/>
    <w:rsid w:val="00D54E0E"/>
    <w:rsid w:val="00D55D63"/>
    <w:rsid w:val="00D565E0"/>
    <w:rsid w:val="00D57BD6"/>
    <w:rsid w:val="00D611AF"/>
    <w:rsid w:val="00D616DC"/>
    <w:rsid w:val="00D61967"/>
    <w:rsid w:val="00D619DF"/>
    <w:rsid w:val="00D62187"/>
    <w:rsid w:val="00D641BD"/>
    <w:rsid w:val="00D64CB2"/>
    <w:rsid w:val="00D64D03"/>
    <w:rsid w:val="00D6565C"/>
    <w:rsid w:val="00D65BD0"/>
    <w:rsid w:val="00D66B17"/>
    <w:rsid w:val="00D70021"/>
    <w:rsid w:val="00D70B1C"/>
    <w:rsid w:val="00D70F66"/>
    <w:rsid w:val="00D73A4C"/>
    <w:rsid w:val="00D77D0D"/>
    <w:rsid w:val="00D77DBE"/>
    <w:rsid w:val="00D80B89"/>
    <w:rsid w:val="00D80E98"/>
    <w:rsid w:val="00D81C87"/>
    <w:rsid w:val="00D82FF5"/>
    <w:rsid w:val="00D841CA"/>
    <w:rsid w:val="00D8469E"/>
    <w:rsid w:val="00D851CE"/>
    <w:rsid w:val="00D86F6D"/>
    <w:rsid w:val="00D87301"/>
    <w:rsid w:val="00D877CB"/>
    <w:rsid w:val="00D902CC"/>
    <w:rsid w:val="00D90B1A"/>
    <w:rsid w:val="00D9154E"/>
    <w:rsid w:val="00D91880"/>
    <w:rsid w:val="00D921A3"/>
    <w:rsid w:val="00D921FC"/>
    <w:rsid w:val="00D92310"/>
    <w:rsid w:val="00D93535"/>
    <w:rsid w:val="00D940B4"/>
    <w:rsid w:val="00D94DF9"/>
    <w:rsid w:val="00D94DFA"/>
    <w:rsid w:val="00D95B7A"/>
    <w:rsid w:val="00D96124"/>
    <w:rsid w:val="00D965B9"/>
    <w:rsid w:val="00D9728D"/>
    <w:rsid w:val="00D97909"/>
    <w:rsid w:val="00DA0426"/>
    <w:rsid w:val="00DA0F37"/>
    <w:rsid w:val="00DA117C"/>
    <w:rsid w:val="00DA2863"/>
    <w:rsid w:val="00DA420C"/>
    <w:rsid w:val="00DA518D"/>
    <w:rsid w:val="00DA6678"/>
    <w:rsid w:val="00DA7D3A"/>
    <w:rsid w:val="00DB03D0"/>
    <w:rsid w:val="00DB11EF"/>
    <w:rsid w:val="00DB131D"/>
    <w:rsid w:val="00DB16CC"/>
    <w:rsid w:val="00DB2982"/>
    <w:rsid w:val="00DB2C6A"/>
    <w:rsid w:val="00DB314D"/>
    <w:rsid w:val="00DB3CCE"/>
    <w:rsid w:val="00DB60ED"/>
    <w:rsid w:val="00DB6211"/>
    <w:rsid w:val="00DB6394"/>
    <w:rsid w:val="00DB75F1"/>
    <w:rsid w:val="00DB7D70"/>
    <w:rsid w:val="00DC0D62"/>
    <w:rsid w:val="00DC3E7A"/>
    <w:rsid w:val="00DC4251"/>
    <w:rsid w:val="00DC4D6D"/>
    <w:rsid w:val="00DC5228"/>
    <w:rsid w:val="00DC596A"/>
    <w:rsid w:val="00DC5CA7"/>
    <w:rsid w:val="00DC64EB"/>
    <w:rsid w:val="00DD070A"/>
    <w:rsid w:val="00DD0EFA"/>
    <w:rsid w:val="00DD32F5"/>
    <w:rsid w:val="00DD3981"/>
    <w:rsid w:val="00DD42BF"/>
    <w:rsid w:val="00DD4D58"/>
    <w:rsid w:val="00DD5730"/>
    <w:rsid w:val="00DD6AE7"/>
    <w:rsid w:val="00DD6C57"/>
    <w:rsid w:val="00DE003D"/>
    <w:rsid w:val="00DE0EEE"/>
    <w:rsid w:val="00DE13A3"/>
    <w:rsid w:val="00DE2FE2"/>
    <w:rsid w:val="00DE33C1"/>
    <w:rsid w:val="00DE3756"/>
    <w:rsid w:val="00DE541C"/>
    <w:rsid w:val="00DE5C94"/>
    <w:rsid w:val="00DF1A1B"/>
    <w:rsid w:val="00DF1E81"/>
    <w:rsid w:val="00DF2A14"/>
    <w:rsid w:val="00DF2C2A"/>
    <w:rsid w:val="00DF4130"/>
    <w:rsid w:val="00DF60F9"/>
    <w:rsid w:val="00DF6125"/>
    <w:rsid w:val="00DF724B"/>
    <w:rsid w:val="00DF76AE"/>
    <w:rsid w:val="00DF7E12"/>
    <w:rsid w:val="00E0041C"/>
    <w:rsid w:val="00E004A7"/>
    <w:rsid w:val="00E008F8"/>
    <w:rsid w:val="00E00953"/>
    <w:rsid w:val="00E00D53"/>
    <w:rsid w:val="00E020DB"/>
    <w:rsid w:val="00E0255B"/>
    <w:rsid w:val="00E02831"/>
    <w:rsid w:val="00E02A9F"/>
    <w:rsid w:val="00E030E9"/>
    <w:rsid w:val="00E04FDB"/>
    <w:rsid w:val="00E05475"/>
    <w:rsid w:val="00E05DEB"/>
    <w:rsid w:val="00E05F29"/>
    <w:rsid w:val="00E065C5"/>
    <w:rsid w:val="00E07286"/>
    <w:rsid w:val="00E102B7"/>
    <w:rsid w:val="00E10D35"/>
    <w:rsid w:val="00E1168F"/>
    <w:rsid w:val="00E11D08"/>
    <w:rsid w:val="00E123F1"/>
    <w:rsid w:val="00E156CB"/>
    <w:rsid w:val="00E15957"/>
    <w:rsid w:val="00E163CA"/>
    <w:rsid w:val="00E16F22"/>
    <w:rsid w:val="00E1772A"/>
    <w:rsid w:val="00E17A6E"/>
    <w:rsid w:val="00E20042"/>
    <w:rsid w:val="00E202B8"/>
    <w:rsid w:val="00E213A3"/>
    <w:rsid w:val="00E2144F"/>
    <w:rsid w:val="00E2257B"/>
    <w:rsid w:val="00E22D0D"/>
    <w:rsid w:val="00E235AC"/>
    <w:rsid w:val="00E254CC"/>
    <w:rsid w:val="00E25680"/>
    <w:rsid w:val="00E25872"/>
    <w:rsid w:val="00E260DE"/>
    <w:rsid w:val="00E27B55"/>
    <w:rsid w:val="00E27D91"/>
    <w:rsid w:val="00E323FC"/>
    <w:rsid w:val="00E32A54"/>
    <w:rsid w:val="00E3331F"/>
    <w:rsid w:val="00E33FA3"/>
    <w:rsid w:val="00E34346"/>
    <w:rsid w:val="00E34607"/>
    <w:rsid w:val="00E36F82"/>
    <w:rsid w:val="00E373A4"/>
    <w:rsid w:val="00E41B1F"/>
    <w:rsid w:val="00E41B46"/>
    <w:rsid w:val="00E426D2"/>
    <w:rsid w:val="00E434DC"/>
    <w:rsid w:val="00E43B0E"/>
    <w:rsid w:val="00E43D11"/>
    <w:rsid w:val="00E4699A"/>
    <w:rsid w:val="00E47239"/>
    <w:rsid w:val="00E47956"/>
    <w:rsid w:val="00E47A69"/>
    <w:rsid w:val="00E47ECE"/>
    <w:rsid w:val="00E50E4B"/>
    <w:rsid w:val="00E50FC5"/>
    <w:rsid w:val="00E52CBF"/>
    <w:rsid w:val="00E530CA"/>
    <w:rsid w:val="00E54E72"/>
    <w:rsid w:val="00E555A0"/>
    <w:rsid w:val="00E556EB"/>
    <w:rsid w:val="00E56C8C"/>
    <w:rsid w:val="00E56D59"/>
    <w:rsid w:val="00E57BDA"/>
    <w:rsid w:val="00E6054F"/>
    <w:rsid w:val="00E62353"/>
    <w:rsid w:val="00E63295"/>
    <w:rsid w:val="00E6494C"/>
    <w:rsid w:val="00E6598B"/>
    <w:rsid w:val="00E65E00"/>
    <w:rsid w:val="00E66027"/>
    <w:rsid w:val="00E71832"/>
    <w:rsid w:val="00E718DF"/>
    <w:rsid w:val="00E72589"/>
    <w:rsid w:val="00E734D9"/>
    <w:rsid w:val="00E749E5"/>
    <w:rsid w:val="00E74AD4"/>
    <w:rsid w:val="00E7504F"/>
    <w:rsid w:val="00E750A0"/>
    <w:rsid w:val="00E771C2"/>
    <w:rsid w:val="00E8261B"/>
    <w:rsid w:val="00E82EC1"/>
    <w:rsid w:val="00E83DE8"/>
    <w:rsid w:val="00E84C61"/>
    <w:rsid w:val="00E84F9A"/>
    <w:rsid w:val="00E85C28"/>
    <w:rsid w:val="00E86A63"/>
    <w:rsid w:val="00E86D54"/>
    <w:rsid w:val="00E90899"/>
    <w:rsid w:val="00E90E89"/>
    <w:rsid w:val="00E90EC8"/>
    <w:rsid w:val="00E91051"/>
    <w:rsid w:val="00E91B42"/>
    <w:rsid w:val="00E91C22"/>
    <w:rsid w:val="00E91EEE"/>
    <w:rsid w:val="00E926FA"/>
    <w:rsid w:val="00E9294D"/>
    <w:rsid w:val="00E93ED6"/>
    <w:rsid w:val="00E94057"/>
    <w:rsid w:val="00E9438F"/>
    <w:rsid w:val="00E9585B"/>
    <w:rsid w:val="00E95D09"/>
    <w:rsid w:val="00E95ED7"/>
    <w:rsid w:val="00E95FAF"/>
    <w:rsid w:val="00E9625F"/>
    <w:rsid w:val="00E96D2E"/>
    <w:rsid w:val="00E96D32"/>
    <w:rsid w:val="00EA086C"/>
    <w:rsid w:val="00EA1C0F"/>
    <w:rsid w:val="00EA2744"/>
    <w:rsid w:val="00EA3438"/>
    <w:rsid w:val="00EA39C1"/>
    <w:rsid w:val="00EA41E9"/>
    <w:rsid w:val="00EA4D89"/>
    <w:rsid w:val="00EA4F50"/>
    <w:rsid w:val="00EA7BD7"/>
    <w:rsid w:val="00EB09E3"/>
    <w:rsid w:val="00EB0EE2"/>
    <w:rsid w:val="00EB1119"/>
    <w:rsid w:val="00EB131B"/>
    <w:rsid w:val="00EB2AA6"/>
    <w:rsid w:val="00EB2ABC"/>
    <w:rsid w:val="00EB357E"/>
    <w:rsid w:val="00EB3AF5"/>
    <w:rsid w:val="00EB4946"/>
    <w:rsid w:val="00EB4BE8"/>
    <w:rsid w:val="00EB52CA"/>
    <w:rsid w:val="00EC21D3"/>
    <w:rsid w:val="00EC245D"/>
    <w:rsid w:val="00EC2883"/>
    <w:rsid w:val="00EC359E"/>
    <w:rsid w:val="00EC3E00"/>
    <w:rsid w:val="00EC68C6"/>
    <w:rsid w:val="00EC724B"/>
    <w:rsid w:val="00ED01E3"/>
    <w:rsid w:val="00ED0BB2"/>
    <w:rsid w:val="00ED1B01"/>
    <w:rsid w:val="00ED24B5"/>
    <w:rsid w:val="00ED2820"/>
    <w:rsid w:val="00ED4826"/>
    <w:rsid w:val="00ED55BB"/>
    <w:rsid w:val="00ED5BA6"/>
    <w:rsid w:val="00ED6D29"/>
    <w:rsid w:val="00ED76F3"/>
    <w:rsid w:val="00EE0115"/>
    <w:rsid w:val="00EE1511"/>
    <w:rsid w:val="00EE1BF5"/>
    <w:rsid w:val="00EE287E"/>
    <w:rsid w:val="00EE59DC"/>
    <w:rsid w:val="00EE5C78"/>
    <w:rsid w:val="00EE5F38"/>
    <w:rsid w:val="00EE67FA"/>
    <w:rsid w:val="00EF0420"/>
    <w:rsid w:val="00EF07DA"/>
    <w:rsid w:val="00EF27F5"/>
    <w:rsid w:val="00EF2C56"/>
    <w:rsid w:val="00EF2D89"/>
    <w:rsid w:val="00EF2F73"/>
    <w:rsid w:val="00EF3144"/>
    <w:rsid w:val="00EF3964"/>
    <w:rsid w:val="00EF3B2B"/>
    <w:rsid w:val="00EF40CF"/>
    <w:rsid w:val="00EF4458"/>
    <w:rsid w:val="00EF58E1"/>
    <w:rsid w:val="00EF60CF"/>
    <w:rsid w:val="00EF6293"/>
    <w:rsid w:val="00EF69D5"/>
    <w:rsid w:val="00EF6A02"/>
    <w:rsid w:val="00EF7C91"/>
    <w:rsid w:val="00F00C59"/>
    <w:rsid w:val="00F01366"/>
    <w:rsid w:val="00F01540"/>
    <w:rsid w:val="00F023DA"/>
    <w:rsid w:val="00F02D71"/>
    <w:rsid w:val="00F02FE3"/>
    <w:rsid w:val="00F04042"/>
    <w:rsid w:val="00F04A55"/>
    <w:rsid w:val="00F05BEF"/>
    <w:rsid w:val="00F06047"/>
    <w:rsid w:val="00F0626C"/>
    <w:rsid w:val="00F11A87"/>
    <w:rsid w:val="00F1295B"/>
    <w:rsid w:val="00F134C8"/>
    <w:rsid w:val="00F13567"/>
    <w:rsid w:val="00F14376"/>
    <w:rsid w:val="00F1465B"/>
    <w:rsid w:val="00F1479F"/>
    <w:rsid w:val="00F149C0"/>
    <w:rsid w:val="00F14DDB"/>
    <w:rsid w:val="00F16602"/>
    <w:rsid w:val="00F167C1"/>
    <w:rsid w:val="00F17A35"/>
    <w:rsid w:val="00F2039C"/>
    <w:rsid w:val="00F2084D"/>
    <w:rsid w:val="00F24A0D"/>
    <w:rsid w:val="00F25C34"/>
    <w:rsid w:val="00F265DF"/>
    <w:rsid w:val="00F2789F"/>
    <w:rsid w:val="00F27CEC"/>
    <w:rsid w:val="00F30523"/>
    <w:rsid w:val="00F30C22"/>
    <w:rsid w:val="00F311A3"/>
    <w:rsid w:val="00F32666"/>
    <w:rsid w:val="00F33217"/>
    <w:rsid w:val="00F342AF"/>
    <w:rsid w:val="00F3506E"/>
    <w:rsid w:val="00F35D8B"/>
    <w:rsid w:val="00F361B1"/>
    <w:rsid w:val="00F37DA1"/>
    <w:rsid w:val="00F41585"/>
    <w:rsid w:val="00F42317"/>
    <w:rsid w:val="00F440F8"/>
    <w:rsid w:val="00F44BA8"/>
    <w:rsid w:val="00F44F66"/>
    <w:rsid w:val="00F45047"/>
    <w:rsid w:val="00F458BC"/>
    <w:rsid w:val="00F460D1"/>
    <w:rsid w:val="00F468F5"/>
    <w:rsid w:val="00F477E0"/>
    <w:rsid w:val="00F50670"/>
    <w:rsid w:val="00F50750"/>
    <w:rsid w:val="00F51C5F"/>
    <w:rsid w:val="00F53F74"/>
    <w:rsid w:val="00F5435A"/>
    <w:rsid w:val="00F553B2"/>
    <w:rsid w:val="00F55A01"/>
    <w:rsid w:val="00F563AB"/>
    <w:rsid w:val="00F56E95"/>
    <w:rsid w:val="00F57E2A"/>
    <w:rsid w:val="00F612C1"/>
    <w:rsid w:val="00F61986"/>
    <w:rsid w:val="00F627C3"/>
    <w:rsid w:val="00F627DD"/>
    <w:rsid w:val="00F62A33"/>
    <w:rsid w:val="00F62BCD"/>
    <w:rsid w:val="00F64191"/>
    <w:rsid w:val="00F64AE4"/>
    <w:rsid w:val="00F64EE2"/>
    <w:rsid w:val="00F65A41"/>
    <w:rsid w:val="00F6729E"/>
    <w:rsid w:val="00F70955"/>
    <w:rsid w:val="00F71149"/>
    <w:rsid w:val="00F71DEE"/>
    <w:rsid w:val="00F72FAA"/>
    <w:rsid w:val="00F75AD4"/>
    <w:rsid w:val="00F76978"/>
    <w:rsid w:val="00F76A4F"/>
    <w:rsid w:val="00F8377C"/>
    <w:rsid w:val="00F869E2"/>
    <w:rsid w:val="00F902D6"/>
    <w:rsid w:val="00F9030A"/>
    <w:rsid w:val="00F90EBB"/>
    <w:rsid w:val="00F915F4"/>
    <w:rsid w:val="00F9168A"/>
    <w:rsid w:val="00F92AAF"/>
    <w:rsid w:val="00F93B9F"/>
    <w:rsid w:val="00F94511"/>
    <w:rsid w:val="00F94DB6"/>
    <w:rsid w:val="00F9513B"/>
    <w:rsid w:val="00F9799C"/>
    <w:rsid w:val="00F97FDA"/>
    <w:rsid w:val="00FA0208"/>
    <w:rsid w:val="00FA08BE"/>
    <w:rsid w:val="00FA1C26"/>
    <w:rsid w:val="00FA1D9F"/>
    <w:rsid w:val="00FA26F6"/>
    <w:rsid w:val="00FA5BA6"/>
    <w:rsid w:val="00FA6F16"/>
    <w:rsid w:val="00FA7818"/>
    <w:rsid w:val="00FB057B"/>
    <w:rsid w:val="00FB165A"/>
    <w:rsid w:val="00FB2142"/>
    <w:rsid w:val="00FB2E33"/>
    <w:rsid w:val="00FB3CC7"/>
    <w:rsid w:val="00FB459A"/>
    <w:rsid w:val="00FB5ABF"/>
    <w:rsid w:val="00FB6515"/>
    <w:rsid w:val="00FB6A30"/>
    <w:rsid w:val="00FB705D"/>
    <w:rsid w:val="00FB706A"/>
    <w:rsid w:val="00FB7FFB"/>
    <w:rsid w:val="00FC00C4"/>
    <w:rsid w:val="00FC0250"/>
    <w:rsid w:val="00FC067C"/>
    <w:rsid w:val="00FC2752"/>
    <w:rsid w:val="00FC2A6A"/>
    <w:rsid w:val="00FC2C97"/>
    <w:rsid w:val="00FC33CA"/>
    <w:rsid w:val="00FC3F22"/>
    <w:rsid w:val="00FC4B1B"/>
    <w:rsid w:val="00FC6DEE"/>
    <w:rsid w:val="00FC7D08"/>
    <w:rsid w:val="00FD1F2D"/>
    <w:rsid w:val="00FD2738"/>
    <w:rsid w:val="00FD384F"/>
    <w:rsid w:val="00FD4939"/>
    <w:rsid w:val="00FD5388"/>
    <w:rsid w:val="00FD58B3"/>
    <w:rsid w:val="00FD5E37"/>
    <w:rsid w:val="00FD5EE3"/>
    <w:rsid w:val="00FE2709"/>
    <w:rsid w:val="00FE2DE7"/>
    <w:rsid w:val="00FE31BD"/>
    <w:rsid w:val="00FE31FC"/>
    <w:rsid w:val="00FE5C10"/>
    <w:rsid w:val="00FE65E6"/>
    <w:rsid w:val="00FE6DB8"/>
    <w:rsid w:val="00FE7555"/>
    <w:rsid w:val="00FF079C"/>
    <w:rsid w:val="00FF0B60"/>
    <w:rsid w:val="00FF0E12"/>
    <w:rsid w:val="00FF0F9E"/>
    <w:rsid w:val="00FF2140"/>
    <w:rsid w:val="00FF2A13"/>
    <w:rsid w:val="00FF4391"/>
    <w:rsid w:val="00FF5056"/>
    <w:rsid w:val="00FF52A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colormru v:ext="edit" colors="#d31145,#fffddf,#ffecd6"/>
      <o:colormenu v:ext="edit" fillcolor="none" strokecolor="none" shadowcolor="none [2412]"/>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pPr>
        <w:spacing w:before="20" w:after="2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List 4" w:uiPriority="0"/>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B6E"/>
    <w:pPr>
      <w:autoSpaceDE w:val="0"/>
      <w:autoSpaceDN w:val="0"/>
      <w:adjustRightInd w:val="0"/>
      <w:spacing w:after="120"/>
      <w:jc w:val="both"/>
    </w:pPr>
    <w:rPr>
      <w:rFonts w:ascii="Arial" w:eastAsia="Calibri" w:hAnsi="Arial" w:cs="Helvetica-Light"/>
      <w:color w:val="000000"/>
      <w:sz w:val="24"/>
      <w:szCs w:val="24"/>
      <w:lang w:eastAsia="en-US"/>
    </w:rPr>
  </w:style>
  <w:style w:type="paragraph" w:styleId="Heading1">
    <w:name w:val="heading 1"/>
    <w:basedOn w:val="Normal"/>
    <w:next w:val="Normal"/>
    <w:link w:val="Heading1Char"/>
    <w:qFormat/>
    <w:rsid w:val="00EA41E9"/>
    <w:pPr>
      <w:spacing w:before="120"/>
      <w:outlineLvl w:val="0"/>
    </w:pPr>
    <w:rPr>
      <w:rFonts w:ascii="Corbel" w:eastAsia="Times New Roman" w:hAnsi="Corbel"/>
      <w:b/>
      <w:bCs/>
      <w:color w:val="auto"/>
      <w:sz w:val="40"/>
      <w:szCs w:val="28"/>
    </w:rPr>
  </w:style>
  <w:style w:type="paragraph" w:styleId="Heading2">
    <w:name w:val="heading 2"/>
    <w:basedOn w:val="Normal"/>
    <w:next w:val="Normal"/>
    <w:link w:val="Heading2Char"/>
    <w:unhideWhenUsed/>
    <w:qFormat/>
    <w:rsid w:val="00B801DA"/>
    <w:pPr>
      <w:keepNext/>
      <w:spacing w:before="60"/>
      <w:outlineLvl w:val="1"/>
    </w:pPr>
    <w:rPr>
      <w:rFonts w:ascii="Corbel" w:eastAsia="Times New Roman" w:hAnsi="Corbel"/>
      <w:b/>
      <w:bCs/>
      <w:color w:val="D31145"/>
      <w:sz w:val="32"/>
      <w:szCs w:val="26"/>
    </w:rPr>
  </w:style>
  <w:style w:type="paragraph" w:styleId="Heading3">
    <w:name w:val="heading 3"/>
    <w:basedOn w:val="Normal"/>
    <w:next w:val="Normal"/>
    <w:link w:val="Heading3Char"/>
    <w:unhideWhenUsed/>
    <w:qFormat/>
    <w:rsid w:val="00EA41E9"/>
    <w:pPr>
      <w:keepNext/>
      <w:keepLines/>
      <w:spacing w:before="60"/>
      <w:outlineLvl w:val="2"/>
    </w:pPr>
    <w:rPr>
      <w:rFonts w:ascii="Corbel" w:eastAsia="Times New Roman" w:hAnsi="Corbel" w:cs="Times New Roman"/>
      <w:b/>
      <w:bCs/>
      <w:i/>
      <w:color w:val="auto"/>
      <w:sz w:val="28"/>
      <w:szCs w:val="28"/>
    </w:rPr>
  </w:style>
  <w:style w:type="paragraph" w:styleId="Heading4">
    <w:name w:val="heading 4"/>
    <w:basedOn w:val="Normal"/>
    <w:next w:val="Normal"/>
    <w:link w:val="Heading4Char"/>
    <w:qFormat/>
    <w:rsid w:val="008C3748"/>
    <w:pPr>
      <w:keepNext/>
      <w:numPr>
        <w:numId w:val="36"/>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5B89"/>
    <w:rPr>
      <w:rFonts w:ascii="Corbel" w:eastAsia="Times New Roman" w:hAnsi="Corbel"/>
      <w:b/>
      <w:bCs/>
      <w:sz w:val="40"/>
      <w:szCs w:val="28"/>
      <w:lang w:eastAsia="en-US"/>
    </w:rPr>
  </w:style>
  <w:style w:type="character" w:customStyle="1" w:styleId="Heading2Char">
    <w:name w:val="Heading 2 Char"/>
    <w:basedOn w:val="DefaultParagraphFont"/>
    <w:link w:val="Heading2"/>
    <w:rsid w:val="00B801DA"/>
    <w:rPr>
      <w:rFonts w:ascii="Corbel" w:eastAsia="Times New Roman" w:hAnsi="Corbel"/>
      <w:b/>
      <w:bCs/>
      <w:color w:val="D31145"/>
      <w:sz w:val="32"/>
      <w:szCs w:val="26"/>
      <w:lang w:eastAsia="en-US"/>
    </w:rPr>
  </w:style>
  <w:style w:type="character" w:customStyle="1" w:styleId="Heading3Char">
    <w:name w:val="Heading 3 Char"/>
    <w:basedOn w:val="DefaultParagraphFont"/>
    <w:link w:val="Heading3"/>
    <w:rsid w:val="00275B89"/>
    <w:rPr>
      <w:rFonts w:ascii="Corbel" w:eastAsia="Times New Roman" w:hAnsi="Corbel" w:cs="Times New Roman"/>
      <w:b/>
      <w:bCs/>
      <w:i/>
      <w:sz w:val="28"/>
      <w:szCs w:val="28"/>
      <w:lang w:eastAsia="en-US"/>
    </w:rPr>
  </w:style>
  <w:style w:type="character" w:customStyle="1" w:styleId="Heading4Char">
    <w:name w:val="Heading 4 Char"/>
    <w:basedOn w:val="DefaultParagraphFont"/>
    <w:link w:val="Heading4"/>
    <w:rsid w:val="008C3748"/>
    <w:rPr>
      <w:rFonts w:ascii="Arial" w:eastAsia="Times New Roman" w:hAnsi="Arial" w:cs="Arial"/>
      <w:b/>
      <w:bCs/>
      <w:sz w:val="22"/>
      <w:szCs w:val="22"/>
    </w:rPr>
  </w:style>
  <w:style w:type="character" w:customStyle="1" w:styleId="Heading5Char">
    <w:name w:val="Heading 5 Char"/>
    <w:basedOn w:val="DefaultParagraphFont"/>
    <w:link w:val="Heading5"/>
    <w:rsid w:val="00AB4059"/>
    <w:rPr>
      <w:rFonts w:ascii="Arial" w:eastAsia="Times New Roman" w:hAnsi="Arial" w:cs="Arial"/>
      <w:b/>
      <w:bCs/>
      <w:i/>
      <w:iCs/>
      <w:sz w:val="26"/>
      <w:szCs w:val="26"/>
    </w:rPr>
  </w:style>
  <w:style w:type="character" w:customStyle="1" w:styleId="Heading6Char">
    <w:name w:val="Heading 6 Char"/>
    <w:basedOn w:val="DefaultParagraphFont"/>
    <w:link w:val="Heading6"/>
    <w:rsid w:val="00AB4059"/>
    <w:rPr>
      <w:rFonts w:ascii="Arial" w:eastAsia="Times New Roman" w:hAnsi="Arial"/>
      <w:b/>
      <w:sz w:val="24"/>
      <w:shd w:val="pct10" w:color="auto" w:fill="auto"/>
    </w:rPr>
  </w:style>
  <w:style w:type="character" w:customStyle="1" w:styleId="Heading7Char">
    <w:name w:val="Heading 7 Char"/>
    <w:basedOn w:val="DefaultParagraphFont"/>
    <w:link w:val="Heading7"/>
    <w:rsid w:val="00AB4059"/>
    <w:rPr>
      <w:rFonts w:ascii="Arial" w:eastAsia="Times New Roman" w:hAnsi="Arial"/>
      <w:b/>
      <w:sz w:val="24"/>
    </w:rPr>
  </w:style>
  <w:style w:type="character" w:customStyle="1" w:styleId="Heading8Char">
    <w:name w:val="Heading 8 Char"/>
    <w:basedOn w:val="DefaultParagraphFont"/>
    <w:link w:val="Heading8"/>
    <w:rsid w:val="00AB4059"/>
    <w:rPr>
      <w:rFonts w:ascii="Times New Roman" w:eastAsia="Times New Roman" w:hAnsi="Times New Roman"/>
      <w:i/>
      <w:iCs/>
      <w:sz w:val="24"/>
      <w:szCs w:val="24"/>
    </w:rPr>
  </w:style>
  <w:style w:type="character" w:customStyle="1" w:styleId="Heading9Char">
    <w:name w:val="Heading 9 Char"/>
    <w:basedOn w:val="DefaultParagraphFont"/>
    <w:link w:val="Heading9"/>
    <w:rsid w:val="00AB4059"/>
    <w:rPr>
      <w:rFonts w:ascii="Arial" w:eastAsia="Times New Roman" w:hAnsi="Arial"/>
      <w:b/>
      <w:i/>
      <w:snapToGrid w:val="0"/>
      <w:sz w:val="24"/>
      <w:lang w:eastAsia="en-US"/>
    </w:rPr>
  </w:style>
  <w:style w:type="paragraph" w:styleId="Header">
    <w:name w:val="header"/>
    <w:basedOn w:val="Normal"/>
    <w:link w:val="HeaderChar"/>
    <w:unhideWhenUsed/>
    <w:rsid w:val="00565DF7"/>
    <w:pPr>
      <w:tabs>
        <w:tab w:val="center" w:pos="4320"/>
        <w:tab w:val="right" w:pos="8640"/>
      </w:tabs>
      <w:spacing w:after="0"/>
    </w:pPr>
  </w:style>
  <w:style w:type="character" w:customStyle="1" w:styleId="HeaderChar">
    <w:name w:val="Header Char"/>
    <w:basedOn w:val="DefaultParagraphFont"/>
    <w:link w:val="Header"/>
    <w:rsid w:val="00565DF7"/>
    <w:rPr>
      <w:color w:val="000000"/>
    </w:rPr>
  </w:style>
  <w:style w:type="paragraph" w:styleId="Footer">
    <w:name w:val="footer"/>
    <w:basedOn w:val="Normal"/>
    <w:link w:val="FooterChar"/>
    <w:uiPriority w:val="99"/>
    <w:unhideWhenUsed/>
    <w:rsid w:val="00565DF7"/>
    <w:pPr>
      <w:tabs>
        <w:tab w:val="center" w:pos="4320"/>
        <w:tab w:val="right" w:pos="8640"/>
      </w:tabs>
      <w:spacing w:after="0"/>
    </w:pPr>
  </w:style>
  <w:style w:type="character" w:customStyle="1" w:styleId="FooterChar">
    <w:name w:val="Footer Char"/>
    <w:basedOn w:val="DefaultParagraphFont"/>
    <w:link w:val="Footer"/>
    <w:uiPriority w:val="99"/>
    <w:rsid w:val="00DB11EF"/>
    <w:rPr>
      <w:rFonts w:ascii="Arial" w:hAnsi="Arial"/>
      <w:color w:val="000000"/>
      <w:sz w:val="24"/>
      <w:szCs w:val="24"/>
      <w:lang w:eastAsia="en-US"/>
    </w:rPr>
  </w:style>
  <w:style w:type="paragraph" w:styleId="ListParagraph">
    <w:name w:val="List Paragraph"/>
    <w:basedOn w:val="Normal"/>
    <w:link w:val="ListParagraphChar"/>
    <w:uiPriority w:val="34"/>
    <w:unhideWhenUsed/>
    <w:qFormat/>
    <w:rsid w:val="006573DF"/>
    <w:pPr>
      <w:ind w:left="720"/>
      <w:contextualSpacing/>
    </w:pPr>
  </w:style>
  <w:style w:type="paragraph" w:styleId="Title">
    <w:name w:val="Title"/>
    <w:aliases w:val="Title1"/>
    <w:basedOn w:val="Normal"/>
    <w:next w:val="Normal"/>
    <w:link w:val="TitleChar"/>
    <w:qFormat/>
    <w:rsid w:val="00533982"/>
    <w:pPr>
      <w:spacing w:after="240"/>
      <w:contextualSpacing/>
    </w:pPr>
    <w:rPr>
      <w:rFonts w:ascii="Corbel" w:eastAsia="Times New Roman" w:hAnsi="Corbel"/>
      <w:color w:val="auto"/>
      <w:spacing w:val="5"/>
      <w:kern w:val="28"/>
      <w:sz w:val="96"/>
      <w:szCs w:val="52"/>
    </w:rPr>
  </w:style>
  <w:style w:type="character" w:customStyle="1" w:styleId="TitleChar">
    <w:name w:val="Title Char"/>
    <w:aliases w:val="Title1 Char"/>
    <w:basedOn w:val="DefaultParagraphFont"/>
    <w:link w:val="Title"/>
    <w:rsid w:val="00533982"/>
    <w:rPr>
      <w:rFonts w:ascii="Corbel" w:eastAsia="Times New Roman" w:hAnsi="Corbel"/>
      <w:spacing w:val="5"/>
      <w:kern w:val="28"/>
      <w:sz w:val="96"/>
      <w:szCs w:val="52"/>
      <w:lang w:eastAsia="en-US"/>
    </w:rPr>
  </w:style>
  <w:style w:type="paragraph" w:styleId="BalloonText">
    <w:name w:val="Balloon Text"/>
    <w:basedOn w:val="Normal"/>
    <w:link w:val="BalloonTextChar"/>
    <w:semiHidden/>
    <w:unhideWhenUsed/>
    <w:rsid w:val="009D6EA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D6EAC"/>
    <w:rPr>
      <w:rFonts w:ascii="Tahoma" w:hAnsi="Tahoma" w:cs="Tahoma"/>
      <w:color w:val="000000"/>
      <w:sz w:val="16"/>
      <w:szCs w:val="16"/>
    </w:rPr>
  </w:style>
  <w:style w:type="paragraph" w:customStyle="1" w:styleId="BodyText1">
    <w:name w:val="Body Text 1"/>
    <w:basedOn w:val="Normal"/>
    <w:link w:val="BodyText1Char"/>
    <w:qFormat/>
    <w:rsid w:val="00EA41E9"/>
    <w:pPr>
      <w:spacing w:before="60"/>
    </w:pPr>
    <w:rPr>
      <w:szCs w:val="28"/>
    </w:rPr>
  </w:style>
  <w:style w:type="character" w:customStyle="1" w:styleId="BodyText1Char">
    <w:name w:val="Body Text 1 Char"/>
    <w:basedOn w:val="DefaultParagraphFont"/>
    <w:link w:val="BodyText1"/>
    <w:rsid w:val="00267E3B"/>
    <w:rPr>
      <w:rFonts w:ascii="Arial" w:hAnsi="Arial"/>
      <w:color w:val="000000"/>
      <w:sz w:val="24"/>
      <w:szCs w:val="28"/>
      <w:lang w:eastAsia="en-US"/>
    </w:rPr>
  </w:style>
  <w:style w:type="character" w:styleId="PlaceholderText">
    <w:name w:val="Placeholder Text"/>
    <w:basedOn w:val="DefaultParagraphFont"/>
    <w:uiPriority w:val="99"/>
    <w:semiHidden/>
    <w:rsid w:val="00D80B89"/>
    <w:rPr>
      <w:color w:val="808080"/>
    </w:rPr>
  </w:style>
  <w:style w:type="paragraph" w:styleId="BodyText">
    <w:name w:val="Body Text"/>
    <w:basedOn w:val="Normal"/>
    <w:link w:val="BodyTextChar"/>
    <w:uiPriority w:val="99"/>
    <w:unhideWhenUsed/>
    <w:rsid w:val="000701AB"/>
    <w:pPr>
      <w:spacing w:after="0"/>
      <w:jc w:val="right"/>
    </w:pPr>
    <w:rPr>
      <w:rFonts w:ascii="Houschka Rounded Bold" w:eastAsia="Times New Roman" w:hAnsi="Houschka Rounded Bold"/>
      <w:b/>
      <w:color w:val="008040"/>
      <w:sz w:val="96"/>
    </w:rPr>
  </w:style>
  <w:style w:type="character" w:customStyle="1" w:styleId="BodyTextChar">
    <w:name w:val="Body Text Char"/>
    <w:basedOn w:val="DefaultParagraphFont"/>
    <w:link w:val="BodyText"/>
    <w:uiPriority w:val="99"/>
    <w:rsid w:val="00DB11EF"/>
    <w:rPr>
      <w:rFonts w:ascii="Houschka Rounded Bold" w:eastAsia="Times New Roman" w:hAnsi="Houschka Rounded Bold"/>
      <w:b/>
      <w:color w:val="008040"/>
      <w:sz w:val="96"/>
      <w:szCs w:val="24"/>
      <w:lang w:eastAsia="en-US"/>
    </w:rPr>
  </w:style>
  <w:style w:type="character" w:styleId="PageNumber">
    <w:name w:val="page number"/>
    <w:basedOn w:val="DefaultParagraphFont"/>
    <w:rsid w:val="000701AB"/>
    <w:rPr>
      <w:rFonts w:cs="Times New Roman"/>
    </w:rPr>
  </w:style>
  <w:style w:type="table" w:styleId="TableGrid">
    <w:name w:val="Table Grid"/>
    <w:basedOn w:val="TableNormal"/>
    <w:rsid w:val="00EA41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ListParagraph"/>
    <w:qFormat/>
    <w:rsid w:val="005802F2"/>
    <w:pPr>
      <w:numPr>
        <w:numId w:val="1"/>
      </w:numPr>
    </w:pPr>
    <w:rPr>
      <w:rFonts w:cs="Arial"/>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nhideWhenUsed/>
    <w:rsid w:val="00EA41E9"/>
    <w:pPr>
      <w:spacing w:after="0"/>
    </w:pPr>
    <w:rPr>
      <w:sz w:val="20"/>
      <w:szCs w:val="20"/>
    </w:rPr>
  </w:style>
  <w:style w:type="character" w:customStyle="1" w:styleId="FootnoteTextChar">
    <w:name w:val="Footnote Text Char"/>
    <w:basedOn w:val="DefaultParagraphFont"/>
    <w:link w:val="FootnoteText"/>
    <w:uiPriority w:val="99"/>
    <w:semiHidden/>
    <w:rsid w:val="00EA41E9"/>
    <w:rPr>
      <w:rFonts w:ascii="Arial" w:hAnsi="Arial"/>
      <w:color w:val="000000"/>
      <w:lang w:eastAsia="en-US"/>
    </w:rPr>
  </w:style>
  <w:style w:type="paragraph" w:customStyle="1" w:styleId="TableDataLeft">
    <w:name w:val="Table Data Left"/>
    <w:basedOn w:val="BodyText1"/>
    <w:qFormat/>
    <w:rsid w:val="00352C6F"/>
    <w:pPr>
      <w:spacing w:before="20" w:after="20"/>
      <w:jc w:val="left"/>
    </w:pPr>
    <w:rPr>
      <w:sz w:val="22"/>
      <w:szCs w:val="22"/>
    </w:rPr>
  </w:style>
  <w:style w:type="paragraph" w:customStyle="1" w:styleId="TableDataRight">
    <w:name w:val="Table Data Right"/>
    <w:basedOn w:val="BodyText1"/>
    <w:qFormat/>
    <w:rsid w:val="00EA41E9"/>
    <w:pPr>
      <w:jc w:val="right"/>
    </w:pPr>
    <w:rPr>
      <w:sz w:val="22"/>
      <w:szCs w:val="22"/>
    </w:rPr>
  </w:style>
  <w:style w:type="paragraph" w:customStyle="1" w:styleId="TableHeadLeft">
    <w:name w:val="Table Head Left"/>
    <w:basedOn w:val="BodyText1"/>
    <w:qFormat/>
    <w:rsid w:val="00EA41E9"/>
    <w:rPr>
      <w:b/>
      <w:sz w:val="22"/>
      <w:szCs w:val="22"/>
    </w:rPr>
  </w:style>
  <w:style w:type="paragraph" w:customStyle="1" w:styleId="TableHeadRight">
    <w:name w:val="Table Head Right"/>
    <w:basedOn w:val="BodyText1"/>
    <w:qFormat/>
    <w:rsid w:val="00EA41E9"/>
    <w:pPr>
      <w:jc w:val="right"/>
    </w:pPr>
    <w:rPr>
      <w:b/>
      <w:sz w:val="22"/>
      <w:szCs w:val="22"/>
    </w:rPr>
  </w:style>
  <w:style w:type="paragraph" w:customStyle="1" w:styleId="TableSource">
    <w:name w:val="Table Source"/>
    <w:basedOn w:val="BodyText1"/>
    <w:qFormat/>
    <w:rsid w:val="00EA41E9"/>
    <w:rPr>
      <w:i/>
      <w:sz w:val="18"/>
      <w:szCs w:val="18"/>
    </w:rPr>
  </w:style>
  <w:style w:type="paragraph" w:customStyle="1" w:styleId="TableTitle">
    <w:name w:val="Table Title"/>
    <w:basedOn w:val="BodyText1"/>
    <w:qFormat/>
    <w:rsid w:val="00EA41E9"/>
    <w:rPr>
      <w:rFonts w:ascii="Corbel" w:hAnsi="Corbel"/>
      <w:b/>
      <w:sz w:val="28"/>
    </w:rPr>
  </w:style>
  <w:style w:type="paragraph" w:styleId="TOC2">
    <w:name w:val="toc 2"/>
    <w:basedOn w:val="TOC3"/>
    <w:next w:val="Normal"/>
    <w:uiPriority w:val="39"/>
    <w:unhideWhenUsed/>
    <w:qFormat/>
    <w:rsid w:val="00E33FA3"/>
    <w:pPr>
      <w:ind w:left="720"/>
      <w:outlineLvl w:val="0"/>
    </w:pPr>
    <w:rPr>
      <w:i w:val="0"/>
    </w:rPr>
  </w:style>
  <w:style w:type="paragraph" w:styleId="TOC3">
    <w:name w:val="toc 3"/>
    <w:next w:val="Normal"/>
    <w:uiPriority w:val="39"/>
    <w:unhideWhenUsed/>
    <w:qFormat/>
    <w:rsid w:val="00E33FA3"/>
    <w:pPr>
      <w:tabs>
        <w:tab w:val="right" w:leader="dot" w:pos="8302"/>
      </w:tabs>
      <w:ind w:left="1440"/>
    </w:pPr>
    <w:rPr>
      <w:rFonts w:ascii="Arial" w:hAnsi="Arial" w:cs="Arial"/>
      <w:i/>
      <w:color w:val="000000"/>
      <w:sz w:val="24"/>
      <w:szCs w:val="24"/>
      <w:lang w:eastAsia="en-US"/>
    </w:rPr>
  </w:style>
  <w:style w:type="paragraph" w:styleId="TOC1">
    <w:name w:val="toc 1"/>
    <w:basedOn w:val="Normal"/>
    <w:next w:val="Normal"/>
    <w:uiPriority w:val="39"/>
    <w:unhideWhenUsed/>
    <w:qFormat/>
    <w:rsid w:val="00736579"/>
    <w:pPr>
      <w:tabs>
        <w:tab w:val="right" w:leader="dot" w:pos="8301"/>
      </w:tabs>
      <w:spacing w:before="120"/>
      <w:outlineLvl w:val="0"/>
    </w:pPr>
    <w:rPr>
      <w:b/>
      <w:bCs/>
      <w:szCs w:val="20"/>
    </w:rPr>
  </w:style>
  <w:style w:type="character" w:styleId="Hyperlink">
    <w:name w:val="Hyperlink"/>
    <w:basedOn w:val="DefaultParagraphFont"/>
    <w:unhideWhenUsed/>
    <w:rsid w:val="00E33FA3"/>
    <w:rPr>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533982"/>
    <w:rPr>
      <w:sz w:val="44"/>
      <w:szCs w:val="44"/>
    </w:rPr>
  </w:style>
  <w:style w:type="character" w:customStyle="1" w:styleId="Title2Char">
    <w:name w:val="Title 2 Char"/>
    <w:basedOn w:val="Heading2Char"/>
    <w:link w:val="Title2"/>
    <w:uiPriority w:val="1"/>
    <w:rsid w:val="00533982"/>
    <w:rPr>
      <w:rFonts w:ascii="Corbel" w:eastAsia="Times New Roman" w:hAnsi="Corbel"/>
      <w:b/>
      <w:bCs/>
      <w:color w:val="D31145"/>
      <w:sz w:val="44"/>
      <w:szCs w:val="44"/>
      <w:lang w:eastAsia="en-US"/>
    </w:rPr>
  </w:style>
  <w:style w:type="paragraph" w:styleId="PlainText">
    <w:name w:val="Plain Text"/>
    <w:basedOn w:val="Normal"/>
    <w:link w:val="PlainTextChar"/>
    <w:rsid w:val="00736579"/>
    <w:pPr>
      <w:spacing w:after="0"/>
    </w:pPr>
    <w:rPr>
      <w:rFonts w:ascii="Courier New" w:eastAsia="Times New Roman" w:hAnsi="Courier New" w:cs="Courier New"/>
      <w:color w:val="auto"/>
      <w:sz w:val="20"/>
      <w:szCs w:val="20"/>
      <w:lang w:eastAsia="en-GB"/>
    </w:rPr>
  </w:style>
  <w:style w:type="character" w:customStyle="1" w:styleId="PlainTextChar">
    <w:name w:val="Plain Text Char"/>
    <w:basedOn w:val="DefaultParagraphFont"/>
    <w:link w:val="PlainText"/>
    <w:rsid w:val="00736579"/>
    <w:rPr>
      <w:rFonts w:ascii="Courier New" w:eastAsia="Times New Roman" w:hAnsi="Courier New" w:cs="Courier New"/>
    </w:rPr>
  </w:style>
  <w:style w:type="paragraph" w:customStyle="1" w:styleId="Default">
    <w:name w:val="Default"/>
    <w:rsid w:val="00736579"/>
    <w:pPr>
      <w:autoSpaceDE w:val="0"/>
      <w:autoSpaceDN w:val="0"/>
      <w:adjustRightInd w:val="0"/>
    </w:pPr>
    <w:rPr>
      <w:rFonts w:ascii="Gill Sans MT Pro Medium" w:eastAsia="Times New Roman" w:hAnsi="Gill Sans MT Pro Medium" w:cs="Gill Sans MT Pro Medium"/>
      <w:color w:val="000000"/>
      <w:sz w:val="24"/>
      <w:szCs w:val="24"/>
    </w:rPr>
  </w:style>
  <w:style w:type="paragraph" w:styleId="BodyText2">
    <w:name w:val="Body Text 2"/>
    <w:basedOn w:val="Normal"/>
    <w:link w:val="BodyText2Char"/>
    <w:rsid w:val="00736579"/>
    <w:pPr>
      <w:spacing w:after="0"/>
      <w:ind w:right="-180"/>
    </w:pPr>
    <w:rPr>
      <w:rFonts w:eastAsia="Times New Roman"/>
      <w:color w:val="auto"/>
      <w:szCs w:val="20"/>
      <w:lang w:eastAsia="en-GB"/>
    </w:rPr>
  </w:style>
  <w:style w:type="character" w:customStyle="1" w:styleId="BodyText2Char">
    <w:name w:val="Body Text 2 Char"/>
    <w:basedOn w:val="DefaultParagraphFont"/>
    <w:link w:val="BodyText2"/>
    <w:rsid w:val="00736579"/>
    <w:rPr>
      <w:rFonts w:ascii="Arial" w:eastAsia="Times New Roman" w:hAnsi="Arial"/>
      <w:sz w:val="24"/>
    </w:rPr>
  </w:style>
  <w:style w:type="paragraph" w:customStyle="1" w:styleId="BodyText10">
    <w:name w:val="Body Text1"/>
    <w:basedOn w:val="Normal"/>
    <w:link w:val="BodytextChar0"/>
    <w:rsid w:val="00736579"/>
    <w:pPr>
      <w:keepLines/>
      <w:spacing w:before="140" w:after="140"/>
    </w:pPr>
    <w:rPr>
      <w:rFonts w:eastAsia="Times New Roman"/>
      <w:color w:val="auto"/>
      <w:lang w:eastAsia="en-GB"/>
    </w:rPr>
  </w:style>
  <w:style w:type="character" w:customStyle="1" w:styleId="BodytextChar0">
    <w:name w:val="Body text Char"/>
    <w:basedOn w:val="DefaultParagraphFont"/>
    <w:link w:val="BodyText10"/>
    <w:rsid w:val="00736579"/>
    <w:rPr>
      <w:rFonts w:ascii="Arial" w:eastAsia="Times New Roman" w:hAnsi="Arial"/>
      <w:sz w:val="24"/>
      <w:szCs w:val="24"/>
    </w:rPr>
  </w:style>
  <w:style w:type="character" w:styleId="Strong">
    <w:name w:val="Strong"/>
    <w:basedOn w:val="DefaultParagraphFont"/>
    <w:qFormat/>
    <w:rsid w:val="00736579"/>
    <w:rPr>
      <w:b/>
      <w:bCs/>
    </w:rPr>
  </w:style>
  <w:style w:type="character" w:styleId="Emphasis">
    <w:name w:val="Emphasis"/>
    <w:basedOn w:val="DefaultParagraphFont"/>
    <w:qFormat/>
    <w:rsid w:val="00736579"/>
    <w:rPr>
      <w:i/>
      <w:iCs/>
    </w:rPr>
  </w:style>
  <w:style w:type="paragraph" w:customStyle="1" w:styleId="inlinenormal">
    <w:name w:val="inlinenormal"/>
    <w:basedOn w:val="Normal"/>
    <w:rsid w:val="00736579"/>
    <w:pPr>
      <w:spacing w:before="120" w:after="60" w:line="264" w:lineRule="auto"/>
    </w:pPr>
    <w:rPr>
      <w:rFonts w:eastAsia="Times New Roman" w:cs="Arial"/>
      <w:color w:val="auto"/>
      <w:lang w:eastAsia="en-GB"/>
    </w:rPr>
  </w:style>
  <w:style w:type="paragraph" w:customStyle="1" w:styleId="anchor">
    <w:name w:val="anchor"/>
    <w:basedOn w:val="TableDataLeft"/>
    <w:qFormat/>
    <w:rsid w:val="008D5152"/>
    <w:pPr>
      <w:spacing w:before="0" w:after="0"/>
    </w:pPr>
    <w:rPr>
      <w:b/>
      <w:color w:val="FF0000"/>
      <w:sz w:val="2"/>
      <w:szCs w:val="2"/>
    </w:rPr>
  </w:style>
  <w:style w:type="character" w:styleId="FootnoteReference">
    <w:name w:val="footnote reference"/>
    <w:basedOn w:val="DefaultParagraphFont"/>
    <w:unhideWhenUsed/>
    <w:rsid w:val="00AB4059"/>
    <w:rPr>
      <w:vertAlign w:val="superscript"/>
    </w:rPr>
  </w:style>
  <w:style w:type="paragraph" w:customStyle="1" w:styleId="Bullets">
    <w:name w:val="Bullets"/>
    <w:basedOn w:val="Normal"/>
    <w:rsid w:val="00AB4059"/>
    <w:pPr>
      <w:numPr>
        <w:numId w:val="7"/>
      </w:numPr>
      <w:tabs>
        <w:tab w:val="left" w:pos="3062"/>
      </w:tabs>
      <w:autoSpaceDE/>
      <w:autoSpaceDN/>
      <w:adjustRightInd/>
      <w:spacing w:before="30" w:after="0" w:line="264" w:lineRule="auto"/>
      <w:jc w:val="left"/>
    </w:pPr>
    <w:rPr>
      <w:rFonts w:ascii="Times" w:eastAsia="Times New Roman" w:hAnsi="Times" w:cs="Arial"/>
      <w:color w:val="auto"/>
      <w:sz w:val="21"/>
      <w:lang w:eastAsia="en-GB"/>
    </w:rPr>
  </w:style>
  <w:style w:type="paragraph" w:customStyle="1" w:styleId="Bodyindent">
    <w:name w:val="Body indent"/>
    <w:basedOn w:val="Normal"/>
    <w:rsid w:val="00AB4059"/>
    <w:pPr>
      <w:widowControl w:val="0"/>
      <w:autoSpaceDE/>
      <w:autoSpaceDN/>
      <w:adjustRightInd/>
      <w:spacing w:before="140" w:after="0" w:line="290" w:lineRule="atLeast"/>
      <w:ind w:left="680"/>
      <w:jc w:val="left"/>
    </w:pPr>
    <w:rPr>
      <w:rFonts w:ascii="Sabon" w:eastAsia="Times New Roman" w:hAnsi="Sabon" w:cs="Times New Roman"/>
      <w:sz w:val="21"/>
      <w:szCs w:val="20"/>
      <w:lang w:val="en-US"/>
    </w:rPr>
  </w:style>
  <w:style w:type="character" w:styleId="FollowedHyperlink">
    <w:name w:val="FollowedHyperlink"/>
    <w:basedOn w:val="DefaultParagraphFont"/>
    <w:rsid w:val="00AB4059"/>
    <w:rPr>
      <w:color w:val="800080"/>
      <w:u w:val="single"/>
    </w:rPr>
  </w:style>
  <w:style w:type="paragraph" w:styleId="BlockText">
    <w:name w:val="Block Text"/>
    <w:basedOn w:val="Normal"/>
    <w:rsid w:val="00AB4059"/>
    <w:pPr>
      <w:shd w:val="pct10" w:color="auto" w:fill="auto"/>
      <w:autoSpaceDE/>
      <w:autoSpaceDN/>
      <w:adjustRightInd/>
      <w:spacing w:after="0"/>
      <w:ind w:left="2880" w:right="3123"/>
      <w:jc w:val="left"/>
    </w:pPr>
    <w:rPr>
      <w:rFonts w:eastAsia="Times New Roman" w:cs="Times New Roman"/>
      <w:color w:val="auto"/>
      <w:szCs w:val="20"/>
      <w:lang w:eastAsia="en-GB"/>
    </w:rPr>
  </w:style>
  <w:style w:type="paragraph" w:styleId="BodyTextIndent3">
    <w:name w:val="Body Text Indent 3"/>
    <w:basedOn w:val="Normal"/>
    <w:link w:val="BodyTextIndent3Char"/>
    <w:rsid w:val="00AB4059"/>
    <w:pPr>
      <w:tabs>
        <w:tab w:val="left" w:pos="360"/>
      </w:tabs>
      <w:autoSpaceDE/>
      <w:autoSpaceDN/>
      <w:adjustRightInd/>
      <w:spacing w:after="0"/>
      <w:ind w:left="360"/>
      <w:jc w:val="left"/>
    </w:pPr>
    <w:rPr>
      <w:rFonts w:eastAsia="Times New Roman" w:cs="Times New Roman"/>
      <w:color w:val="auto"/>
      <w:szCs w:val="20"/>
      <w:lang w:eastAsia="en-GB"/>
    </w:rPr>
  </w:style>
  <w:style w:type="character" w:customStyle="1" w:styleId="BodyTextIndent3Char">
    <w:name w:val="Body Text Indent 3 Char"/>
    <w:basedOn w:val="DefaultParagraphFont"/>
    <w:link w:val="BodyTextIndent3"/>
    <w:rsid w:val="00AB4059"/>
    <w:rPr>
      <w:rFonts w:ascii="Arial" w:eastAsia="Times New Roman" w:hAnsi="Arial"/>
      <w:sz w:val="24"/>
    </w:rPr>
  </w:style>
  <w:style w:type="paragraph" w:styleId="BodyText3">
    <w:name w:val="Body Text 3"/>
    <w:basedOn w:val="Normal"/>
    <w:link w:val="BodyText3Char"/>
    <w:rsid w:val="00AB4059"/>
    <w:pPr>
      <w:autoSpaceDE/>
      <w:autoSpaceDN/>
      <w:adjustRightInd/>
      <w:spacing w:after="0"/>
      <w:jc w:val="left"/>
      <w:outlineLvl w:val="0"/>
    </w:pPr>
    <w:rPr>
      <w:rFonts w:ascii="Times New Roman" w:eastAsia="Times New Roman" w:hAnsi="Times New Roman" w:cs="Times New Roman"/>
      <w:szCs w:val="20"/>
      <w:lang w:eastAsia="en-GB"/>
    </w:rPr>
  </w:style>
  <w:style w:type="character" w:customStyle="1" w:styleId="BodyText3Char">
    <w:name w:val="Body Text 3 Char"/>
    <w:basedOn w:val="DefaultParagraphFont"/>
    <w:link w:val="BodyText3"/>
    <w:rsid w:val="00AB4059"/>
    <w:rPr>
      <w:rFonts w:ascii="Times New Roman" w:eastAsia="Times New Roman" w:hAnsi="Times New Roman"/>
      <w:color w:val="000000"/>
      <w:sz w:val="24"/>
    </w:rPr>
  </w:style>
  <w:style w:type="paragraph" w:styleId="ListBullet">
    <w:name w:val="List Bullet"/>
    <w:aliases w:val=" Char"/>
    <w:basedOn w:val="Normal"/>
    <w:link w:val="ListBulletChar"/>
    <w:autoRedefine/>
    <w:rsid w:val="00AB4059"/>
    <w:pPr>
      <w:tabs>
        <w:tab w:val="num" w:pos="360"/>
      </w:tabs>
      <w:autoSpaceDE/>
      <w:autoSpaceDN/>
      <w:adjustRightInd/>
      <w:spacing w:after="0"/>
      <w:ind w:left="360" w:hanging="360"/>
      <w:jc w:val="left"/>
    </w:pPr>
    <w:rPr>
      <w:rFonts w:eastAsia="Times New Roman" w:cs="Times New Roman"/>
      <w:color w:val="auto"/>
      <w:szCs w:val="20"/>
      <w:lang w:eastAsia="en-GB"/>
    </w:rPr>
  </w:style>
  <w:style w:type="character" w:customStyle="1" w:styleId="ListBulletChar">
    <w:name w:val="List Bullet Char"/>
    <w:aliases w:val=" Char Char"/>
    <w:basedOn w:val="DefaultParagraphFont"/>
    <w:link w:val="ListBullet"/>
    <w:rsid w:val="00AB4059"/>
    <w:rPr>
      <w:rFonts w:ascii="Arial" w:eastAsia="Times New Roman" w:hAnsi="Arial"/>
      <w:sz w:val="24"/>
    </w:rPr>
  </w:style>
  <w:style w:type="paragraph" w:styleId="NormalWeb">
    <w:name w:val="Normal (Web)"/>
    <w:basedOn w:val="Normal"/>
    <w:uiPriority w:val="99"/>
    <w:rsid w:val="00AB4059"/>
    <w:pPr>
      <w:autoSpaceDE/>
      <w:autoSpaceDN/>
      <w:adjustRightInd/>
      <w:spacing w:before="100" w:after="100"/>
      <w:jc w:val="left"/>
    </w:pPr>
    <w:rPr>
      <w:rFonts w:ascii="Times New Roman" w:eastAsia="Times New Roman" w:hAnsi="Times New Roman" w:cs="Times New Roman"/>
      <w:color w:val="auto"/>
      <w:szCs w:val="20"/>
      <w:lang w:val="en-US" w:eastAsia="en-GB"/>
    </w:rPr>
  </w:style>
  <w:style w:type="paragraph" w:customStyle="1" w:styleId="arial11">
    <w:name w:val="arial11"/>
    <w:basedOn w:val="Normal"/>
    <w:rsid w:val="00AB4059"/>
    <w:pPr>
      <w:autoSpaceDE/>
      <w:autoSpaceDN/>
      <w:adjustRightInd/>
      <w:spacing w:after="0"/>
      <w:jc w:val="left"/>
    </w:pPr>
    <w:rPr>
      <w:rFonts w:eastAsia="Times New Roman" w:cs="Times New Roman"/>
      <w:color w:val="auto"/>
      <w:szCs w:val="20"/>
      <w:lang w:eastAsia="en-GB"/>
    </w:rPr>
  </w:style>
  <w:style w:type="paragraph" w:styleId="BodyTextIndent">
    <w:name w:val="Body Text Indent"/>
    <w:basedOn w:val="Normal"/>
    <w:link w:val="BodyTextIndentChar"/>
    <w:rsid w:val="00AB4059"/>
    <w:pPr>
      <w:autoSpaceDE/>
      <w:autoSpaceDN/>
      <w:adjustRightInd/>
      <w:spacing w:after="240"/>
      <w:ind w:left="720"/>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AB4059"/>
    <w:rPr>
      <w:rFonts w:ascii="Arial" w:eastAsia="Times New Roman" w:hAnsi="Arial"/>
      <w:sz w:val="24"/>
    </w:rPr>
  </w:style>
  <w:style w:type="paragraph" w:styleId="BodyTextIndent2">
    <w:name w:val="Body Text Indent 2"/>
    <w:basedOn w:val="Normal"/>
    <w:link w:val="BodyTextIndent2Char"/>
    <w:rsid w:val="00AB4059"/>
    <w:pPr>
      <w:tabs>
        <w:tab w:val="left" w:pos="1080"/>
      </w:tabs>
      <w:autoSpaceDE/>
      <w:autoSpaceDN/>
      <w:adjustRightInd/>
      <w:ind w:left="1080"/>
    </w:pPr>
    <w:rPr>
      <w:rFonts w:eastAsia="Times New Roman" w:cs="Times New Roman"/>
      <w:color w:val="auto"/>
      <w:szCs w:val="20"/>
      <w:lang w:eastAsia="en-GB"/>
    </w:rPr>
  </w:style>
  <w:style w:type="character" w:customStyle="1" w:styleId="BodyTextIndent2Char">
    <w:name w:val="Body Text Indent 2 Char"/>
    <w:basedOn w:val="DefaultParagraphFont"/>
    <w:link w:val="BodyTextIndent2"/>
    <w:rsid w:val="00AB4059"/>
    <w:rPr>
      <w:rFonts w:ascii="Arial" w:eastAsia="Times New Roman" w:hAnsi="Arial"/>
      <w:sz w:val="24"/>
    </w:rPr>
  </w:style>
  <w:style w:type="character" w:customStyle="1" w:styleId="CommentTextChar">
    <w:name w:val="Comment Text Char"/>
    <w:basedOn w:val="DefaultParagraphFont"/>
    <w:link w:val="CommentText"/>
    <w:uiPriority w:val="99"/>
    <w:semiHidden/>
    <w:rsid w:val="00AB4059"/>
    <w:rPr>
      <w:rFonts w:ascii="Arial" w:eastAsia="Times New Roman" w:hAnsi="Arial" w:cs="Arial"/>
    </w:rPr>
  </w:style>
  <w:style w:type="paragraph" w:styleId="CommentText">
    <w:name w:val="annotation text"/>
    <w:basedOn w:val="Normal"/>
    <w:link w:val="CommentTextChar"/>
    <w:uiPriority w:val="99"/>
    <w:semiHidden/>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basedOn w:val="DefaultParagraphFont"/>
    <w:uiPriority w:val="99"/>
    <w:semiHidden/>
    <w:rsid w:val="00AB4059"/>
    <w:rPr>
      <w:rFonts w:ascii="Arial" w:eastAsia="Calibri" w:hAnsi="Arial" w:cs="Helvetica-Light"/>
      <w:color w:val="000000"/>
      <w:lang w:eastAsia="en-US"/>
    </w:rPr>
  </w:style>
  <w:style w:type="character" w:customStyle="1" w:styleId="CommentSubjectChar">
    <w:name w:val="Comment Subject Char"/>
    <w:basedOn w:val="CommentTextChar"/>
    <w:link w:val="CommentSubject"/>
    <w:uiPriority w:val="99"/>
    <w:semiHidden/>
    <w:rsid w:val="00AB4059"/>
    <w:rPr>
      <w:rFonts w:ascii="Arial" w:eastAsia="Times New Roman" w:hAnsi="Arial" w:cs="Arial"/>
      <w:b/>
      <w:bCs/>
    </w:rPr>
  </w:style>
  <w:style w:type="paragraph" w:styleId="CommentSubject">
    <w:name w:val="annotation subject"/>
    <w:basedOn w:val="CommentText"/>
    <w:next w:val="CommentText"/>
    <w:link w:val="CommentSubjectChar"/>
    <w:uiPriority w:val="99"/>
    <w:semiHidden/>
    <w:rsid w:val="00AB4059"/>
    <w:rPr>
      <w:b/>
      <w:bCs/>
    </w:rPr>
  </w:style>
  <w:style w:type="character" w:customStyle="1" w:styleId="CommentSubjectChar1">
    <w:name w:val="Comment Subject Char1"/>
    <w:basedOn w:val="CommentTextChar1"/>
    <w:uiPriority w:val="99"/>
    <w:semiHidden/>
    <w:rsid w:val="00AB4059"/>
    <w:rPr>
      <w:rFonts w:ascii="Arial" w:eastAsia="Calibri" w:hAnsi="Arial" w:cs="Helvetica-Light"/>
      <w:b/>
      <w:bCs/>
      <w:color w:val="000000"/>
      <w:lang w:eastAsia="en-US"/>
    </w:rPr>
  </w:style>
  <w:style w:type="paragraph" w:customStyle="1" w:styleId="Bullet1">
    <w:name w:val="Bullet 1"/>
    <w:basedOn w:val="Normal"/>
    <w:link w:val="Bullet1Char"/>
    <w:rsid w:val="00AB4059"/>
    <w:pPr>
      <w:keepLines/>
      <w:numPr>
        <w:numId w:val="8"/>
      </w:numPr>
      <w:autoSpaceDE/>
      <w:autoSpaceDN/>
      <w:adjustRightInd/>
      <w:spacing w:before="100" w:after="0"/>
      <w:jc w:val="left"/>
    </w:pPr>
    <w:rPr>
      <w:rFonts w:eastAsia="Times New Roman" w:cs="Times New Roman"/>
      <w:color w:val="auto"/>
      <w:lang w:eastAsia="en-GB"/>
    </w:rPr>
  </w:style>
  <w:style w:type="character" w:customStyle="1" w:styleId="Bullet1Char">
    <w:name w:val="Bullet 1 Char"/>
    <w:basedOn w:val="DefaultParagraphFont"/>
    <w:link w:val="Bullet1"/>
    <w:rsid w:val="00AB4059"/>
    <w:rPr>
      <w:rFonts w:ascii="Arial" w:eastAsia="Times New Roman" w:hAnsi="Arial"/>
      <w:sz w:val="24"/>
      <w:szCs w:val="24"/>
    </w:rPr>
  </w:style>
  <w:style w:type="character" w:customStyle="1" w:styleId="Bodytextemphasised">
    <w:name w:val="Body text (emphasised)"/>
    <w:basedOn w:val="DefaultParagraphFont"/>
    <w:rsid w:val="00AB4059"/>
    <w:rPr>
      <w:rFonts w:ascii="Arial" w:hAnsi="Arial"/>
      <w:b/>
      <w:sz w:val="24"/>
      <w:szCs w:val="24"/>
      <w:lang w:val="en-GB" w:eastAsia="en-GB" w:bidi="ar-SA"/>
    </w:rPr>
  </w:style>
  <w:style w:type="paragraph" w:customStyle="1" w:styleId="Bodytextnumbered">
    <w:name w:val="Body text (numbered)"/>
    <w:basedOn w:val="Normal"/>
    <w:link w:val="BodytextnumberedChar"/>
    <w:rsid w:val="00AB4059"/>
    <w:pPr>
      <w:numPr>
        <w:numId w:val="2"/>
      </w:numPr>
      <w:autoSpaceDE/>
      <w:autoSpaceDN/>
      <w:adjustRightInd/>
      <w:spacing w:before="140" w:after="140"/>
      <w:jc w:val="left"/>
    </w:pPr>
    <w:rPr>
      <w:rFonts w:eastAsia="Times New Roman" w:cs="Times New Roman"/>
      <w:color w:val="auto"/>
      <w:lang w:eastAsia="en-GB"/>
    </w:rPr>
  </w:style>
  <w:style w:type="character" w:customStyle="1" w:styleId="BodytextnumberedChar">
    <w:name w:val="Body text (numbered) Char"/>
    <w:basedOn w:val="DefaultParagraphFont"/>
    <w:link w:val="Bodytextnumbered"/>
    <w:rsid w:val="00AB4059"/>
    <w:rPr>
      <w:rFonts w:ascii="Arial" w:eastAsia="Times New Roman" w:hAnsi="Arial"/>
      <w:sz w:val="24"/>
      <w:szCs w:val="24"/>
    </w:rPr>
  </w:style>
  <w:style w:type="character" w:customStyle="1" w:styleId="Bullet1CharChar">
    <w:name w:val="Bullet 1 Char Char"/>
    <w:basedOn w:val="DefaultParagraphFont"/>
    <w:locked/>
    <w:rsid w:val="00AB4059"/>
    <w:rPr>
      <w:rFonts w:ascii="Arial" w:hAnsi="Arial" w:cs="Arial"/>
      <w:sz w:val="24"/>
      <w:szCs w:val="24"/>
      <w:lang w:val="en-GB" w:eastAsia="en-GB" w:bidi="ar-SA"/>
    </w:rPr>
  </w:style>
  <w:style w:type="paragraph" w:customStyle="1" w:styleId="Bullet2">
    <w:name w:val="Bullet 2"/>
    <w:basedOn w:val="Normal"/>
    <w:rsid w:val="00AB4059"/>
    <w:pPr>
      <w:numPr>
        <w:numId w:val="9"/>
      </w:numPr>
      <w:tabs>
        <w:tab w:val="clear" w:pos="397"/>
        <w:tab w:val="num" w:pos="1191"/>
      </w:tabs>
      <w:autoSpaceDE/>
      <w:autoSpaceDN/>
      <w:adjustRightInd/>
      <w:spacing w:before="100" w:after="0"/>
      <w:ind w:left="1191"/>
      <w:jc w:val="left"/>
    </w:pPr>
    <w:rPr>
      <w:rFonts w:eastAsia="Times New Roman" w:cs="Times New Roman"/>
      <w:color w:val="auto"/>
      <w:lang w:eastAsia="en-GB"/>
    </w:rPr>
  </w:style>
  <w:style w:type="paragraph" w:customStyle="1" w:styleId="Pa2">
    <w:name w:val="Pa2"/>
    <w:basedOn w:val="Normal"/>
    <w:next w:val="Normal"/>
    <w:rsid w:val="00AB4059"/>
    <w:pPr>
      <w:spacing w:after="0" w:line="241" w:lineRule="atLeast"/>
      <w:jc w:val="left"/>
    </w:pPr>
    <w:rPr>
      <w:rFonts w:ascii="QEJOBV+Helvetica-Bold" w:eastAsia="Times New Roman" w:hAnsi="QEJOBV+Helvetica-Bold" w:cs="Times New Roman"/>
      <w:color w:val="auto"/>
      <w:lang w:eastAsia="en-GB"/>
    </w:rPr>
  </w:style>
  <w:style w:type="paragraph" w:customStyle="1" w:styleId="Bullet4">
    <w:name w:val="Bullet 4"/>
    <w:basedOn w:val="Normal"/>
    <w:uiPriority w:val="99"/>
    <w:rsid w:val="00AB4059"/>
    <w:pPr>
      <w:numPr>
        <w:numId w:val="3"/>
      </w:numPr>
      <w:autoSpaceDE/>
      <w:autoSpaceDN/>
      <w:adjustRightInd/>
      <w:spacing w:after="240"/>
      <w:jc w:val="left"/>
    </w:pPr>
    <w:rPr>
      <w:rFonts w:ascii="Times New Roman" w:eastAsia="Times New Roman" w:hAnsi="Times New Roman" w:cs="Times New Roman"/>
      <w:color w:val="auto"/>
      <w:szCs w:val="20"/>
      <w:lang w:eastAsia="en-GB"/>
    </w:rPr>
  </w:style>
  <w:style w:type="paragraph" w:styleId="DocumentMap">
    <w:name w:val="Document Map"/>
    <w:basedOn w:val="Normal"/>
    <w:link w:val="DocumentMapChar"/>
    <w:rsid w:val="00AB4059"/>
    <w:pPr>
      <w:shd w:val="clear" w:color="auto" w:fill="000080"/>
      <w:autoSpaceDE/>
      <w:autoSpaceDN/>
      <w:adjustRightInd/>
      <w:spacing w:after="0"/>
      <w:jc w:val="left"/>
    </w:pPr>
    <w:rPr>
      <w:rFonts w:ascii="Tahoma" w:eastAsia="Times New Roman" w:hAnsi="Tahoma" w:cs="Times New Roman"/>
      <w:color w:val="auto"/>
      <w:szCs w:val="20"/>
      <w:lang w:eastAsia="en-GB"/>
    </w:rPr>
  </w:style>
  <w:style w:type="character" w:customStyle="1" w:styleId="DocumentMapChar">
    <w:name w:val="Document Map Char"/>
    <w:basedOn w:val="DefaultParagraphFont"/>
    <w:link w:val="DocumentMap"/>
    <w:rsid w:val="00AB4059"/>
    <w:rPr>
      <w:rFonts w:ascii="Tahoma" w:eastAsia="Times New Roman" w:hAnsi="Tahoma"/>
      <w:sz w:val="24"/>
      <w:shd w:val="clear" w:color="auto" w:fill="000080"/>
    </w:rPr>
  </w:style>
  <w:style w:type="paragraph" w:customStyle="1" w:styleId="TableHeadingTextLeft">
    <w:name w:val="Table Heading Text Left"/>
    <w:basedOn w:val="Normal"/>
    <w:rsid w:val="00AB4059"/>
    <w:pPr>
      <w:autoSpaceDE/>
      <w:autoSpaceDN/>
      <w:adjustRightInd/>
      <w:spacing w:after="20"/>
      <w:jc w:val="left"/>
    </w:pPr>
    <w:rPr>
      <w:rFonts w:eastAsia="Times New Roman" w:cs="Arial"/>
      <w:b/>
      <w:color w:val="auto"/>
      <w:sz w:val="18"/>
      <w:szCs w:val="20"/>
    </w:rPr>
  </w:style>
  <w:style w:type="paragraph" w:customStyle="1" w:styleId="TableTextLeft">
    <w:name w:val="Table Text Left"/>
    <w:basedOn w:val="Normal"/>
    <w:rsid w:val="00AB4059"/>
    <w:pPr>
      <w:autoSpaceDE/>
      <w:autoSpaceDN/>
      <w:adjustRightInd/>
      <w:spacing w:after="20"/>
      <w:jc w:val="left"/>
    </w:pPr>
    <w:rPr>
      <w:rFonts w:eastAsia="Times New Roman" w:cs="Arial"/>
      <w:color w:val="auto"/>
      <w:sz w:val="18"/>
      <w:szCs w:val="18"/>
    </w:rPr>
  </w:style>
  <w:style w:type="paragraph" w:customStyle="1" w:styleId="OutlineNum2">
    <w:name w:val="Outline Num 2"/>
    <w:basedOn w:val="Normal"/>
    <w:link w:val="OutlineNum2Char"/>
    <w:rsid w:val="00AB4059"/>
    <w:pPr>
      <w:numPr>
        <w:ilvl w:val="1"/>
        <w:numId w:val="4"/>
      </w:numPr>
      <w:autoSpaceDE/>
      <w:autoSpaceDN/>
      <w:adjustRightInd/>
      <w:spacing w:after="240"/>
      <w:jc w:val="left"/>
      <w:outlineLvl w:val="1"/>
    </w:pPr>
    <w:rPr>
      <w:rFonts w:eastAsia="Times New Roman" w:cs="Times New Roman"/>
      <w:color w:val="auto"/>
      <w:sz w:val="22"/>
      <w:szCs w:val="20"/>
      <w:lang w:eastAsia="en-GB"/>
    </w:rPr>
  </w:style>
  <w:style w:type="character" w:customStyle="1" w:styleId="OutlineNum2Char">
    <w:name w:val="Outline Num 2 Char"/>
    <w:basedOn w:val="DefaultParagraphFont"/>
    <w:link w:val="OutlineNum2"/>
    <w:rsid w:val="00E56C8C"/>
    <w:rPr>
      <w:rFonts w:ascii="Arial" w:eastAsia="Times New Roman" w:hAnsi="Arial"/>
      <w:sz w:val="22"/>
    </w:rPr>
  </w:style>
  <w:style w:type="paragraph" w:customStyle="1" w:styleId="OutlineNum3">
    <w:name w:val="Outline Num 3"/>
    <w:basedOn w:val="Normal"/>
    <w:rsid w:val="00AB4059"/>
    <w:pPr>
      <w:numPr>
        <w:ilvl w:val="2"/>
        <w:numId w:val="4"/>
      </w:numPr>
      <w:autoSpaceDE/>
      <w:autoSpaceDN/>
      <w:adjustRightInd/>
      <w:spacing w:after="240"/>
      <w:jc w:val="left"/>
      <w:outlineLvl w:val="2"/>
    </w:pPr>
    <w:rPr>
      <w:rFonts w:eastAsia="Times New Roman" w:cs="Times New Roman"/>
      <w:color w:val="auto"/>
      <w:sz w:val="22"/>
      <w:szCs w:val="20"/>
      <w:lang w:eastAsia="en-GB"/>
    </w:rPr>
  </w:style>
  <w:style w:type="paragraph" w:customStyle="1" w:styleId="BulletSingle">
    <w:name w:val="Bullet Single"/>
    <w:basedOn w:val="Normal"/>
    <w:rsid w:val="00AB4059"/>
    <w:pPr>
      <w:numPr>
        <w:numId w:val="5"/>
      </w:numPr>
      <w:autoSpaceDE/>
      <w:autoSpaceDN/>
      <w:adjustRightInd/>
      <w:spacing w:after="0"/>
      <w:jc w:val="left"/>
      <w:outlineLvl w:val="0"/>
    </w:pPr>
    <w:rPr>
      <w:rFonts w:eastAsia="Times New Roman" w:cs="Times New Roman"/>
      <w:color w:val="auto"/>
      <w:sz w:val="22"/>
      <w:szCs w:val="20"/>
      <w:lang w:eastAsia="en-GB"/>
    </w:rPr>
  </w:style>
  <w:style w:type="paragraph" w:customStyle="1" w:styleId="BulletSingle2">
    <w:name w:val="Bullet Single 2"/>
    <w:basedOn w:val="Normal"/>
    <w:rsid w:val="00AB4059"/>
    <w:pPr>
      <w:numPr>
        <w:ilvl w:val="1"/>
        <w:numId w:val="10"/>
      </w:numPr>
      <w:autoSpaceDE/>
      <w:autoSpaceDN/>
      <w:adjustRightInd/>
      <w:spacing w:after="0"/>
      <w:ind w:hanging="360"/>
      <w:jc w:val="left"/>
      <w:outlineLvl w:val="1"/>
    </w:pPr>
    <w:rPr>
      <w:rFonts w:eastAsia="Times New Roman" w:cs="Times New Roman"/>
      <w:color w:val="auto"/>
      <w:sz w:val="22"/>
      <w:szCs w:val="20"/>
      <w:lang w:eastAsia="en-GB"/>
    </w:rPr>
  </w:style>
  <w:style w:type="paragraph" w:customStyle="1" w:styleId="BulletSingle3">
    <w:name w:val="Bullet Single 3"/>
    <w:basedOn w:val="Normal"/>
    <w:rsid w:val="00AB4059"/>
    <w:pPr>
      <w:tabs>
        <w:tab w:val="num" w:pos="1080"/>
      </w:tabs>
      <w:autoSpaceDE/>
      <w:autoSpaceDN/>
      <w:adjustRightInd/>
      <w:spacing w:after="0"/>
      <w:ind w:left="1080" w:hanging="360"/>
      <w:jc w:val="left"/>
      <w:outlineLvl w:val="2"/>
    </w:pPr>
    <w:rPr>
      <w:rFonts w:eastAsia="Times New Roman" w:cs="Times New Roman"/>
      <w:color w:val="auto"/>
      <w:sz w:val="22"/>
      <w:szCs w:val="20"/>
      <w:lang w:eastAsia="en-GB"/>
    </w:rPr>
  </w:style>
  <w:style w:type="paragraph" w:customStyle="1" w:styleId="BulletSingle4">
    <w:name w:val="Bullet Single 4"/>
    <w:basedOn w:val="BulletSingle"/>
    <w:rsid w:val="00AB4059"/>
    <w:pPr>
      <w:numPr>
        <w:numId w:val="11"/>
      </w:numPr>
      <w:tabs>
        <w:tab w:val="clear" w:pos="360"/>
        <w:tab w:val="num" w:pos="1800"/>
      </w:tabs>
      <w:ind w:left="1800" w:hanging="360"/>
      <w:outlineLvl w:val="3"/>
    </w:pPr>
  </w:style>
  <w:style w:type="paragraph" w:customStyle="1" w:styleId="CM33">
    <w:name w:val="CM33"/>
    <w:basedOn w:val="Default"/>
    <w:next w:val="Default"/>
    <w:rsid w:val="00AB4059"/>
    <w:pPr>
      <w:widowControl w:val="0"/>
      <w:spacing w:after="498"/>
    </w:pPr>
    <w:rPr>
      <w:rFonts w:ascii="Arial" w:hAnsi="Arial" w:cs="Times New Roman"/>
      <w:color w:val="auto"/>
    </w:rPr>
  </w:style>
  <w:style w:type="paragraph" w:customStyle="1" w:styleId="CM35">
    <w:name w:val="CM35"/>
    <w:basedOn w:val="Default"/>
    <w:next w:val="Default"/>
    <w:rsid w:val="00AB4059"/>
    <w:pPr>
      <w:widowControl w:val="0"/>
      <w:spacing w:after="553"/>
    </w:pPr>
    <w:rPr>
      <w:rFonts w:ascii="Arial" w:hAnsi="Arial" w:cs="Times New Roman"/>
      <w:color w:val="auto"/>
    </w:rPr>
  </w:style>
  <w:style w:type="paragraph" w:customStyle="1" w:styleId="CM36">
    <w:name w:val="CM36"/>
    <w:basedOn w:val="Default"/>
    <w:next w:val="Default"/>
    <w:rsid w:val="00AB4059"/>
    <w:pPr>
      <w:widowControl w:val="0"/>
      <w:spacing w:after="295"/>
    </w:pPr>
    <w:rPr>
      <w:rFonts w:ascii="Arial" w:hAnsi="Arial" w:cs="Times New Roman"/>
      <w:color w:val="auto"/>
    </w:rPr>
  </w:style>
  <w:style w:type="paragraph" w:customStyle="1" w:styleId="CM5">
    <w:name w:val="CM5"/>
    <w:basedOn w:val="Default"/>
    <w:next w:val="Default"/>
    <w:rsid w:val="00AB4059"/>
    <w:pPr>
      <w:widowControl w:val="0"/>
      <w:spacing w:line="320" w:lineRule="atLeast"/>
    </w:pPr>
    <w:rPr>
      <w:rFonts w:ascii="Arial" w:hAnsi="Arial" w:cs="Times New Roman"/>
      <w:color w:val="auto"/>
    </w:rPr>
  </w:style>
  <w:style w:type="paragraph" w:customStyle="1" w:styleId="CM37">
    <w:name w:val="CM37"/>
    <w:basedOn w:val="Default"/>
    <w:next w:val="Default"/>
    <w:rsid w:val="00AB4059"/>
    <w:pPr>
      <w:widowControl w:val="0"/>
      <w:spacing w:after="335"/>
    </w:pPr>
    <w:rPr>
      <w:rFonts w:ascii="Arial" w:hAnsi="Arial" w:cs="Times New Roman"/>
      <w:color w:val="auto"/>
    </w:rPr>
  </w:style>
  <w:style w:type="paragraph" w:customStyle="1" w:styleId="CM43">
    <w:name w:val="CM43"/>
    <w:basedOn w:val="Default"/>
    <w:next w:val="Default"/>
    <w:rsid w:val="00AB4059"/>
    <w:pPr>
      <w:widowControl w:val="0"/>
      <w:spacing w:after="950"/>
    </w:pPr>
    <w:rPr>
      <w:rFonts w:ascii="Arial" w:hAnsi="Arial" w:cs="Times New Roman"/>
      <w:color w:val="auto"/>
    </w:rPr>
  </w:style>
  <w:style w:type="paragraph" w:customStyle="1" w:styleId="TableTextRight">
    <w:name w:val="Table Text Right"/>
    <w:basedOn w:val="TableTextLeft"/>
    <w:qFormat/>
    <w:rsid w:val="00971041"/>
    <w:pPr>
      <w:jc w:val="right"/>
    </w:pPr>
    <w:rPr>
      <w:sz w:val="22"/>
    </w:rPr>
  </w:style>
  <w:style w:type="paragraph" w:customStyle="1" w:styleId="TableHeadingTextRight">
    <w:name w:val="Table Heading Text Right"/>
    <w:basedOn w:val="TableHeadingTextLeft"/>
    <w:qFormat/>
    <w:rsid w:val="00AB4059"/>
    <w:pPr>
      <w:jc w:val="right"/>
    </w:pPr>
  </w:style>
  <w:style w:type="paragraph" w:customStyle="1" w:styleId="TableHeadingText">
    <w:name w:val="Table Heading Text"/>
    <w:basedOn w:val="Normal"/>
    <w:rsid w:val="00AB4059"/>
    <w:pPr>
      <w:autoSpaceDE/>
      <w:autoSpaceDN/>
      <w:adjustRightInd/>
      <w:spacing w:before="60" w:after="60"/>
      <w:jc w:val="left"/>
    </w:pPr>
    <w:rPr>
      <w:rFonts w:ascii="Arial Black" w:eastAsia="Times New Roman" w:hAnsi="Arial Black" w:cs="Times New Roman"/>
      <w:color w:val="auto"/>
      <w:sz w:val="18"/>
      <w:szCs w:val="20"/>
    </w:rPr>
  </w:style>
  <w:style w:type="paragraph" w:customStyle="1" w:styleId="TableText">
    <w:name w:val="Table Text"/>
    <w:basedOn w:val="Normal"/>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12"/>
      </w:numPr>
      <w:tabs>
        <w:tab w:val="left" w:pos="567"/>
      </w:tabs>
      <w:spacing w:before="200" w:after="120"/>
      <w:ind w:left="567" w:hanging="567"/>
    </w:pPr>
    <w:rPr>
      <w:rFonts w:ascii="Arial" w:eastAsia="Times New Roman" w:hAnsi="Arial"/>
      <w:b/>
      <w:bCs/>
      <w:sz w:val="28"/>
      <w:szCs w:val="26"/>
      <w:lang w:eastAsia="en-US"/>
    </w:rPr>
  </w:style>
  <w:style w:type="paragraph" w:customStyle="1" w:styleId="Normal-indent">
    <w:name w:val="Normal - indent"/>
    <w:basedOn w:val="Normal"/>
    <w:qFormat/>
    <w:rsid w:val="00AB4059"/>
    <w:pPr>
      <w:ind w:left="360"/>
    </w:pPr>
  </w:style>
  <w:style w:type="paragraph" w:customStyle="1" w:styleId="Bullet-indent">
    <w:name w:val="Bullet - indent"/>
    <w:basedOn w:val="ListParagraph"/>
    <w:qFormat/>
    <w:rsid w:val="00AB4059"/>
    <w:pPr>
      <w:tabs>
        <w:tab w:val="left" w:pos="709"/>
      </w:tabs>
      <w:spacing w:before="60"/>
      <w:ind w:left="709" w:hanging="317"/>
      <w:contextualSpacing w:val="0"/>
    </w:pPr>
  </w:style>
  <w:style w:type="paragraph" w:customStyle="1" w:styleId="Heading3-indent">
    <w:name w:val="Heading 3 - indent"/>
    <w:basedOn w:val="Heading3"/>
    <w:qFormat/>
    <w:rsid w:val="00AB4059"/>
    <w:pPr>
      <w:spacing w:before="200"/>
      <w:ind w:left="360"/>
    </w:pPr>
    <w:rPr>
      <w:rFonts w:ascii="Arial" w:hAnsi="Arial"/>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BodyText"/>
    <w:link w:val="BodyTextFirstIndentChar"/>
    <w:uiPriority w:val="99"/>
    <w:semiHidden/>
    <w:unhideWhenUsed/>
    <w:rsid w:val="00AB4059"/>
    <w:pPr>
      <w:spacing w:after="120"/>
      <w:ind w:firstLine="210"/>
      <w:jc w:val="both"/>
    </w:pPr>
    <w:rPr>
      <w:rFonts w:ascii="Arial" w:eastAsia="Calibri" w:hAnsi="Arial"/>
      <w:b w:val="0"/>
      <w:color w:val="000000"/>
      <w:sz w:val="24"/>
    </w:rPr>
  </w:style>
  <w:style w:type="character" w:customStyle="1" w:styleId="BodyTextFirstIndentChar">
    <w:name w:val="Body Text First Indent Char"/>
    <w:basedOn w:val="BodyTextChar"/>
    <w:link w:val="BodyTextFirstIndent"/>
    <w:uiPriority w:val="99"/>
    <w:semiHidden/>
    <w:rsid w:val="00AB4059"/>
    <w:rPr>
      <w:rFonts w:ascii="Arial" w:eastAsia="Calibri" w:hAnsi="Arial" w:cs="Helvetica-Light"/>
      <w:b/>
      <w:color w:val="000000"/>
      <w:sz w:val="24"/>
      <w:szCs w:val="24"/>
      <w:lang w:eastAsia="en-US"/>
    </w:rPr>
  </w:style>
  <w:style w:type="paragraph" w:styleId="BodyTextFirstIndent2">
    <w:name w:val="Body Text First Indent 2"/>
    <w:basedOn w:val="BodyTextIndent"/>
    <w:link w:val="BodyTextFirstIndent2Char"/>
    <w:uiPriority w:val="99"/>
    <w:semiHidden/>
    <w:unhideWhenUsed/>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semiHidden/>
    <w:rsid w:val="00AB4059"/>
    <w:rPr>
      <w:rFonts w:ascii="Arial" w:eastAsia="Calibri" w:hAnsi="Arial"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semiHidden/>
    <w:unhideWhenUsed/>
    <w:rsid w:val="00AB4059"/>
    <w:pPr>
      <w:ind w:left="4252"/>
    </w:pPr>
  </w:style>
  <w:style w:type="character" w:customStyle="1" w:styleId="ClosingChar">
    <w:name w:val="Closing Char"/>
    <w:basedOn w:val="DefaultParagraphFont"/>
    <w:link w:val="Closing"/>
    <w:uiPriority w:val="99"/>
    <w:semiHidden/>
    <w:rsid w:val="00AB4059"/>
    <w:rPr>
      <w:rFonts w:ascii="Arial" w:eastAsia="Calibri" w:hAnsi="Arial" w:cs="Helvetica-Light"/>
      <w:color w:val="000000"/>
      <w:sz w:val="24"/>
      <w:szCs w:val="24"/>
      <w:lang w:eastAsia="en-US"/>
    </w:rPr>
  </w:style>
  <w:style w:type="paragraph" w:styleId="Date">
    <w:name w:val="Date"/>
    <w:basedOn w:val="Normal"/>
    <w:next w:val="Normal"/>
    <w:link w:val="DateChar"/>
    <w:uiPriority w:val="99"/>
    <w:semiHidden/>
    <w:unhideWhenUsed/>
    <w:rsid w:val="00AB4059"/>
  </w:style>
  <w:style w:type="character" w:customStyle="1" w:styleId="DateChar">
    <w:name w:val="Date Char"/>
    <w:basedOn w:val="DefaultParagraphFont"/>
    <w:link w:val="Date"/>
    <w:uiPriority w:val="99"/>
    <w:semiHidden/>
    <w:rsid w:val="00AB4059"/>
    <w:rPr>
      <w:rFonts w:ascii="Arial" w:eastAsia="Calibri" w:hAnsi="Arial" w:cs="Helvetica-Light"/>
      <w:color w:val="000000"/>
      <w:sz w:val="24"/>
      <w:szCs w:val="24"/>
      <w:lang w:eastAsia="en-US"/>
    </w:rPr>
  </w:style>
  <w:style w:type="paragraph" w:styleId="E-mailSignature">
    <w:name w:val="E-mail Signature"/>
    <w:basedOn w:val="Normal"/>
    <w:link w:val="E-mailSignatureChar"/>
    <w:uiPriority w:val="99"/>
    <w:semiHidden/>
    <w:unhideWhenUsed/>
    <w:rsid w:val="00AB4059"/>
  </w:style>
  <w:style w:type="character" w:customStyle="1" w:styleId="E-mailSignatureChar">
    <w:name w:val="E-mail Signature Char"/>
    <w:basedOn w:val="DefaultParagraphFont"/>
    <w:link w:val="E-mailSignature"/>
    <w:uiPriority w:val="99"/>
    <w:semiHidden/>
    <w:rsid w:val="00AB4059"/>
    <w:rPr>
      <w:rFonts w:ascii="Arial" w:eastAsia="Calibri" w:hAnsi="Arial" w:cs="Helvetica-Light"/>
      <w:color w:val="000000"/>
      <w:sz w:val="24"/>
      <w:szCs w:val="24"/>
      <w:lang w:eastAsia="en-US"/>
    </w:rPr>
  </w:style>
  <w:style w:type="paragraph" w:styleId="EndnoteText">
    <w:name w:val="endnote text"/>
    <w:basedOn w:val="Normal"/>
    <w:link w:val="EndnoteTextChar"/>
    <w:uiPriority w:val="99"/>
    <w:unhideWhenUsed/>
    <w:rsid w:val="00AB4059"/>
    <w:rPr>
      <w:sz w:val="20"/>
      <w:szCs w:val="20"/>
    </w:rPr>
  </w:style>
  <w:style w:type="character" w:customStyle="1" w:styleId="EndnoteTextChar">
    <w:name w:val="Endnote Text Char"/>
    <w:basedOn w:val="DefaultParagraphFont"/>
    <w:link w:val="EndnoteText"/>
    <w:uiPriority w:val="99"/>
    <w:rsid w:val="00AB4059"/>
    <w:rPr>
      <w:rFonts w:ascii="Arial" w:eastAsia="Calibri" w:hAnsi="Arial" w:cs="Helvetica-Light"/>
      <w:color w:val="000000"/>
      <w:lang w:eastAsia="en-US"/>
    </w:rPr>
  </w:style>
  <w:style w:type="paragraph" w:styleId="EnvelopeAddress">
    <w:name w:val="envelope address"/>
    <w:basedOn w:val="Normal"/>
    <w:uiPriority w:val="99"/>
    <w:semiHidden/>
    <w:unhideWhenUsed/>
    <w:rsid w:val="00AB4059"/>
    <w:pPr>
      <w:framePr w:w="7920" w:h="1980" w:hRule="exact" w:hSpace="180" w:wrap="auto" w:hAnchor="page" w:xAlign="center" w:yAlign="bottom"/>
      <w:ind w:left="2880"/>
    </w:pPr>
    <w:rPr>
      <w:rFonts w:ascii="Cambria" w:eastAsia="Times New Roman" w:hAnsi="Cambria" w:cs="Times New Roman"/>
    </w:rPr>
  </w:style>
  <w:style w:type="paragraph" w:styleId="EnvelopeReturn">
    <w:name w:val="envelope return"/>
    <w:basedOn w:val="Normal"/>
    <w:uiPriority w:val="99"/>
    <w:semiHidden/>
    <w:unhideWhenUsed/>
    <w:rsid w:val="00AB4059"/>
    <w:rPr>
      <w:rFonts w:ascii="Cambria" w:eastAsia="Times New Roman" w:hAnsi="Cambria" w:cs="Times New Roman"/>
      <w:sz w:val="20"/>
      <w:szCs w:val="20"/>
    </w:rPr>
  </w:style>
  <w:style w:type="paragraph" w:styleId="HTMLAddress">
    <w:name w:val="HTML Address"/>
    <w:basedOn w:val="Normal"/>
    <w:link w:val="HTMLAddressChar"/>
    <w:uiPriority w:val="99"/>
    <w:semiHidden/>
    <w:unhideWhenUsed/>
    <w:rsid w:val="00AB4059"/>
    <w:rPr>
      <w:i/>
      <w:iCs/>
    </w:rPr>
  </w:style>
  <w:style w:type="character" w:customStyle="1" w:styleId="HTMLAddressChar">
    <w:name w:val="HTML Address Char"/>
    <w:basedOn w:val="DefaultParagraphFont"/>
    <w:link w:val="HTMLAddress"/>
    <w:uiPriority w:val="99"/>
    <w:semiHidden/>
    <w:rsid w:val="00AB4059"/>
    <w:rPr>
      <w:rFonts w:ascii="Arial" w:eastAsia="Calibri" w:hAnsi="Arial" w:cs="Helvetica-Light"/>
      <w:i/>
      <w:iCs/>
      <w:color w:val="000000"/>
      <w:sz w:val="24"/>
      <w:szCs w:val="24"/>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B4059"/>
    <w:rPr>
      <w:rFonts w:ascii="Courier New" w:eastAsia="Calibri" w:hAnsi="Courier New" w:cs="Courier New"/>
      <w:color w:val="000000"/>
      <w:lang w:eastAsia="en-US"/>
    </w:rPr>
  </w:style>
  <w:style w:type="paragraph" w:styleId="Index1">
    <w:name w:val="index 1"/>
    <w:basedOn w:val="Normal"/>
    <w:next w:val="Normal"/>
    <w:autoRedefine/>
    <w:uiPriority w:val="99"/>
    <w:semiHidden/>
    <w:unhideWhenUsed/>
    <w:rsid w:val="00AB4059"/>
    <w:pPr>
      <w:ind w:left="240" w:hanging="240"/>
    </w:pPr>
  </w:style>
  <w:style w:type="paragraph" w:styleId="Index2">
    <w:name w:val="index 2"/>
    <w:basedOn w:val="Normal"/>
    <w:next w:val="Normal"/>
    <w:autoRedefine/>
    <w:uiPriority w:val="99"/>
    <w:semiHidden/>
    <w:unhideWhenUsed/>
    <w:rsid w:val="00AB4059"/>
    <w:pPr>
      <w:ind w:left="480" w:hanging="240"/>
    </w:pPr>
  </w:style>
  <w:style w:type="paragraph" w:styleId="Index3">
    <w:name w:val="index 3"/>
    <w:basedOn w:val="Normal"/>
    <w:next w:val="Normal"/>
    <w:autoRedefine/>
    <w:uiPriority w:val="99"/>
    <w:semiHidden/>
    <w:unhideWhenUsed/>
    <w:rsid w:val="00AB4059"/>
    <w:pPr>
      <w:ind w:left="720" w:hanging="240"/>
    </w:pPr>
  </w:style>
  <w:style w:type="paragraph" w:styleId="Index4">
    <w:name w:val="index 4"/>
    <w:basedOn w:val="Normal"/>
    <w:next w:val="Normal"/>
    <w:autoRedefine/>
    <w:uiPriority w:val="99"/>
    <w:semiHidden/>
    <w:unhideWhenUsed/>
    <w:rsid w:val="00AB4059"/>
    <w:pPr>
      <w:ind w:left="960" w:hanging="240"/>
    </w:pPr>
  </w:style>
  <w:style w:type="paragraph" w:styleId="Index5">
    <w:name w:val="index 5"/>
    <w:basedOn w:val="Normal"/>
    <w:next w:val="Normal"/>
    <w:autoRedefine/>
    <w:uiPriority w:val="99"/>
    <w:semiHidden/>
    <w:unhideWhenUsed/>
    <w:rsid w:val="00AB4059"/>
    <w:pPr>
      <w:ind w:left="1200" w:hanging="240"/>
    </w:pPr>
  </w:style>
  <w:style w:type="paragraph" w:styleId="Index6">
    <w:name w:val="index 6"/>
    <w:basedOn w:val="Normal"/>
    <w:next w:val="Normal"/>
    <w:autoRedefine/>
    <w:uiPriority w:val="99"/>
    <w:semiHidden/>
    <w:unhideWhenUsed/>
    <w:rsid w:val="00AB4059"/>
    <w:pPr>
      <w:ind w:left="1440" w:hanging="240"/>
    </w:p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Index1"/>
    <w:uiPriority w:val="99"/>
    <w:semiHidden/>
    <w:unhideWhenUsed/>
    <w:rsid w:val="00AB4059"/>
    <w:rPr>
      <w:rFonts w:ascii="Cambria" w:eastAsia="Times New Roman" w:hAnsi="Cambria" w:cs="Times New Roman"/>
      <w:b/>
      <w:bCs/>
    </w:rPr>
  </w:style>
  <w:style w:type="paragraph" w:styleId="IntenseQuote">
    <w:name w:val="Intense Quote"/>
    <w:basedOn w:val="Normal"/>
    <w:next w:val="Normal"/>
    <w:link w:val="IntenseQuoteChar"/>
    <w:uiPriority w:val="30"/>
    <w:qFormat/>
    <w:rsid w:val="00AB405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B4059"/>
    <w:rPr>
      <w:rFonts w:ascii="Arial" w:eastAsia="Calibri" w:hAnsi="Arial" w:cs="Helvetica-Light"/>
      <w:b/>
      <w:bCs/>
      <w:i/>
      <w:iCs/>
      <w:color w:val="4F81BD"/>
      <w:sz w:val="24"/>
      <w:szCs w:val="24"/>
      <w:lang w:eastAsia="en-US"/>
    </w:rPr>
  </w:style>
  <w:style w:type="paragraph" w:styleId="List">
    <w:name w:val="List"/>
    <w:basedOn w:val="Normal"/>
    <w:uiPriority w:val="99"/>
    <w:semiHidden/>
    <w:unhideWhenUsed/>
    <w:rsid w:val="00AB4059"/>
    <w:pPr>
      <w:ind w:left="283" w:hanging="283"/>
      <w:contextualSpacing/>
    </w:pPr>
  </w:style>
  <w:style w:type="paragraph" w:styleId="List2">
    <w:name w:val="List 2"/>
    <w:basedOn w:val="Normal"/>
    <w:uiPriority w:val="99"/>
    <w:semiHidden/>
    <w:unhideWhenUsed/>
    <w:rsid w:val="00AB4059"/>
    <w:pPr>
      <w:ind w:left="566" w:hanging="283"/>
      <w:contextualSpacing/>
    </w:pPr>
  </w:style>
  <w:style w:type="paragraph" w:styleId="List3">
    <w:name w:val="List 3"/>
    <w:basedOn w:val="Normal"/>
    <w:uiPriority w:val="99"/>
    <w:semiHidden/>
    <w:unhideWhenUsed/>
    <w:rsid w:val="00AB4059"/>
    <w:pPr>
      <w:ind w:left="849" w:hanging="283"/>
      <w:contextualSpacing/>
    </w:pPr>
  </w:style>
  <w:style w:type="paragraph" w:styleId="List4">
    <w:name w:val="List 4"/>
    <w:basedOn w:val="Normal"/>
    <w:uiPriority w:val="99"/>
    <w:semiHidden/>
    <w:unhideWhenUsed/>
    <w:rsid w:val="00AB4059"/>
    <w:pPr>
      <w:ind w:left="1132" w:hanging="283"/>
      <w:contextualSpacing/>
    </w:pPr>
  </w:style>
  <w:style w:type="paragraph" w:styleId="List5">
    <w:name w:val="List 5"/>
    <w:basedOn w:val="Normal"/>
    <w:uiPriority w:val="99"/>
    <w:semiHidden/>
    <w:unhideWhenUsed/>
    <w:rsid w:val="00AB4059"/>
    <w:pPr>
      <w:ind w:left="1415" w:hanging="283"/>
      <w:contextualSpacing/>
    </w:pPr>
  </w:style>
  <w:style w:type="paragraph" w:styleId="ListBullet2">
    <w:name w:val="List Bullet 2"/>
    <w:basedOn w:val="Normal"/>
    <w:unhideWhenUsed/>
    <w:rsid w:val="00AB4059"/>
    <w:pPr>
      <w:numPr>
        <w:numId w:val="6"/>
      </w:numPr>
      <w:contextualSpacing/>
    </w:pPr>
  </w:style>
  <w:style w:type="paragraph" w:styleId="ListBullet3">
    <w:name w:val="List Bullet 3"/>
    <w:basedOn w:val="Normal"/>
    <w:unhideWhenUsed/>
    <w:rsid w:val="00AB4059"/>
    <w:pPr>
      <w:numPr>
        <w:numId w:val="13"/>
      </w:numPr>
      <w:tabs>
        <w:tab w:val="clear" w:pos="643"/>
        <w:tab w:val="num" w:pos="926"/>
      </w:tabs>
      <w:ind w:left="926"/>
      <w:contextualSpacing/>
    </w:pPr>
  </w:style>
  <w:style w:type="paragraph" w:styleId="ListBullet4">
    <w:name w:val="List Bullet 4"/>
    <w:basedOn w:val="Normal"/>
    <w:unhideWhenUsed/>
    <w:rsid w:val="00AB4059"/>
    <w:pPr>
      <w:numPr>
        <w:numId w:val="14"/>
      </w:numPr>
      <w:tabs>
        <w:tab w:val="clear" w:pos="926"/>
        <w:tab w:val="num" w:pos="1209"/>
      </w:tabs>
      <w:ind w:left="1209"/>
      <w:contextualSpacing/>
    </w:pPr>
  </w:style>
  <w:style w:type="paragraph" w:styleId="ListBullet5">
    <w:name w:val="List Bullet 5"/>
    <w:basedOn w:val="Normal"/>
    <w:uiPriority w:val="99"/>
    <w:semiHidden/>
    <w:unhideWhenUsed/>
    <w:rsid w:val="00AB4059"/>
    <w:pPr>
      <w:numPr>
        <w:numId w:val="15"/>
      </w:numPr>
      <w:tabs>
        <w:tab w:val="clear" w:pos="1209"/>
        <w:tab w:val="num" w:pos="1492"/>
      </w:tabs>
      <w:ind w:left="1492"/>
      <w:contextualSpacing/>
    </w:pPr>
  </w:style>
  <w:style w:type="paragraph" w:styleId="ListContinue">
    <w:name w:val="List Continue"/>
    <w:basedOn w:val="Normal"/>
    <w:uiPriority w:val="99"/>
    <w:semiHidden/>
    <w:unhideWhenUsed/>
    <w:rsid w:val="00AB4059"/>
    <w:pPr>
      <w:numPr>
        <w:numId w:val="16"/>
      </w:numPr>
      <w:tabs>
        <w:tab w:val="clear" w:pos="1492"/>
      </w:tabs>
      <w:ind w:left="283" w:firstLine="0"/>
      <w:contextualSpacing/>
    </w:pPr>
  </w:style>
  <w:style w:type="paragraph" w:styleId="ListContinue2">
    <w:name w:val="List Continue 2"/>
    <w:basedOn w:val="Normal"/>
    <w:uiPriority w:val="99"/>
    <w:semiHidden/>
    <w:unhideWhenUsed/>
    <w:rsid w:val="00AB4059"/>
    <w:pPr>
      <w:ind w:left="566"/>
      <w:contextualSpacing/>
    </w:pPr>
  </w:style>
  <w:style w:type="paragraph" w:styleId="ListContinue3">
    <w:name w:val="List Continue 3"/>
    <w:basedOn w:val="Normal"/>
    <w:uiPriority w:val="99"/>
    <w:semiHidden/>
    <w:unhideWhenUsed/>
    <w:rsid w:val="00AB4059"/>
    <w:pPr>
      <w:ind w:left="849"/>
      <w:contextualSpacing/>
    </w:pPr>
  </w:style>
  <w:style w:type="paragraph" w:styleId="ListContinue4">
    <w:name w:val="List Continue 4"/>
    <w:basedOn w:val="Normal"/>
    <w:uiPriority w:val="99"/>
    <w:semiHidden/>
    <w:unhideWhenUsed/>
    <w:rsid w:val="00AB4059"/>
    <w:pPr>
      <w:ind w:left="1132"/>
      <w:contextualSpacing/>
    </w:pPr>
  </w:style>
  <w:style w:type="paragraph" w:styleId="ListContinue5">
    <w:name w:val="List Continue 5"/>
    <w:basedOn w:val="Normal"/>
    <w:uiPriority w:val="99"/>
    <w:semiHidden/>
    <w:unhideWhenUsed/>
    <w:rsid w:val="00AB4059"/>
    <w:pPr>
      <w:ind w:left="1415"/>
      <w:contextualSpacing/>
    </w:pPr>
  </w:style>
  <w:style w:type="paragraph" w:styleId="ListNumber">
    <w:name w:val="List Number"/>
    <w:basedOn w:val="Normal"/>
    <w:uiPriority w:val="99"/>
    <w:semiHidden/>
    <w:unhideWhenUsed/>
    <w:rsid w:val="00AB4059"/>
    <w:pPr>
      <w:tabs>
        <w:tab w:val="num" w:pos="397"/>
      </w:tabs>
      <w:ind w:left="397" w:hanging="397"/>
      <w:contextualSpacing/>
    </w:pPr>
  </w:style>
  <w:style w:type="paragraph" w:styleId="ListNumber2">
    <w:name w:val="List Number 2"/>
    <w:basedOn w:val="Normal"/>
    <w:uiPriority w:val="99"/>
    <w:semiHidden/>
    <w:unhideWhenUsed/>
    <w:rsid w:val="00AB4059"/>
    <w:pPr>
      <w:numPr>
        <w:numId w:val="17"/>
      </w:numPr>
      <w:tabs>
        <w:tab w:val="clear" w:pos="360"/>
        <w:tab w:val="num" w:pos="643"/>
      </w:tabs>
      <w:ind w:left="643"/>
      <w:contextualSpacing/>
    </w:pPr>
  </w:style>
  <w:style w:type="paragraph" w:styleId="ListNumber3">
    <w:name w:val="List Number 3"/>
    <w:basedOn w:val="Normal"/>
    <w:uiPriority w:val="99"/>
    <w:semiHidden/>
    <w:unhideWhenUsed/>
    <w:rsid w:val="00AB4059"/>
    <w:pPr>
      <w:numPr>
        <w:numId w:val="18"/>
      </w:numPr>
      <w:tabs>
        <w:tab w:val="clear" w:pos="643"/>
        <w:tab w:val="num" w:pos="926"/>
      </w:tabs>
      <w:ind w:left="926"/>
      <w:contextualSpacing/>
    </w:pPr>
  </w:style>
  <w:style w:type="paragraph" w:styleId="ListNumber4">
    <w:name w:val="List Number 4"/>
    <w:basedOn w:val="Normal"/>
    <w:uiPriority w:val="99"/>
    <w:semiHidden/>
    <w:unhideWhenUsed/>
    <w:rsid w:val="00AB4059"/>
    <w:pPr>
      <w:numPr>
        <w:numId w:val="19"/>
      </w:numPr>
      <w:tabs>
        <w:tab w:val="clear" w:pos="926"/>
        <w:tab w:val="num" w:pos="1209"/>
      </w:tabs>
      <w:ind w:left="1209"/>
      <w:contextualSpacing/>
    </w:pPr>
  </w:style>
  <w:style w:type="paragraph" w:styleId="ListNumber5">
    <w:name w:val="List Number 5"/>
    <w:basedOn w:val="Normal"/>
    <w:uiPriority w:val="99"/>
    <w:semiHidden/>
    <w:unhideWhenUsed/>
    <w:rsid w:val="00AB4059"/>
    <w:pPr>
      <w:numPr>
        <w:numId w:val="20"/>
      </w:numPr>
      <w:tabs>
        <w:tab w:val="clear" w:pos="1209"/>
        <w:tab w:val="num" w:pos="1492"/>
      </w:tabs>
      <w:ind w:left="1492"/>
      <w:contextualSpacing/>
    </w:pPr>
  </w:style>
  <w:style w:type="paragraph" w:styleId="MacroText">
    <w:name w:val="macro"/>
    <w:link w:val="MacroTextChar"/>
    <w:uiPriority w:val="99"/>
    <w:semiHidden/>
    <w:unhideWhenUsed/>
    <w:rsid w:val="00AB4059"/>
    <w:pPr>
      <w:numPr>
        <w:numId w:val="21"/>
      </w:numPr>
      <w:tabs>
        <w:tab w:val="clear" w:pos="1492"/>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120"/>
      <w:ind w:left="0" w:firstLine="0"/>
      <w:jc w:val="both"/>
    </w:pPr>
    <w:rPr>
      <w:rFonts w:ascii="Courier New" w:eastAsia="Calibri" w:hAnsi="Courier New" w:cs="Courier New"/>
      <w:color w:val="000000"/>
      <w:lang w:eastAsia="en-US"/>
    </w:rPr>
  </w:style>
  <w:style w:type="character" w:customStyle="1" w:styleId="MacroTextChar">
    <w:name w:val="Macro Text Char"/>
    <w:basedOn w:val="DefaultParagraphFont"/>
    <w:link w:val="MacroText"/>
    <w:uiPriority w:val="99"/>
    <w:semiHidden/>
    <w:rsid w:val="00AB4059"/>
    <w:rPr>
      <w:rFonts w:ascii="Courier New" w:eastAsia="Calibri" w:hAnsi="Courier New" w:cs="Courier New"/>
      <w:color w:val="000000"/>
      <w:lang w:eastAsia="en-US"/>
    </w:rPr>
  </w:style>
  <w:style w:type="paragraph" w:styleId="MessageHeader">
    <w:name w:val="Message Header"/>
    <w:basedOn w:val="Normal"/>
    <w:link w:val="MessageHeaderChar"/>
    <w:uiPriority w:val="99"/>
    <w:semiHidden/>
    <w:unhideWhenUsed/>
    <w:rsid w:val="00AB405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rPr>
  </w:style>
  <w:style w:type="character" w:customStyle="1" w:styleId="MessageHeaderChar">
    <w:name w:val="Message Header Char"/>
    <w:basedOn w:val="DefaultParagraphFont"/>
    <w:link w:val="MessageHeader"/>
    <w:uiPriority w:val="99"/>
    <w:semiHidden/>
    <w:rsid w:val="00AB4059"/>
    <w:rPr>
      <w:rFonts w:eastAsia="Times New Roman"/>
      <w:color w:val="000000"/>
      <w:sz w:val="24"/>
      <w:szCs w:val="24"/>
      <w:shd w:val="pct20" w:color="auto" w:fill="auto"/>
      <w:lang w:eastAsia="en-US"/>
    </w:rPr>
  </w:style>
  <w:style w:type="paragraph" w:styleId="NoSpacing">
    <w:name w:val="No Spacing"/>
    <w:link w:val="NoSpacingChar"/>
    <w:uiPriority w:val="1"/>
    <w:qFormat/>
    <w:rsid w:val="00AB4059"/>
    <w:pPr>
      <w:autoSpaceDE w:val="0"/>
      <w:autoSpaceDN w:val="0"/>
      <w:adjustRightInd w:val="0"/>
      <w:jc w:val="both"/>
    </w:pPr>
    <w:rPr>
      <w:rFonts w:ascii="Arial" w:eastAsia="Calibri" w:hAnsi="Arial" w:cs="Helvetica-Light"/>
      <w:color w:val="000000"/>
      <w:sz w:val="24"/>
      <w:szCs w:val="24"/>
      <w:lang w:eastAsia="en-US"/>
    </w:rPr>
  </w:style>
  <w:style w:type="character" w:customStyle="1" w:styleId="NoSpacingChar">
    <w:name w:val="No Spacing Char"/>
    <w:basedOn w:val="DefaultParagraphFont"/>
    <w:link w:val="NoSpacing"/>
    <w:uiPriority w:val="1"/>
    <w:rsid w:val="00AB4059"/>
    <w:rPr>
      <w:rFonts w:ascii="Arial" w:eastAsia="Calibri" w:hAnsi="Arial" w:cs="Helvetica-Light"/>
      <w:color w:val="000000"/>
      <w:sz w:val="24"/>
      <w:szCs w:val="24"/>
      <w:lang w:eastAsia="en-US"/>
    </w:rPr>
  </w:style>
  <w:style w:type="paragraph" w:styleId="NormalIndent">
    <w:name w:val="Normal Indent"/>
    <w:basedOn w:val="Normal"/>
    <w:uiPriority w:val="99"/>
    <w:semiHidden/>
    <w:unhideWhenUsed/>
    <w:rsid w:val="00AB4059"/>
    <w:pPr>
      <w:ind w:left="720"/>
    </w:pPr>
  </w:style>
  <w:style w:type="paragraph" w:styleId="NoteHeading">
    <w:name w:val="Note Heading"/>
    <w:basedOn w:val="Normal"/>
    <w:next w:val="Normal"/>
    <w:link w:val="NoteHeadingChar"/>
    <w:uiPriority w:val="99"/>
    <w:semiHidden/>
    <w:unhideWhenUsed/>
    <w:rsid w:val="00AB4059"/>
  </w:style>
  <w:style w:type="character" w:customStyle="1" w:styleId="NoteHeadingChar">
    <w:name w:val="Note Heading Char"/>
    <w:basedOn w:val="DefaultParagraphFont"/>
    <w:link w:val="NoteHeading"/>
    <w:uiPriority w:val="99"/>
    <w:semiHidden/>
    <w:rsid w:val="00AB4059"/>
    <w:rPr>
      <w:rFonts w:ascii="Arial" w:eastAsia="Calibri" w:hAnsi="Arial" w:cs="Helvetica-Light"/>
      <w:color w:val="000000"/>
      <w:sz w:val="24"/>
      <w:szCs w:val="24"/>
      <w:lang w:eastAsia="en-US"/>
    </w:rPr>
  </w:style>
  <w:style w:type="paragraph" w:styleId="Quote">
    <w:name w:val="Quote"/>
    <w:basedOn w:val="Normal"/>
    <w:next w:val="Normal"/>
    <w:link w:val="QuoteChar"/>
    <w:uiPriority w:val="29"/>
    <w:qFormat/>
    <w:rsid w:val="00AB4059"/>
    <w:rPr>
      <w:i/>
      <w:iCs/>
    </w:rPr>
  </w:style>
  <w:style w:type="character" w:customStyle="1" w:styleId="QuoteChar">
    <w:name w:val="Quote Char"/>
    <w:basedOn w:val="DefaultParagraphFont"/>
    <w:link w:val="Quote"/>
    <w:uiPriority w:val="29"/>
    <w:rsid w:val="00AB4059"/>
    <w:rPr>
      <w:rFonts w:ascii="Arial" w:eastAsia="Calibri" w:hAnsi="Arial" w:cs="Helvetica-Light"/>
      <w:i/>
      <w:iCs/>
      <w:color w:val="000000"/>
      <w:sz w:val="24"/>
      <w:szCs w:val="24"/>
      <w:lang w:eastAsia="en-US"/>
    </w:rPr>
  </w:style>
  <w:style w:type="paragraph" w:styleId="Salutation">
    <w:name w:val="Salutation"/>
    <w:basedOn w:val="Normal"/>
    <w:next w:val="Normal"/>
    <w:link w:val="SalutationChar"/>
    <w:uiPriority w:val="99"/>
    <w:semiHidden/>
    <w:unhideWhenUsed/>
    <w:rsid w:val="00AB4059"/>
  </w:style>
  <w:style w:type="character" w:customStyle="1" w:styleId="SalutationChar">
    <w:name w:val="Salutation Char"/>
    <w:basedOn w:val="DefaultParagraphFont"/>
    <w:link w:val="Salutation"/>
    <w:uiPriority w:val="99"/>
    <w:semiHidden/>
    <w:rsid w:val="00AB4059"/>
    <w:rPr>
      <w:rFonts w:ascii="Arial" w:eastAsia="Calibri" w:hAnsi="Arial" w:cs="Helvetica-Light"/>
      <w:color w:val="000000"/>
      <w:sz w:val="24"/>
      <w:szCs w:val="24"/>
      <w:lang w:eastAsia="en-US"/>
    </w:rPr>
  </w:style>
  <w:style w:type="paragraph" w:styleId="Signature">
    <w:name w:val="Signature"/>
    <w:basedOn w:val="Normal"/>
    <w:link w:val="SignatureChar"/>
    <w:uiPriority w:val="99"/>
    <w:semiHidden/>
    <w:unhideWhenUsed/>
    <w:rsid w:val="00AB4059"/>
    <w:pPr>
      <w:ind w:left="4252"/>
    </w:pPr>
  </w:style>
  <w:style w:type="character" w:customStyle="1" w:styleId="SignatureChar">
    <w:name w:val="Signature Char"/>
    <w:basedOn w:val="DefaultParagraphFont"/>
    <w:link w:val="Signature"/>
    <w:uiPriority w:val="99"/>
    <w:semiHidden/>
    <w:rsid w:val="00AB4059"/>
    <w:rPr>
      <w:rFonts w:ascii="Arial" w:eastAsia="Calibri" w:hAnsi="Arial" w:cs="Helvetica-Light"/>
      <w:color w:val="000000"/>
      <w:sz w:val="24"/>
      <w:szCs w:val="24"/>
      <w:lang w:eastAsia="en-US"/>
    </w:rPr>
  </w:style>
  <w:style w:type="paragraph" w:styleId="Subtitle">
    <w:name w:val="Subtitle"/>
    <w:basedOn w:val="Normal"/>
    <w:next w:val="Normal"/>
    <w:link w:val="SubtitleChar"/>
    <w:uiPriority w:val="11"/>
    <w:qFormat/>
    <w:rsid w:val="00AB4059"/>
    <w:pPr>
      <w:spacing w:after="60"/>
      <w:jc w:val="center"/>
      <w:outlineLvl w:val="1"/>
    </w:pPr>
    <w:rPr>
      <w:rFonts w:ascii="Cambria" w:eastAsia="Times New Roman" w:hAnsi="Cambria" w:cs="Times New Roman"/>
    </w:rPr>
  </w:style>
  <w:style w:type="character" w:customStyle="1" w:styleId="SubtitleChar">
    <w:name w:val="Subtitle Char"/>
    <w:basedOn w:val="DefaultParagraphFont"/>
    <w:link w:val="Subtitle"/>
    <w:uiPriority w:val="11"/>
    <w:rsid w:val="00AB4059"/>
    <w:rPr>
      <w:rFonts w:eastAsia="Times New Roman"/>
      <w:color w:val="000000"/>
      <w:sz w:val="24"/>
      <w:szCs w:val="24"/>
      <w:lang w:eastAsia="en-US"/>
    </w:rPr>
  </w:style>
  <w:style w:type="paragraph" w:styleId="TableofAuthorities">
    <w:name w:val="table of authorities"/>
    <w:basedOn w:val="Normal"/>
    <w:next w:val="Normal"/>
    <w:uiPriority w:val="99"/>
    <w:semiHidden/>
    <w:unhideWhenUsed/>
    <w:rsid w:val="00AB4059"/>
    <w:pPr>
      <w:ind w:left="240" w:hanging="240"/>
    </w:pPr>
  </w:style>
  <w:style w:type="paragraph" w:styleId="TableofFigures">
    <w:name w:val="table of figures"/>
    <w:basedOn w:val="Normal"/>
    <w:next w:val="Normal"/>
    <w:uiPriority w:val="99"/>
    <w:semiHidden/>
    <w:unhideWhenUsed/>
    <w:rsid w:val="00AB4059"/>
  </w:style>
  <w:style w:type="paragraph" w:styleId="TOAHeading">
    <w:name w:val="toa heading"/>
    <w:basedOn w:val="Normal"/>
    <w:next w:val="Normal"/>
    <w:uiPriority w:val="99"/>
    <w:semiHidden/>
    <w:unhideWhenUsed/>
    <w:rsid w:val="00AB4059"/>
    <w:pPr>
      <w:spacing w:before="120"/>
    </w:pPr>
    <w:rPr>
      <w:rFonts w:ascii="Cambria" w:eastAsia="Times New Roman" w:hAnsi="Cambria" w:cs="Times New Roman"/>
      <w:b/>
      <w:bC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paragraph" w:styleId="TOCHeading">
    <w:name w:val="TOC Heading"/>
    <w:basedOn w:val="Heading1"/>
    <w:next w:val="Normal"/>
    <w:uiPriority w:val="39"/>
    <w:semiHidden/>
    <w:unhideWhenUsed/>
    <w:qFormat/>
    <w:rsid w:val="00AB4059"/>
    <w:pPr>
      <w:keepNext/>
      <w:spacing w:before="240" w:after="60"/>
      <w:outlineLvl w:val="9"/>
    </w:pPr>
    <w:rPr>
      <w:rFonts w:ascii="Cambria" w:hAnsi="Cambria" w:cs="Times New Roman"/>
      <w:color w:val="000000"/>
      <w:kern w:val="32"/>
      <w:sz w:val="32"/>
      <w:szCs w:val="32"/>
    </w:rPr>
  </w:style>
  <w:style w:type="paragraph" w:customStyle="1" w:styleId="exampleend">
    <w:name w:val="exampleend"/>
    <w:basedOn w:val="Normal"/>
    <w:rsid w:val="00AB4059"/>
    <w:pPr>
      <w:pBdr>
        <w:bottom w:val="single" w:sz="6" w:space="2" w:color="502470"/>
      </w:pBdr>
      <w:autoSpaceDE/>
      <w:autoSpaceDN/>
      <w:adjustRightInd/>
      <w:spacing w:before="100" w:beforeAutospacing="1" w:after="100" w:afterAutospacing="1"/>
      <w:jc w:val="left"/>
    </w:pPr>
    <w:rPr>
      <w:rFonts w:ascii="Verdana" w:eastAsia="Times New Roman" w:hAnsi="Verdana" w:cs="Times New Roman"/>
      <w:sz w:val="17"/>
      <w:szCs w:val="17"/>
      <w:lang w:eastAsia="en-GB"/>
    </w:rPr>
  </w:style>
  <w:style w:type="paragraph" w:styleId="Revision">
    <w:name w:val="Revision"/>
    <w:hidden/>
    <w:uiPriority w:val="99"/>
    <w:semiHidden/>
    <w:rsid w:val="00AB4059"/>
    <w:rPr>
      <w:rFonts w:ascii="Arial" w:eastAsia="Times New Roman" w:hAnsi="Arial" w:cs="Arial"/>
      <w:sz w:val="24"/>
      <w:szCs w:val="24"/>
    </w:rPr>
  </w:style>
  <w:style w:type="table" w:styleId="TableList4">
    <w:name w:val="Table List 4"/>
    <w:basedOn w:val="TableNormal"/>
    <w:rsid w:val="00AB4059"/>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00-Normal-BB">
    <w:name w:val="00-Normal-BB"/>
    <w:rsid w:val="00AB4059"/>
    <w:pPr>
      <w:jc w:val="both"/>
    </w:pPr>
    <w:rPr>
      <w:rFonts w:ascii="Arial" w:eastAsia="Times New Roman" w:hAnsi="Arial"/>
      <w:sz w:val="22"/>
      <w:lang w:eastAsia="en-US"/>
    </w:rPr>
  </w:style>
  <w:style w:type="paragraph" w:customStyle="1" w:styleId="01-NormInd1-BB">
    <w:name w:val="01-NormInd1-BB"/>
    <w:basedOn w:val="00-Normal-BB"/>
    <w:rsid w:val="00AB4059"/>
    <w:pPr>
      <w:ind w:left="720"/>
    </w:pPr>
  </w:style>
  <w:style w:type="character" w:styleId="HTMLCite">
    <w:name w:val="HTML Cite"/>
    <w:basedOn w:val="DefaultParagraphFont"/>
    <w:uiPriority w:val="99"/>
    <w:unhideWhenUsed/>
    <w:rsid w:val="00AB4059"/>
    <w:rPr>
      <w:i/>
      <w:iCs/>
    </w:rPr>
  </w:style>
  <w:style w:type="character" w:styleId="LineNumber">
    <w:name w:val="line number"/>
    <w:basedOn w:val="DefaultParagraphFont"/>
    <w:uiPriority w:val="99"/>
    <w:unhideWhenUsed/>
    <w:rsid w:val="00AB4059"/>
  </w:style>
  <w:style w:type="paragraph" w:customStyle="1" w:styleId="Heading3-numbered">
    <w:name w:val="Heading 3-numbered"/>
    <w:basedOn w:val="Heading3"/>
    <w:qFormat/>
    <w:rsid w:val="003350AF"/>
    <w:pPr>
      <w:numPr>
        <w:numId w:val="35"/>
      </w:numPr>
      <w:tabs>
        <w:tab w:val="left" w:pos="426"/>
      </w:tabs>
    </w:pPr>
    <w:rPr>
      <w:rFonts w:ascii="Arial" w:hAnsi="Arial" w:cs="Arial"/>
    </w:rPr>
  </w:style>
  <w:style w:type="paragraph" w:customStyle="1" w:styleId="BodyText11">
    <w:name w:val="Body Text11"/>
    <w:basedOn w:val="Normal"/>
    <w:rsid w:val="00E56C8C"/>
    <w:pPr>
      <w:keepLines/>
      <w:autoSpaceDE/>
      <w:autoSpaceDN/>
      <w:adjustRightInd/>
      <w:spacing w:before="140" w:after="140"/>
      <w:ind w:left="397"/>
      <w:jc w:val="left"/>
    </w:pPr>
    <w:rPr>
      <w:rFonts w:eastAsia="Times New Roman" w:cs="Times New Roman"/>
      <w:color w:val="auto"/>
      <w:lang w:eastAsia="en-GB"/>
    </w:rPr>
  </w:style>
  <w:style w:type="paragraph" w:customStyle="1" w:styleId="Body1">
    <w:name w:val="Body 1"/>
    <w:rsid w:val="00E56C8C"/>
    <w:pPr>
      <w:spacing w:before="0" w:after="200" w:line="276" w:lineRule="auto"/>
      <w:jc w:val="left"/>
      <w:outlineLvl w:val="0"/>
    </w:pPr>
    <w:rPr>
      <w:rFonts w:ascii="Arial" w:eastAsia="Arial Unicode MS" w:hAnsi="Arial"/>
      <w:color w:val="000000"/>
      <w:sz w:val="24"/>
      <w:u w:color="000000"/>
    </w:rPr>
  </w:style>
  <w:style w:type="paragraph" w:customStyle="1" w:styleId="BaseBold">
    <w:name w:val="Base Bold"/>
    <w:next w:val="Normal"/>
    <w:rsid w:val="00E56C8C"/>
    <w:pPr>
      <w:spacing w:before="0" w:after="0" w:line="200" w:lineRule="atLeast"/>
      <w:jc w:val="left"/>
    </w:pPr>
    <w:rPr>
      <w:rFonts w:ascii="Arial" w:eastAsia="Times New Roman" w:hAnsi="Arial" w:cs="Arial"/>
      <w:b/>
      <w:sz w:val="16"/>
      <w:lang w:eastAsia="en-US"/>
    </w:rPr>
  </w:style>
  <w:style w:type="paragraph" w:customStyle="1" w:styleId="SectionStart">
    <w:name w:val="Section Start"/>
    <w:basedOn w:val="Normal"/>
    <w:next w:val="Heading1"/>
    <w:rsid w:val="00E56C8C"/>
    <w:pPr>
      <w:pageBreakBefore/>
      <w:pBdr>
        <w:top w:val="single" w:sz="12" w:space="1" w:color="000000"/>
        <w:left w:val="single" w:sz="12" w:space="9" w:color="000000"/>
        <w:bottom w:val="single" w:sz="12" w:space="1" w:color="000000"/>
        <w:right w:val="single" w:sz="12" w:space="0" w:color="000000"/>
      </w:pBdr>
      <w:tabs>
        <w:tab w:val="left" w:pos="547"/>
        <w:tab w:val="num" w:pos="720"/>
      </w:tabs>
      <w:autoSpaceDE/>
      <w:autoSpaceDN/>
      <w:adjustRightInd/>
      <w:spacing w:before="1500" w:after="480" w:line="1820" w:lineRule="exact"/>
      <w:ind w:left="720" w:right="6840" w:hanging="720"/>
      <w:jc w:val="left"/>
    </w:pPr>
    <w:rPr>
      <w:rFonts w:ascii="Arial Black" w:eastAsia="Times New Roman" w:hAnsi="Arial Black" w:cs="Times New Roman"/>
      <w:noProof/>
      <w:position w:val="-18"/>
      <w:sz w:val="48"/>
      <w:szCs w:val="20"/>
      <w:lang w:eastAsia="en-GB"/>
    </w:rPr>
  </w:style>
  <w:style w:type="character" w:customStyle="1" w:styleId="NormalSingleChar">
    <w:name w:val="Normal Single Char"/>
    <w:basedOn w:val="DefaultParagraphFont"/>
    <w:link w:val="NormalSingle"/>
    <w:rsid w:val="00E56C8C"/>
    <w:rPr>
      <w:rFonts w:ascii="Arial" w:hAnsi="Arial"/>
      <w:color w:val="000000"/>
    </w:rPr>
  </w:style>
  <w:style w:type="paragraph" w:customStyle="1" w:styleId="NormalSingle">
    <w:name w:val="Normal Single"/>
    <w:basedOn w:val="Normal"/>
    <w:link w:val="NormalSingleChar"/>
    <w:rsid w:val="00E56C8C"/>
    <w:pPr>
      <w:autoSpaceDE/>
      <w:autoSpaceDN/>
      <w:adjustRightInd/>
      <w:spacing w:before="0" w:after="0"/>
      <w:jc w:val="left"/>
    </w:pPr>
    <w:rPr>
      <w:rFonts w:eastAsia="Cambria" w:cs="Times New Roman"/>
      <w:sz w:val="20"/>
      <w:szCs w:val="20"/>
      <w:lang w:eastAsia="en-GB"/>
    </w:rPr>
  </w:style>
  <w:style w:type="paragraph" w:customStyle="1" w:styleId="AppendixHeading">
    <w:name w:val="Appendix Heading"/>
    <w:basedOn w:val="Heading1"/>
    <w:next w:val="Normal"/>
    <w:rsid w:val="00E56C8C"/>
    <w:pPr>
      <w:keepNext/>
      <w:tabs>
        <w:tab w:val="num" w:pos="0"/>
      </w:tabs>
      <w:autoSpaceDE/>
      <w:autoSpaceDN/>
      <w:adjustRightInd/>
      <w:spacing w:before="60" w:after="240"/>
      <w:jc w:val="left"/>
    </w:pPr>
    <w:rPr>
      <w:rFonts w:ascii="Arial Black" w:hAnsi="Arial Black" w:cs="Times New Roman"/>
      <w:b w:val="0"/>
      <w:bCs w:val="0"/>
      <w:color w:val="000000"/>
      <w:sz w:val="28"/>
      <w:szCs w:val="20"/>
      <w:lang w:eastAsia="en-GB"/>
    </w:rPr>
  </w:style>
  <w:style w:type="paragraph" w:customStyle="1" w:styleId="Pa0">
    <w:name w:val="Pa0"/>
    <w:basedOn w:val="Default"/>
    <w:next w:val="Default"/>
    <w:uiPriority w:val="99"/>
    <w:rsid w:val="00E56C8C"/>
    <w:pPr>
      <w:spacing w:before="0" w:after="0" w:line="241" w:lineRule="atLeast"/>
      <w:jc w:val="left"/>
    </w:pPr>
    <w:rPr>
      <w:rFonts w:ascii="Swiss 72 1 BT" w:eastAsiaTheme="minorHAnsi" w:hAnsi="Swiss 72 1 BT" w:cstheme="minorBidi"/>
      <w:color w:val="auto"/>
      <w:lang w:eastAsia="en-US"/>
    </w:rPr>
  </w:style>
  <w:style w:type="character" w:styleId="CommentReference">
    <w:name w:val="annotation reference"/>
    <w:basedOn w:val="DefaultParagraphFont"/>
    <w:uiPriority w:val="99"/>
    <w:semiHidden/>
    <w:unhideWhenUsed/>
    <w:rsid w:val="00DD32F5"/>
    <w:rPr>
      <w:sz w:val="16"/>
      <w:szCs w:val="16"/>
    </w:rPr>
  </w:style>
  <w:style w:type="paragraph" w:customStyle="1" w:styleId="bullets0">
    <w:name w:val="bullets"/>
    <w:basedOn w:val="Normal"/>
    <w:rsid w:val="00566130"/>
    <w:pPr>
      <w:autoSpaceDE/>
      <w:autoSpaceDN/>
      <w:adjustRightInd/>
      <w:spacing w:before="0" w:after="100" w:afterAutospacing="1"/>
      <w:jc w:val="left"/>
    </w:pPr>
    <w:rPr>
      <w:rFonts w:ascii="Verdana" w:eastAsia="Times New Roman" w:hAnsi="Verdana" w:cs="Times New Roman"/>
      <w:sz w:val="18"/>
      <w:szCs w:val="18"/>
      <w:lang w:eastAsia="en-GB"/>
    </w:rPr>
  </w:style>
  <w:style w:type="paragraph" w:customStyle="1" w:styleId="bodyindent0">
    <w:name w:val="bodyindent"/>
    <w:basedOn w:val="Normal"/>
    <w:rsid w:val="00566130"/>
    <w:pPr>
      <w:autoSpaceDE/>
      <w:autoSpaceDN/>
      <w:adjustRightInd/>
      <w:spacing w:before="100" w:beforeAutospacing="1" w:after="100" w:afterAutospacing="1"/>
      <w:jc w:val="left"/>
    </w:pPr>
    <w:rPr>
      <w:rFonts w:ascii="Verdana" w:eastAsia="Times New Roman" w:hAnsi="Verdana" w:cs="Times New Roman"/>
      <w:sz w:val="18"/>
      <w:szCs w:val="18"/>
      <w:lang w:eastAsia="en-GB"/>
    </w:rPr>
  </w:style>
  <w:style w:type="character" w:customStyle="1" w:styleId="italic1">
    <w:name w:val="italic1"/>
    <w:basedOn w:val="DefaultParagraphFont"/>
    <w:rsid w:val="00566130"/>
    <w:rPr>
      <w:i/>
      <w:iCs/>
    </w:rPr>
  </w:style>
  <w:style w:type="character" w:customStyle="1" w:styleId="footnoteref1">
    <w:name w:val="footnoteref1"/>
    <w:basedOn w:val="DefaultParagraphFont"/>
    <w:rsid w:val="00566130"/>
    <w:rPr>
      <w:b w:val="0"/>
      <w:bCs w:val="0"/>
      <w:sz w:val="14"/>
      <w:szCs w:val="14"/>
      <w:u w:val="single"/>
    </w:rPr>
  </w:style>
  <w:style w:type="paragraph" w:customStyle="1" w:styleId="BodyText20">
    <w:name w:val="Body Text2"/>
    <w:basedOn w:val="Normal"/>
    <w:rsid w:val="00144349"/>
    <w:pPr>
      <w:keepLines/>
      <w:autoSpaceDE/>
      <w:autoSpaceDN/>
      <w:adjustRightInd/>
      <w:spacing w:before="140" w:after="140"/>
    </w:pPr>
    <w:rPr>
      <w:rFonts w:eastAsia="Times New Roman" w:cs="Times New Roman"/>
      <w:color w:val="auto"/>
      <w:lang w:eastAsia="en-GB"/>
    </w:rPr>
  </w:style>
  <w:style w:type="table" w:customStyle="1" w:styleId="TableGrid1">
    <w:name w:val="Table Grid1"/>
    <w:basedOn w:val="TableNormal"/>
    <w:next w:val="TableGrid"/>
    <w:rsid w:val="00144349"/>
    <w:pPr>
      <w:spacing w:before="0" w:after="0"/>
      <w:jc w:val="lef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
    <w:name w:val="dash"/>
    <w:basedOn w:val="Normal"/>
    <w:rsid w:val="00876DEC"/>
    <w:pPr>
      <w:autoSpaceDE/>
      <w:autoSpaceDN/>
      <w:adjustRightInd/>
      <w:spacing w:before="100" w:beforeAutospacing="1" w:after="100" w:afterAutospacing="1"/>
      <w:jc w:val="left"/>
    </w:pPr>
    <w:rPr>
      <w:rFonts w:ascii="Verdana" w:eastAsia="Times New Roman" w:hAnsi="Verdana" w:cs="Times New Roman"/>
      <w:sz w:val="18"/>
      <w:szCs w:val="18"/>
      <w:lang w:eastAsia="en-GB"/>
    </w:rPr>
  </w:style>
  <w:style w:type="character" w:customStyle="1" w:styleId="green1">
    <w:name w:val="green1"/>
    <w:basedOn w:val="DefaultParagraphFont"/>
    <w:rsid w:val="00103C5F"/>
    <w:rPr>
      <w:color w:val="5AAE41"/>
    </w:rPr>
  </w:style>
  <w:style w:type="paragraph" w:customStyle="1" w:styleId="default0">
    <w:name w:val="default"/>
    <w:basedOn w:val="Normal"/>
    <w:rsid w:val="00130A49"/>
    <w:pPr>
      <w:adjustRightInd/>
      <w:spacing w:after="20"/>
      <w:jc w:val="right"/>
    </w:pPr>
    <w:rPr>
      <w:rFonts w:ascii="Gill Sans MT Pro Medium" w:eastAsiaTheme="minorHAnsi" w:hAnsi="Gill Sans MT Pro Medium" w:cs="Times New Roman"/>
      <w:lang w:eastAsia="en-GB"/>
    </w:rPr>
  </w:style>
  <w:style w:type="character" w:customStyle="1" w:styleId="ListParagraphChar">
    <w:name w:val="List Paragraph Char"/>
    <w:link w:val="ListParagraph"/>
    <w:uiPriority w:val="34"/>
    <w:locked/>
    <w:rsid w:val="00F265DF"/>
    <w:rPr>
      <w:rFonts w:ascii="Arial" w:eastAsia="Calibri" w:hAnsi="Arial" w:cs="Helvetica-Light"/>
      <w:color w:val="000000"/>
      <w:sz w:val="24"/>
      <w:szCs w:val="24"/>
      <w:lang w:eastAsia="en-US"/>
    </w:rPr>
  </w:style>
  <w:style w:type="paragraph" w:customStyle="1" w:styleId="Pa314">
    <w:name w:val="Pa3+14"/>
    <w:basedOn w:val="Normal"/>
    <w:next w:val="Normal"/>
    <w:rsid w:val="002359B6"/>
    <w:pPr>
      <w:spacing w:before="0" w:after="0" w:line="181" w:lineRule="atLeast"/>
      <w:jc w:val="left"/>
    </w:pPr>
    <w:rPr>
      <w:rFonts w:ascii="Vodafone Lt" w:eastAsia="Times New Roman" w:hAnsi="Vodafone Lt" w:cs="Times New Roman"/>
      <w:color w:val="auto"/>
      <w:lang w:eastAsia="en-GB"/>
    </w:rPr>
  </w:style>
  <w:style w:type="table" w:customStyle="1" w:styleId="ColorfulList1">
    <w:name w:val="Colorful List1"/>
    <w:basedOn w:val="TableNormal"/>
    <w:uiPriority w:val="72"/>
    <w:rsid w:val="00274914"/>
    <w:pPr>
      <w:spacing w:before="0" w:after="0"/>
      <w:jc w:val="left"/>
    </w:pPr>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ubject">
    <w:name w:val="Subject"/>
    <w:basedOn w:val="Normal"/>
    <w:rsid w:val="00274914"/>
    <w:pPr>
      <w:overflowPunct w:val="0"/>
      <w:spacing w:before="0" w:after="0"/>
      <w:ind w:right="301"/>
      <w:jc w:val="left"/>
      <w:textAlignment w:val="baseline"/>
    </w:pPr>
    <w:rPr>
      <w:rFonts w:ascii="Times New Roman" w:eastAsia="Times New Roman" w:hAnsi="Times New Roman" w:cs="Times New Roman"/>
      <w:b/>
      <w:color w:val="auto"/>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pPr>
        <w:spacing w:before="20" w:after="2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List 4" w:uiPriority="0"/>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B6E"/>
    <w:pPr>
      <w:autoSpaceDE w:val="0"/>
      <w:autoSpaceDN w:val="0"/>
      <w:adjustRightInd w:val="0"/>
      <w:spacing w:after="120"/>
      <w:jc w:val="both"/>
    </w:pPr>
    <w:rPr>
      <w:rFonts w:ascii="Arial" w:eastAsia="Calibri" w:hAnsi="Arial" w:cs="Helvetica-Light"/>
      <w:color w:val="000000"/>
      <w:sz w:val="24"/>
      <w:szCs w:val="24"/>
      <w:lang w:eastAsia="en-US"/>
    </w:rPr>
  </w:style>
  <w:style w:type="paragraph" w:styleId="Heading1">
    <w:name w:val="heading 1"/>
    <w:basedOn w:val="Normal"/>
    <w:next w:val="Normal"/>
    <w:link w:val="Heading1Char"/>
    <w:qFormat/>
    <w:rsid w:val="00EA41E9"/>
    <w:pPr>
      <w:spacing w:before="120"/>
      <w:outlineLvl w:val="0"/>
    </w:pPr>
    <w:rPr>
      <w:rFonts w:ascii="Corbel" w:eastAsia="Times New Roman" w:hAnsi="Corbel"/>
      <w:b/>
      <w:bCs/>
      <w:color w:val="auto"/>
      <w:sz w:val="40"/>
      <w:szCs w:val="28"/>
    </w:rPr>
  </w:style>
  <w:style w:type="paragraph" w:styleId="Heading2">
    <w:name w:val="heading 2"/>
    <w:basedOn w:val="Normal"/>
    <w:next w:val="Normal"/>
    <w:link w:val="Heading2Char"/>
    <w:unhideWhenUsed/>
    <w:qFormat/>
    <w:rsid w:val="00B801DA"/>
    <w:pPr>
      <w:keepNext/>
      <w:spacing w:before="60"/>
      <w:outlineLvl w:val="1"/>
    </w:pPr>
    <w:rPr>
      <w:rFonts w:ascii="Corbel" w:eastAsia="Times New Roman" w:hAnsi="Corbel"/>
      <w:b/>
      <w:bCs/>
      <w:color w:val="D31145"/>
      <w:sz w:val="32"/>
      <w:szCs w:val="26"/>
    </w:rPr>
  </w:style>
  <w:style w:type="paragraph" w:styleId="Heading3">
    <w:name w:val="heading 3"/>
    <w:basedOn w:val="Normal"/>
    <w:next w:val="Normal"/>
    <w:link w:val="Heading3Char"/>
    <w:unhideWhenUsed/>
    <w:qFormat/>
    <w:rsid w:val="00EA41E9"/>
    <w:pPr>
      <w:keepNext/>
      <w:keepLines/>
      <w:spacing w:before="60"/>
      <w:outlineLvl w:val="2"/>
    </w:pPr>
    <w:rPr>
      <w:rFonts w:ascii="Corbel" w:eastAsia="Times New Roman" w:hAnsi="Corbel" w:cs="Times New Roman"/>
      <w:b/>
      <w:bCs/>
      <w:i/>
      <w:color w:val="auto"/>
      <w:sz w:val="28"/>
      <w:szCs w:val="28"/>
    </w:rPr>
  </w:style>
  <w:style w:type="paragraph" w:styleId="Heading4">
    <w:name w:val="heading 4"/>
    <w:basedOn w:val="Normal"/>
    <w:next w:val="Normal"/>
    <w:link w:val="Heading4Char"/>
    <w:qFormat/>
    <w:rsid w:val="008C3748"/>
    <w:pPr>
      <w:keepNext/>
      <w:numPr>
        <w:numId w:val="36"/>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5B89"/>
    <w:rPr>
      <w:rFonts w:ascii="Corbel" w:eastAsia="Times New Roman" w:hAnsi="Corbel"/>
      <w:b/>
      <w:bCs/>
      <w:sz w:val="40"/>
      <w:szCs w:val="28"/>
      <w:lang w:eastAsia="en-US"/>
    </w:rPr>
  </w:style>
  <w:style w:type="character" w:customStyle="1" w:styleId="Heading2Char">
    <w:name w:val="Heading 2 Char"/>
    <w:basedOn w:val="DefaultParagraphFont"/>
    <w:link w:val="Heading2"/>
    <w:rsid w:val="00B801DA"/>
    <w:rPr>
      <w:rFonts w:ascii="Corbel" w:eastAsia="Times New Roman" w:hAnsi="Corbel"/>
      <w:b/>
      <w:bCs/>
      <w:color w:val="D31145"/>
      <w:sz w:val="32"/>
      <w:szCs w:val="26"/>
      <w:lang w:eastAsia="en-US"/>
    </w:rPr>
  </w:style>
  <w:style w:type="character" w:customStyle="1" w:styleId="Heading3Char">
    <w:name w:val="Heading 3 Char"/>
    <w:basedOn w:val="DefaultParagraphFont"/>
    <w:link w:val="Heading3"/>
    <w:rsid w:val="00275B89"/>
    <w:rPr>
      <w:rFonts w:ascii="Corbel" w:eastAsia="Times New Roman" w:hAnsi="Corbel" w:cs="Times New Roman"/>
      <w:b/>
      <w:bCs/>
      <w:i/>
      <w:sz w:val="28"/>
      <w:szCs w:val="28"/>
      <w:lang w:eastAsia="en-US"/>
    </w:rPr>
  </w:style>
  <w:style w:type="character" w:customStyle="1" w:styleId="Heading4Char">
    <w:name w:val="Heading 4 Char"/>
    <w:basedOn w:val="DefaultParagraphFont"/>
    <w:link w:val="Heading4"/>
    <w:rsid w:val="008C3748"/>
    <w:rPr>
      <w:rFonts w:ascii="Arial" w:eastAsia="Times New Roman" w:hAnsi="Arial" w:cs="Arial"/>
      <w:b/>
      <w:bCs/>
      <w:sz w:val="22"/>
      <w:szCs w:val="22"/>
    </w:rPr>
  </w:style>
  <w:style w:type="character" w:customStyle="1" w:styleId="Heading5Char">
    <w:name w:val="Heading 5 Char"/>
    <w:basedOn w:val="DefaultParagraphFont"/>
    <w:link w:val="Heading5"/>
    <w:rsid w:val="00AB4059"/>
    <w:rPr>
      <w:rFonts w:ascii="Arial" w:eastAsia="Times New Roman" w:hAnsi="Arial" w:cs="Arial"/>
      <w:b/>
      <w:bCs/>
      <w:i/>
      <w:iCs/>
      <w:sz w:val="26"/>
      <w:szCs w:val="26"/>
    </w:rPr>
  </w:style>
  <w:style w:type="character" w:customStyle="1" w:styleId="Heading6Char">
    <w:name w:val="Heading 6 Char"/>
    <w:basedOn w:val="DefaultParagraphFont"/>
    <w:link w:val="Heading6"/>
    <w:rsid w:val="00AB4059"/>
    <w:rPr>
      <w:rFonts w:ascii="Arial" w:eastAsia="Times New Roman" w:hAnsi="Arial"/>
      <w:b/>
      <w:sz w:val="24"/>
      <w:shd w:val="pct10" w:color="auto" w:fill="auto"/>
    </w:rPr>
  </w:style>
  <w:style w:type="character" w:customStyle="1" w:styleId="Heading7Char">
    <w:name w:val="Heading 7 Char"/>
    <w:basedOn w:val="DefaultParagraphFont"/>
    <w:link w:val="Heading7"/>
    <w:rsid w:val="00AB4059"/>
    <w:rPr>
      <w:rFonts w:ascii="Arial" w:eastAsia="Times New Roman" w:hAnsi="Arial"/>
      <w:b/>
      <w:sz w:val="24"/>
    </w:rPr>
  </w:style>
  <w:style w:type="character" w:customStyle="1" w:styleId="Heading8Char">
    <w:name w:val="Heading 8 Char"/>
    <w:basedOn w:val="DefaultParagraphFont"/>
    <w:link w:val="Heading8"/>
    <w:rsid w:val="00AB4059"/>
    <w:rPr>
      <w:rFonts w:ascii="Times New Roman" w:eastAsia="Times New Roman" w:hAnsi="Times New Roman"/>
      <w:i/>
      <w:iCs/>
      <w:sz w:val="24"/>
      <w:szCs w:val="24"/>
    </w:rPr>
  </w:style>
  <w:style w:type="character" w:customStyle="1" w:styleId="Heading9Char">
    <w:name w:val="Heading 9 Char"/>
    <w:basedOn w:val="DefaultParagraphFont"/>
    <w:link w:val="Heading9"/>
    <w:rsid w:val="00AB4059"/>
    <w:rPr>
      <w:rFonts w:ascii="Arial" w:eastAsia="Times New Roman" w:hAnsi="Arial"/>
      <w:b/>
      <w:i/>
      <w:snapToGrid w:val="0"/>
      <w:sz w:val="24"/>
      <w:lang w:eastAsia="en-US"/>
    </w:rPr>
  </w:style>
  <w:style w:type="paragraph" w:styleId="Header">
    <w:name w:val="header"/>
    <w:basedOn w:val="Normal"/>
    <w:link w:val="HeaderChar"/>
    <w:unhideWhenUsed/>
    <w:rsid w:val="00565DF7"/>
    <w:pPr>
      <w:tabs>
        <w:tab w:val="center" w:pos="4320"/>
        <w:tab w:val="right" w:pos="8640"/>
      </w:tabs>
      <w:spacing w:after="0"/>
    </w:pPr>
  </w:style>
  <w:style w:type="character" w:customStyle="1" w:styleId="HeaderChar">
    <w:name w:val="Header Char"/>
    <w:basedOn w:val="DefaultParagraphFont"/>
    <w:link w:val="Header"/>
    <w:rsid w:val="00565DF7"/>
    <w:rPr>
      <w:color w:val="000000"/>
    </w:rPr>
  </w:style>
  <w:style w:type="paragraph" w:styleId="Footer">
    <w:name w:val="footer"/>
    <w:basedOn w:val="Normal"/>
    <w:link w:val="FooterChar"/>
    <w:uiPriority w:val="99"/>
    <w:unhideWhenUsed/>
    <w:rsid w:val="00565DF7"/>
    <w:pPr>
      <w:tabs>
        <w:tab w:val="center" w:pos="4320"/>
        <w:tab w:val="right" w:pos="8640"/>
      </w:tabs>
      <w:spacing w:after="0"/>
    </w:pPr>
  </w:style>
  <w:style w:type="character" w:customStyle="1" w:styleId="FooterChar">
    <w:name w:val="Footer Char"/>
    <w:basedOn w:val="DefaultParagraphFont"/>
    <w:link w:val="Footer"/>
    <w:uiPriority w:val="99"/>
    <w:rsid w:val="00DB11EF"/>
    <w:rPr>
      <w:rFonts w:ascii="Arial" w:hAnsi="Arial"/>
      <w:color w:val="000000"/>
      <w:sz w:val="24"/>
      <w:szCs w:val="24"/>
      <w:lang w:eastAsia="en-US"/>
    </w:rPr>
  </w:style>
  <w:style w:type="paragraph" w:styleId="ListParagraph">
    <w:name w:val="List Paragraph"/>
    <w:basedOn w:val="Normal"/>
    <w:link w:val="ListParagraphChar"/>
    <w:uiPriority w:val="34"/>
    <w:unhideWhenUsed/>
    <w:qFormat/>
    <w:rsid w:val="006573DF"/>
    <w:pPr>
      <w:ind w:left="720"/>
      <w:contextualSpacing/>
    </w:pPr>
  </w:style>
  <w:style w:type="paragraph" w:styleId="Title">
    <w:name w:val="Title"/>
    <w:aliases w:val="Title1"/>
    <w:basedOn w:val="Normal"/>
    <w:next w:val="Normal"/>
    <w:link w:val="TitleChar"/>
    <w:qFormat/>
    <w:rsid w:val="00533982"/>
    <w:pPr>
      <w:spacing w:after="240"/>
      <w:contextualSpacing/>
    </w:pPr>
    <w:rPr>
      <w:rFonts w:ascii="Corbel" w:eastAsia="Times New Roman" w:hAnsi="Corbel"/>
      <w:color w:val="auto"/>
      <w:spacing w:val="5"/>
      <w:kern w:val="28"/>
      <w:sz w:val="96"/>
      <w:szCs w:val="52"/>
    </w:rPr>
  </w:style>
  <w:style w:type="character" w:customStyle="1" w:styleId="TitleChar">
    <w:name w:val="Title Char"/>
    <w:aliases w:val="Title1 Char"/>
    <w:basedOn w:val="DefaultParagraphFont"/>
    <w:link w:val="Title"/>
    <w:rsid w:val="00533982"/>
    <w:rPr>
      <w:rFonts w:ascii="Corbel" w:eastAsia="Times New Roman" w:hAnsi="Corbel"/>
      <w:spacing w:val="5"/>
      <w:kern w:val="28"/>
      <w:sz w:val="96"/>
      <w:szCs w:val="52"/>
      <w:lang w:eastAsia="en-US"/>
    </w:rPr>
  </w:style>
  <w:style w:type="paragraph" w:styleId="BalloonText">
    <w:name w:val="Balloon Text"/>
    <w:basedOn w:val="Normal"/>
    <w:link w:val="BalloonTextChar"/>
    <w:semiHidden/>
    <w:unhideWhenUsed/>
    <w:rsid w:val="009D6EA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D6EAC"/>
    <w:rPr>
      <w:rFonts w:ascii="Tahoma" w:hAnsi="Tahoma" w:cs="Tahoma"/>
      <w:color w:val="000000"/>
      <w:sz w:val="16"/>
      <w:szCs w:val="16"/>
    </w:rPr>
  </w:style>
  <w:style w:type="paragraph" w:customStyle="1" w:styleId="BodyText1">
    <w:name w:val="Body Text 1"/>
    <w:basedOn w:val="Normal"/>
    <w:link w:val="BodyText1Char"/>
    <w:qFormat/>
    <w:rsid w:val="00EA41E9"/>
    <w:pPr>
      <w:spacing w:before="60"/>
    </w:pPr>
    <w:rPr>
      <w:szCs w:val="28"/>
    </w:rPr>
  </w:style>
  <w:style w:type="character" w:customStyle="1" w:styleId="BodyText1Char">
    <w:name w:val="Body Text 1 Char"/>
    <w:basedOn w:val="DefaultParagraphFont"/>
    <w:link w:val="BodyText1"/>
    <w:rsid w:val="00267E3B"/>
    <w:rPr>
      <w:rFonts w:ascii="Arial" w:hAnsi="Arial"/>
      <w:color w:val="000000"/>
      <w:sz w:val="24"/>
      <w:szCs w:val="28"/>
      <w:lang w:eastAsia="en-US"/>
    </w:rPr>
  </w:style>
  <w:style w:type="character" w:styleId="PlaceholderText">
    <w:name w:val="Placeholder Text"/>
    <w:basedOn w:val="DefaultParagraphFont"/>
    <w:uiPriority w:val="99"/>
    <w:semiHidden/>
    <w:rsid w:val="00D80B89"/>
    <w:rPr>
      <w:color w:val="808080"/>
    </w:rPr>
  </w:style>
  <w:style w:type="paragraph" w:styleId="BodyText">
    <w:name w:val="Body Text"/>
    <w:basedOn w:val="Normal"/>
    <w:link w:val="BodyTextChar"/>
    <w:uiPriority w:val="99"/>
    <w:unhideWhenUsed/>
    <w:rsid w:val="000701AB"/>
    <w:pPr>
      <w:spacing w:after="0"/>
      <w:jc w:val="right"/>
    </w:pPr>
    <w:rPr>
      <w:rFonts w:ascii="Houschka Rounded Bold" w:eastAsia="Times New Roman" w:hAnsi="Houschka Rounded Bold"/>
      <w:b/>
      <w:color w:val="008040"/>
      <w:sz w:val="96"/>
    </w:rPr>
  </w:style>
  <w:style w:type="character" w:customStyle="1" w:styleId="BodyTextChar">
    <w:name w:val="Body Text Char"/>
    <w:basedOn w:val="DefaultParagraphFont"/>
    <w:link w:val="BodyText"/>
    <w:uiPriority w:val="99"/>
    <w:rsid w:val="00DB11EF"/>
    <w:rPr>
      <w:rFonts w:ascii="Houschka Rounded Bold" w:eastAsia="Times New Roman" w:hAnsi="Houschka Rounded Bold"/>
      <w:b/>
      <w:color w:val="008040"/>
      <w:sz w:val="96"/>
      <w:szCs w:val="24"/>
      <w:lang w:eastAsia="en-US"/>
    </w:rPr>
  </w:style>
  <w:style w:type="character" w:styleId="PageNumber">
    <w:name w:val="page number"/>
    <w:basedOn w:val="DefaultParagraphFont"/>
    <w:rsid w:val="000701AB"/>
    <w:rPr>
      <w:rFonts w:cs="Times New Roman"/>
    </w:rPr>
  </w:style>
  <w:style w:type="table" w:styleId="TableGrid">
    <w:name w:val="Table Grid"/>
    <w:basedOn w:val="TableNormal"/>
    <w:rsid w:val="00EA41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ListParagraph"/>
    <w:qFormat/>
    <w:rsid w:val="005802F2"/>
    <w:pPr>
      <w:numPr>
        <w:numId w:val="1"/>
      </w:numPr>
    </w:pPr>
    <w:rPr>
      <w:rFonts w:cs="Arial"/>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nhideWhenUsed/>
    <w:rsid w:val="00EA41E9"/>
    <w:pPr>
      <w:spacing w:after="0"/>
    </w:pPr>
    <w:rPr>
      <w:sz w:val="20"/>
      <w:szCs w:val="20"/>
    </w:rPr>
  </w:style>
  <w:style w:type="character" w:customStyle="1" w:styleId="FootnoteTextChar">
    <w:name w:val="Footnote Text Char"/>
    <w:basedOn w:val="DefaultParagraphFont"/>
    <w:link w:val="FootnoteText"/>
    <w:uiPriority w:val="99"/>
    <w:semiHidden/>
    <w:rsid w:val="00EA41E9"/>
    <w:rPr>
      <w:rFonts w:ascii="Arial" w:hAnsi="Arial"/>
      <w:color w:val="000000"/>
      <w:lang w:eastAsia="en-US"/>
    </w:rPr>
  </w:style>
  <w:style w:type="paragraph" w:customStyle="1" w:styleId="TableDataLeft">
    <w:name w:val="Table Data Left"/>
    <w:basedOn w:val="BodyText1"/>
    <w:qFormat/>
    <w:rsid w:val="00352C6F"/>
    <w:pPr>
      <w:spacing w:before="20" w:after="20"/>
      <w:jc w:val="left"/>
    </w:pPr>
    <w:rPr>
      <w:sz w:val="22"/>
      <w:szCs w:val="22"/>
    </w:rPr>
  </w:style>
  <w:style w:type="paragraph" w:customStyle="1" w:styleId="TableDataRight">
    <w:name w:val="Table Data Right"/>
    <w:basedOn w:val="BodyText1"/>
    <w:qFormat/>
    <w:rsid w:val="00EA41E9"/>
    <w:pPr>
      <w:jc w:val="right"/>
    </w:pPr>
    <w:rPr>
      <w:sz w:val="22"/>
      <w:szCs w:val="22"/>
    </w:rPr>
  </w:style>
  <w:style w:type="paragraph" w:customStyle="1" w:styleId="TableHeadLeft">
    <w:name w:val="Table Head Left"/>
    <w:basedOn w:val="BodyText1"/>
    <w:qFormat/>
    <w:rsid w:val="00EA41E9"/>
    <w:rPr>
      <w:b/>
      <w:sz w:val="22"/>
      <w:szCs w:val="22"/>
    </w:rPr>
  </w:style>
  <w:style w:type="paragraph" w:customStyle="1" w:styleId="TableHeadRight">
    <w:name w:val="Table Head Right"/>
    <w:basedOn w:val="BodyText1"/>
    <w:qFormat/>
    <w:rsid w:val="00EA41E9"/>
    <w:pPr>
      <w:jc w:val="right"/>
    </w:pPr>
    <w:rPr>
      <w:b/>
      <w:sz w:val="22"/>
      <w:szCs w:val="22"/>
    </w:rPr>
  </w:style>
  <w:style w:type="paragraph" w:customStyle="1" w:styleId="TableSource">
    <w:name w:val="Table Source"/>
    <w:basedOn w:val="BodyText1"/>
    <w:qFormat/>
    <w:rsid w:val="00EA41E9"/>
    <w:rPr>
      <w:i/>
      <w:sz w:val="18"/>
      <w:szCs w:val="18"/>
    </w:rPr>
  </w:style>
  <w:style w:type="paragraph" w:customStyle="1" w:styleId="TableTitle">
    <w:name w:val="Table Title"/>
    <w:basedOn w:val="BodyText1"/>
    <w:qFormat/>
    <w:rsid w:val="00EA41E9"/>
    <w:rPr>
      <w:rFonts w:ascii="Corbel" w:hAnsi="Corbel"/>
      <w:b/>
      <w:sz w:val="28"/>
    </w:rPr>
  </w:style>
  <w:style w:type="paragraph" w:styleId="TOC2">
    <w:name w:val="toc 2"/>
    <w:basedOn w:val="TOC3"/>
    <w:next w:val="Normal"/>
    <w:uiPriority w:val="39"/>
    <w:unhideWhenUsed/>
    <w:qFormat/>
    <w:rsid w:val="00E33FA3"/>
    <w:pPr>
      <w:ind w:left="720"/>
      <w:outlineLvl w:val="0"/>
    </w:pPr>
    <w:rPr>
      <w:i w:val="0"/>
    </w:rPr>
  </w:style>
  <w:style w:type="paragraph" w:styleId="TOC3">
    <w:name w:val="toc 3"/>
    <w:next w:val="Normal"/>
    <w:uiPriority w:val="39"/>
    <w:unhideWhenUsed/>
    <w:qFormat/>
    <w:rsid w:val="00E33FA3"/>
    <w:pPr>
      <w:tabs>
        <w:tab w:val="right" w:leader="dot" w:pos="8302"/>
      </w:tabs>
      <w:ind w:left="1440"/>
    </w:pPr>
    <w:rPr>
      <w:rFonts w:ascii="Arial" w:hAnsi="Arial" w:cs="Arial"/>
      <w:i/>
      <w:color w:val="000000"/>
      <w:sz w:val="24"/>
      <w:szCs w:val="24"/>
      <w:lang w:eastAsia="en-US"/>
    </w:rPr>
  </w:style>
  <w:style w:type="paragraph" w:styleId="TOC1">
    <w:name w:val="toc 1"/>
    <w:basedOn w:val="Normal"/>
    <w:next w:val="Normal"/>
    <w:uiPriority w:val="39"/>
    <w:unhideWhenUsed/>
    <w:qFormat/>
    <w:rsid w:val="00736579"/>
    <w:pPr>
      <w:tabs>
        <w:tab w:val="right" w:leader="dot" w:pos="8301"/>
      </w:tabs>
      <w:spacing w:before="120"/>
      <w:outlineLvl w:val="0"/>
    </w:pPr>
    <w:rPr>
      <w:b/>
      <w:bCs/>
      <w:szCs w:val="20"/>
    </w:rPr>
  </w:style>
  <w:style w:type="character" w:styleId="Hyperlink">
    <w:name w:val="Hyperlink"/>
    <w:basedOn w:val="DefaultParagraphFont"/>
    <w:unhideWhenUsed/>
    <w:rsid w:val="00E33FA3"/>
    <w:rPr>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533982"/>
    <w:rPr>
      <w:sz w:val="44"/>
      <w:szCs w:val="44"/>
    </w:rPr>
  </w:style>
  <w:style w:type="character" w:customStyle="1" w:styleId="Title2Char">
    <w:name w:val="Title 2 Char"/>
    <w:basedOn w:val="Heading2Char"/>
    <w:link w:val="Title2"/>
    <w:uiPriority w:val="1"/>
    <w:rsid w:val="00533982"/>
    <w:rPr>
      <w:rFonts w:ascii="Corbel" w:eastAsia="Times New Roman" w:hAnsi="Corbel"/>
      <w:b/>
      <w:bCs/>
      <w:color w:val="D31145"/>
      <w:sz w:val="44"/>
      <w:szCs w:val="44"/>
      <w:lang w:eastAsia="en-US"/>
    </w:rPr>
  </w:style>
  <w:style w:type="paragraph" w:styleId="PlainText">
    <w:name w:val="Plain Text"/>
    <w:basedOn w:val="Normal"/>
    <w:link w:val="PlainTextChar"/>
    <w:rsid w:val="00736579"/>
    <w:pPr>
      <w:spacing w:after="0"/>
    </w:pPr>
    <w:rPr>
      <w:rFonts w:ascii="Courier New" w:eastAsia="Times New Roman" w:hAnsi="Courier New" w:cs="Courier New"/>
      <w:color w:val="auto"/>
      <w:sz w:val="20"/>
      <w:szCs w:val="20"/>
      <w:lang w:eastAsia="en-GB"/>
    </w:rPr>
  </w:style>
  <w:style w:type="character" w:customStyle="1" w:styleId="PlainTextChar">
    <w:name w:val="Plain Text Char"/>
    <w:basedOn w:val="DefaultParagraphFont"/>
    <w:link w:val="PlainText"/>
    <w:rsid w:val="00736579"/>
    <w:rPr>
      <w:rFonts w:ascii="Courier New" w:eastAsia="Times New Roman" w:hAnsi="Courier New" w:cs="Courier New"/>
    </w:rPr>
  </w:style>
  <w:style w:type="paragraph" w:customStyle="1" w:styleId="Default">
    <w:name w:val="Default"/>
    <w:rsid w:val="00736579"/>
    <w:pPr>
      <w:autoSpaceDE w:val="0"/>
      <w:autoSpaceDN w:val="0"/>
      <w:adjustRightInd w:val="0"/>
    </w:pPr>
    <w:rPr>
      <w:rFonts w:ascii="Gill Sans MT Pro Medium" w:eastAsia="Times New Roman" w:hAnsi="Gill Sans MT Pro Medium" w:cs="Gill Sans MT Pro Medium"/>
      <w:color w:val="000000"/>
      <w:sz w:val="24"/>
      <w:szCs w:val="24"/>
    </w:rPr>
  </w:style>
  <w:style w:type="paragraph" w:styleId="BodyText2">
    <w:name w:val="Body Text 2"/>
    <w:basedOn w:val="Normal"/>
    <w:link w:val="BodyText2Char"/>
    <w:rsid w:val="00736579"/>
    <w:pPr>
      <w:spacing w:after="0"/>
      <w:ind w:right="-180"/>
    </w:pPr>
    <w:rPr>
      <w:rFonts w:eastAsia="Times New Roman"/>
      <w:color w:val="auto"/>
      <w:szCs w:val="20"/>
      <w:lang w:eastAsia="en-GB"/>
    </w:rPr>
  </w:style>
  <w:style w:type="character" w:customStyle="1" w:styleId="BodyText2Char">
    <w:name w:val="Body Text 2 Char"/>
    <w:basedOn w:val="DefaultParagraphFont"/>
    <w:link w:val="BodyText2"/>
    <w:rsid w:val="00736579"/>
    <w:rPr>
      <w:rFonts w:ascii="Arial" w:eastAsia="Times New Roman" w:hAnsi="Arial"/>
      <w:sz w:val="24"/>
    </w:rPr>
  </w:style>
  <w:style w:type="paragraph" w:customStyle="1" w:styleId="BodyText10">
    <w:name w:val="Body Text1"/>
    <w:basedOn w:val="Normal"/>
    <w:link w:val="BodytextChar0"/>
    <w:rsid w:val="00736579"/>
    <w:pPr>
      <w:keepLines/>
      <w:spacing w:before="140" w:after="140"/>
    </w:pPr>
    <w:rPr>
      <w:rFonts w:eastAsia="Times New Roman"/>
      <w:color w:val="auto"/>
      <w:lang w:eastAsia="en-GB"/>
    </w:rPr>
  </w:style>
  <w:style w:type="character" w:customStyle="1" w:styleId="BodytextChar0">
    <w:name w:val="Body text Char"/>
    <w:basedOn w:val="DefaultParagraphFont"/>
    <w:link w:val="BodyText10"/>
    <w:rsid w:val="00736579"/>
    <w:rPr>
      <w:rFonts w:ascii="Arial" w:eastAsia="Times New Roman" w:hAnsi="Arial"/>
      <w:sz w:val="24"/>
      <w:szCs w:val="24"/>
    </w:rPr>
  </w:style>
  <w:style w:type="character" w:styleId="Strong">
    <w:name w:val="Strong"/>
    <w:basedOn w:val="DefaultParagraphFont"/>
    <w:qFormat/>
    <w:rsid w:val="00736579"/>
    <w:rPr>
      <w:b/>
      <w:bCs/>
    </w:rPr>
  </w:style>
  <w:style w:type="character" w:styleId="Emphasis">
    <w:name w:val="Emphasis"/>
    <w:basedOn w:val="DefaultParagraphFont"/>
    <w:qFormat/>
    <w:rsid w:val="00736579"/>
    <w:rPr>
      <w:i/>
      <w:iCs/>
    </w:rPr>
  </w:style>
  <w:style w:type="paragraph" w:customStyle="1" w:styleId="inlinenormal">
    <w:name w:val="inlinenormal"/>
    <w:basedOn w:val="Normal"/>
    <w:rsid w:val="00736579"/>
    <w:pPr>
      <w:spacing w:before="120" w:after="60" w:line="264" w:lineRule="auto"/>
    </w:pPr>
    <w:rPr>
      <w:rFonts w:eastAsia="Times New Roman" w:cs="Arial"/>
      <w:color w:val="auto"/>
      <w:lang w:eastAsia="en-GB"/>
    </w:rPr>
  </w:style>
  <w:style w:type="paragraph" w:customStyle="1" w:styleId="anchor">
    <w:name w:val="anchor"/>
    <w:basedOn w:val="TableDataLeft"/>
    <w:qFormat/>
    <w:rsid w:val="008D5152"/>
    <w:pPr>
      <w:spacing w:before="0" w:after="0"/>
    </w:pPr>
    <w:rPr>
      <w:b/>
      <w:color w:val="FF0000"/>
      <w:sz w:val="2"/>
      <w:szCs w:val="2"/>
    </w:rPr>
  </w:style>
  <w:style w:type="character" w:styleId="FootnoteReference">
    <w:name w:val="footnote reference"/>
    <w:basedOn w:val="DefaultParagraphFont"/>
    <w:unhideWhenUsed/>
    <w:rsid w:val="00AB4059"/>
    <w:rPr>
      <w:vertAlign w:val="superscript"/>
    </w:rPr>
  </w:style>
  <w:style w:type="paragraph" w:customStyle="1" w:styleId="Bullets">
    <w:name w:val="Bullets"/>
    <w:basedOn w:val="Normal"/>
    <w:rsid w:val="00AB4059"/>
    <w:pPr>
      <w:numPr>
        <w:numId w:val="7"/>
      </w:numPr>
      <w:tabs>
        <w:tab w:val="left" w:pos="3062"/>
      </w:tabs>
      <w:autoSpaceDE/>
      <w:autoSpaceDN/>
      <w:adjustRightInd/>
      <w:spacing w:before="30" w:after="0" w:line="264" w:lineRule="auto"/>
      <w:jc w:val="left"/>
    </w:pPr>
    <w:rPr>
      <w:rFonts w:ascii="Times" w:eastAsia="Times New Roman" w:hAnsi="Times" w:cs="Arial"/>
      <w:color w:val="auto"/>
      <w:sz w:val="21"/>
      <w:lang w:eastAsia="en-GB"/>
    </w:rPr>
  </w:style>
  <w:style w:type="paragraph" w:customStyle="1" w:styleId="Bodyindent">
    <w:name w:val="Body indent"/>
    <w:basedOn w:val="Normal"/>
    <w:rsid w:val="00AB4059"/>
    <w:pPr>
      <w:widowControl w:val="0"/>
      <w:autoSpaceDE/>
      <w:autoSpaceDN/>
      <w:adjustRightInd/>
      <w:spacing w:before="140" w:after="0" w:line="290" w:lineRule="atLeast"/>
      <w:ind w:left="680"/>
      <w:jc w:val="left"/>
    </w:pPr>
    <w:rPr>
      <w:rFonts w:ascii="Sabon" w:eastAsia="Times New Roman" w:hAnsi="Sabon" w:cs="Times New Roman"/>
      <w:sz w:val="21"/>
      <w:szCs w:val="20"/>
      <w:lang w:val="en-US"/>
    </w:rPr>
  </w:style>
  <w:style w:type="character" w:styleId="FollowedHyperlink">
    <w:name w:val="FollowedHyperlink"/>
    <w:basedOn w:val="DefaultParagraphFont"/>
    <w:rsid w:val="00AB4059"/>
    <w:rPr>
      <w:color w:val="800080"/>
      <w:u w:val="single"/>
    </w:rPr>
  </w:style>
  <w:style w:type="paragraph" w:styleId="BlockText">
    <w:name w:val="Block Text"/>
    <w:basedOn w:val="Normal"/>
    <w:rsid w:val="00AB4059"/>
    <w:pPr>
      <w:shd w:val="pct10" w:color="auto" w:fill="auto"/>
      <w:autoSpaceDE/>
      <w:autoSpaceDN/>
      <w:adjustRightInd/>
      <w:spacing w:after="0"/>
      <w:ind w:left="2880" w:right="3123"/>
      <w:jc w:val="left"/>
    </w:pPr>
    <w:rPr>
      <w:rFonts w:eastAsia="Times New Roman" w:cs="Times New Roman"/>
      <w:color w:val="auto"/>
      <w:szCs w:val="20"/>
      <w:lang w:eastAsia="en-GB"/>
    </w:rPr>
  </w:style>
  <w:style w:type="paragraph" w:styleId="BodyTextIndent3">
    <w:name w:val="Body Text Indent 3"/>
    <w:basedOn w:val="Normal"/>
    <w:link w:val="BodyTextIndent3Char"/>
    <w:rsid w:val="00AB4059"/>
    <w:pPr>
      <w:tabs>
        <w:tab w:val="left" w:pos="360"/>
      </w:tabs>
      <w:autoSpaceDE/>
      <w:autoSpaceDN/>
      <w:adjustRightInd/>
      <w:spacing w:after="0"/>
      <w:ind w:left="360"/>
      <w:jc w:val="left"/>
    </w:pPr>
    <w:rPr>
      <w:rFonts w:eastAsia="Times New Roman" w:cs="Times New Roman"/>
      <w:color w:val="auto"/>
      <w:szCs w:val="20"/>
      <w:lang w:eastAsia="en-GB"/>
    </w:rPr>
  </w:style>
  <w:style w:type="character" w:customStyle="1" w:styleId="BodyTextIndent3Char">
    <w:name w:val="Body Text Indent 3 Char"/>
    <w:basedOn w:val="DefaultParagraphFont"/>
    <w:link w:val="BodyTextIndent3"/>
    <w:rsid w:val="00AB4059"/>
    <w:rPr>
      <w:rFonts w:ascii="Arial" w:eastAsia="Times New Roman" w:hAnsi="Arial"/>
      <w:sz w:val="24"/>
    </w:rPr>
  </w:style>
  <w:style w:type="paragraph" w:styleId="BodyText3">
    <w:name w:val="Body Text 3"/>
    <w:basedOn w:val="Normal"/>
    <w:link w:val="BodyText3Char"/>
    <w:rsid w:val="00AB4059"/>
    <w:pPr>
      <w:autoSpaceDE/>
      <w:autoSpaceDN/>
      <w:adjustRightInd/>
      <w:spacing w:after="0"/>
      <w:jc w:val="left"/>
      <w:outlineLvl w:val="0"/>
    </w:pPr>
    <w:rPr>
      <w:rFonts w:ascii="Times New Roman" w:eastAsia="Times New Roman" w:hAnsi="Times New Roman" w:cs="Times New Roman"/>
      <w:szCs w:val="20"/>
      <w:lang w:eastAsia="en-GB"/>
    </w:rPr>
  </w:style>
  <w:style w:type="character" w:customStyle="1" w:styleId="BodyText3Char">
    <w:name w:val="Body Text 3 Char"/>
    <w:basedOn w:val="DefaultParagraphFont"/>
    <w:link w:val="BodyText3"/>
    <w:rsid w:val="00AB4059"/>
    <w:rPr>
      <w:rFonts w:ascii="Times New Roman" w:eastAsia="Times New Roman" w:hAnsi="Times New Roman"/>
      <w:color w:val="000000"/>
      <w:sz w:val="24"/>
    </w:rPr>
  </w:style>
  <w:style w:type="paragraph" w:styleId="ListBullet">
    <w:name w:val="List Bullet"/>
    <w:aliases w:val=" Char"/>
    <w:basedOn w:val="Normal"/>
    <w:link w:val="ListBulletChar"/>
    <w:autoRedefine/>
    <w:rsid w:val="00AB4059"/>
    <w:pPr>
      <w:tabs>
        <w:tab w:val="num" w:pos="360"/>
      </w:tabs>
      <w:autoSpaceDE/>
      <w:autoSpaceDN/>
      <w:adjustRightInd/>
      <w:spacing w:after="0"/>
      <w:ind w:left="360" w:hanging="360"/>
      <w:jc w:val="left"/>
    </w:pPr>
    <w:rPr>
      <w:rFonts w:eastAsia="Times New Roman" w:cs="Times New Roman"/>
      <w:color w:val="auto"/>
      <w:szCs w:val="20"/>
      <w:lang w:eastAsia="en-GB"/>
    </w:rPr>
  </w:style>
  <w:style w:type="character" w:customStyle="1" w:styleId="ListBulletChar">
    <w:name w:val="List Bullet Char"/>
    <w:aliases w:val=" Char Char"/>
    <w:basedOn w:val="DefaultParagraphFont"/>
    <w:link w:val="ListBullet"/>
    <w:rsid w:val="00AB4059"/>
    <w:rPr>
      <w:rFonts w:ascii="Arial" w:eastAsia="Times New Roman" w:hAnsi="Arial"/>
      <w:sz w:val="24"/>
    </w:rPr>
  </w:style>
  <w:style w:type="paragraph" w:styleId="NormalWeb">
    <w:name w:val="Normal (Web)"/>
    <w:basedOn w:val="Normal"/>
    <w:uiPriority w:val="99"/>
    <w:rsid w:val="00AB4059"/>
    <w:pPr>
      <w:autoSpaceDE/>
      <w:autoSpaceDN/>
      <w:adjustRightInd/>
      <w:spacing w:before="100" w:after="100"/>
      <w:jc w:val="left"/>
    </w:pPr>
    <w:rPr>
      <w:rFonts w:ascii="Times New Roman" w:eastAsia="Times New Roman" w:hAnsi="Times New Roman" w:cs="Times New Roman"/>
      <w:color w:val="auto"/>
      <w:szCs w:val="20"/>
      <w:lang w:val="en-US" w:eastAsia="en-GB"/>
    </w:rPr>
  </w:style>
  <w:style w:type="paragraph" w:customStyle="1" w:styleId="arial11">
    <w:name w:val="arial11"/>
    <w:basedOn w:val="Normal"/>
    <w:rsid w:val="00AB4059"/>
    <w:pPr>
      <w:autoSpaceDE/>
      <w:autoSpaceDN/>
      <w:adjustRightInd/>
      <w:spacing w:after="0"/>
      <w:jc w:val="left"/>
    </w:pPr>
    <w:rPr>
      <w:rFonts w:eastAsia="Times New Roman" w:cs="Times New Roman"/>
      <w:color w:val="auto"/>
      <w:szCs w:val="20"/>
      <w:lang w:eastAsia="en-GB"/>
    </w:rPr>
  </w:style>
  <w:style w:type="paragraph" w:styleId="BodyTextIndent">
    <w:name w:val="Body Text Indent"/>
    <w:basedOn w:val="Normal"/>
    <w:link w:val="BodyTextIndentChar"/>
    <w:rsid w:val="00AB4059"/>
    <w:pPr>
      <w:autoSpaceDE/>
      <w:autoSpaceDN/>
      <w:adjustRightInd/>
      <w:spacing w:after="240"/>
      <w:ind w:left="720"/>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AB4059"/>
    <w:rPr>
      <w:rFonts w:ascii="Arial" w:eastAsia="Times New Roman" w:hAnsi="Arial"/>
      <w:sz w:val="24"/>
    </w:rPr>
  </w:style>
  <w:style w:type="paragraph" w:styleId="BodyTextIndent2">
    <w:name w:val="Body Text Indent 2"/>
    <w:basedOn w:val="Normal"/>
    <w:link w:val="BodyTextIndent2Char"/>
    <w:rsid w:val="00AB4059"/>
    <w:pPr>
      <w:tabs>
        <w:tab w:val="left" w:pos="1080"/>
      </w:tabs>
      <w:autoSpaceDE/>
      <w:autoSpaceDN/>
      <w:adjustRightInd/>
      <w:ind w:left="1080"/>
    </w:pPr>
    <w:rPr>
      <w:rFonts w:eastAsia="Times New Roman" w:cs="Times New Roman"/>
      <w:color w:val="auto"/>
      <w:szCs w:val="20"/>
      <w:lang w:eastAsia="en-GB"/>
    </w:rPr>
  </w:style>
  <w:style w:type="character" w:customStyle="1" w:styleId="BodyTextIndent2Char">
    <w:name w:val="Body Text Indent 2 Char"/>
    <w:basedOn w:val="DefaultParagraphFont"/>
    <w:link w:val="BodyTextIndent2"/>
    <w:rsid w:val="00AB4059"/>
    <w:rPr>
      <w:rFonts w:ascii="Arial" w:eastAsia="Times New Roman" w:hAnsi="Arial"/>
      <w:sz w:val="24"/>
    </w:rPr>
  </w:style>
  <w:style w:type="character" w:customStyle="1" w:styleId="CommentTextChar">
    <w:name w:val="Comment Text Char"/>
    <w:basedOn w:val="DefaultParagraphFont"/>
    <w:link w:val="CommentText"/>
    <w:uiPriority w:val="99"/>
    <w:semiHidden/>
    <w:rsid w:val="00AB4059"/>
    <w:rPr>
      <w:rFonts w:ascii="Arial" w:eastAsia="Times New Roman" w:hAnsi="Arial" w:cs="Arial"/>
    </w:rPr>
  </w:style>
  <w:style w:type="paragraph" w:styleId="CommentText">
    <w:name w:val="annotation text"/>
    <w:basedOn w:val="Normal"/>
    <w:link w:val="CommentTextChar"/>
    <w:uiPriority w:val="99"/>
    <w:semiHidden/>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basedOn w:val="DefaultParagraphFont"/>
    <w:uiPriority w:val="99"/>
    <w:semiHidden/>
    <w:rsid w:val="00AB4059"/>
    <w:rPr>
      <w:rFonts w:ascii="Arial" w:eastAsia="Calibri" w:hAnsi="Arial" w:cs="Helvetica-Light"/>
      <w:color w:val="000000"/>
      <w:lang w:eastAsia="en-US"/>
    </w:rPr>
  </w:style>
  <w:style w:type="character" w:customStyle="1" w:styleId="CommentSubjectChar">
    <w:name w:val="Comment Subject Char"/>
    <w:basedOn w:val="CommentTextChar"/>
    <w:link w:val="CommentSubject"/>
    <w:uiPriority w:val="99"/>
    <w:semiHidden/>
    <w:rsid w:val="00AB4059"/>
    <w:rPr>
      <w:rFonts w:ascii="Arial" w:eastAsia="Times New Roman" w:hAnsi="Arial" w:cs="Arial"/>
      <w:b/>
      <w:bCs/>
    </w:rPr>
  </w:style>
  <w:style w:type="paragraph" w:styleId="CommentSubject">
    <w:name w:val="annotation subject"/>
    <w:basedOn w:val="CommentText"/>
    <w:next w:val="CommentText"/>
    <w:link w:val="CommentSubjectChar"/>
    <w:uiPriority w:val="99"/>
    <w:semiHidden/>
    <w:rsid w:val="00AB4059"/>
    <w:rPr>
      <w:b/>
      <w:bCs/>
    </w:rPr>
  </w:style>
  <w:style w:type="character" w:customStyle="1" w:styleId="CommentSubjectChar1">
    <w:name w:val="Comment Subject Char1"/>
    <w:basedOn w:val="CommentTextChar1"/>
    <w:uiPriority w:val="99"/>
    <w:semiHidden/>
    <w:rsid w:val="00AB4059"/>
    <w:rPr>
      <w:rFonts w:ascii="Arial" w:eastAsia="Calibri" w:hAnsi="Arial" w:cs="Helvetica-Light"/>
      <w:b/>
      <w:bCs/>
      <w:color w:val="000000"/>
      <w:lang w:eastAsia="en-US"/>
    </w:rPr>
  </w:style>
  <w:style w:type="paragraph" w:customStyle="1" w:styleId="Bullet1">
    <w:name w:val="Bullet 1"/>
    <w:basedOn w:val="Normal"/>
    <w:link w:val="Bullet1Char"/>
    <w:rsid w:val="00AB4059"/>
    <w:pPr>
      <w:keepLines/>
      <w:numPr>
        <w:numId w:val="8"/>
      </w:numPr>
      <w:autoSpaceDE/>
      <w:autoSpaceDN/>
      <w:adjustRightInd/>
      <w:spacing w:before="100" w:after="0"/>
      <w:jc w:val="left"/>
    </w:pPr>
    <w:rPr>
      <w:rFonts w:eastAsia="Times New Roman" w:cs="Times New Roman"/>
      <w:color w:val="auto"/>
      <w:lang w:eastAsia="en-GB"/>
    </w:rPr>
  </w:style>
  <w:style w:type="character" w:customStyle="1" w:styleId="Bullet1Char">
    <w:name w:val="Bullet 1 Char"/>
    <w:basedOn w:val="DefaultParagraphFont"/>
    <w:link w:val="Bullet1"/>
    <w:rsid w:val="00AB4059"/>
    <w:rPr>
      <w:rFonts w:ascii="Arial" w:eastAsia="Times New Roman" w:hAnsi="Arial"/>
      <w:sz w:val="24"/>
      <w:szCs w:val="24"/>
    </w:rPr>
  </w:style>
  <w:style w:type="character" w:customStyle="1" w:styleId="Bodytextemphasised">
    <w:name w:val="Body text (emphasised)"/>
    <w:basedOn w:val="DefaultParagraphFont"/>
    <w:rsid w:val="00AB4059"/>
    <w:rPr>
      <w:rFonts w:ascii="Arial" w:hAnsi="Arial"/>
      <w:b/>
      <w:sz w:val="24"/>
      <w:szCs w:val="24"/>
      <w:lang w:val="en-GB" w:eastAsia="en-GB" w:bidi="ar-SA"/>
    </w:rPr>
  </w:style>
  <w:style w:type="paragraph" w:customStyle="1" w:styleId="Bodytextnumbered">
    <w:name w:val="Body text (numbered)"/>
    <w:basedOn w:val="Normal"/>
    <w:link w:val="BodytextnumberedChar"/>
    <w:rsid w:val="00AB4059"/>
    <w:pPr>
      <w:numPr>
        <w:numId w:val="2"/>
      </w:numPr>
      <w:autoSpaceDE/>
      <w:autoSpaceDN/>
      <w:adjustRightInd/>
      <w:spacing w:before="140" w:after="140"/>
      <w:jc w:val="left"/>
    </w:pPr>
    <w:rPr>
      <w:rFonts w:eastAsia="Times New Roman" w:cs="Times New Roman"/>
      <w:color w:val="auto"/>
      <w:lang w:eastAsia="en-GB"/>
    </w:rPr>
  </w:style>
  <w:style w:type="character" w:customStyle="1" w:styleId="BodytextnumberedChar">
    <w:name w:val="Body text (numbered) Char"/>
    <w:basedOn w:val="DefaultParagraphFont"/>
    <w:link w:val="Bodytextnumbered"/>
    <w:rsid w:val="00AB4059"/>
    <w:rPr>
      <w:rFonts w:ascii="Arial" w:eastAsia="Times New Roman" w:hAnsi="Arial"/>
      <w:sz w:val="24"/>
      <w:szCs w:val="24"/>
    </w:rPr>
  </w:style>
  <w:style w:type="character" w:customStyle="1" w:styleId="Bullet1CharChar">
    <w:name w:val="Bullet 1 Char Char"/>
    <w:basedOn w:val="DefaultParagraphFont"/>
    <w:locked/>
    <w:rsid w:val="00AB4059"/>
    <w:rPr>
      <w:rFonts w:ascii="Arial" w:hAnsi="Arial" w:cs="Arial"/>
      <w:sz w:val="24"/>
      <w:szCs w:val="24"/>
      <w:lang w:val="en-GB" w:eastAsia="en-GB" w:bidi="ar-SA"/>
    </w:rPr>
  </w:style>
  <w:style w:type="paragraph" w:customStyle="1" w:styleId="Bullet2">
    <w:name w:val="Bullet 2"/>
    <w:basedOn w:val="Normal"/>
    <w:rsid w:val="00AB4059"/>
    <w:pPr>
      <w:numPr>
        <w:numId w:val="9"/>
      </w:numPr>
      <w:tabs>
        <w:tab w:val="clear" w:pos="397"/>
        <w:tab w:val="num" w:pos="1191"/>
      </w:tabs>
      <w:autoSpaceDE/>
      <w:autoSpaceDN/>
      <w:adjustRightInd/>
      <w:spacing w:before="100" w:after="0"/>
      <w:ind w:left="1191"/>
      <w:jc w:val="left"/>
    </w:pPr>
    <w:rPr>
      <w:rFonts w:eastAsia="Times New Roman" w:cs="Times New Roman"/>
      <w:color w:val="auto"/>
      <w:lang w:eastAsia="en-GB"/>
    </w:rPr>
  </w:style>
  <w:style w:type="paragraph" w:customStyle="1" w:styleId="Pa2">
    <w:name w:val="Pa2"/>
    <w:basedOn w:val="Normal"/>
    <w:next w:val="Normal"/>
    <w:rsid w:val="00AB4059"/>
    <w:pPr>
      <w:spacing w:after="0" w:line="241" w:lineRule="atLeast"/>
      <w:jc w:val="left"/>
    </w:pPr>
    <w:rPr>
      <w:rFonts w:ascii="QEJOBV+Helvetica-Bold" w:eastAsia="Times New Roman" w:hAnsi="QEJOBV+Helvetica-Bold" w:cs="Times New Roman"/>
      <w:color w:val="auto"/>
      <w:lang w:eastAsia="en-GB"/>
    </w:rPr>
  </w:style>
  <w:style w:type="paragraph" w:customStyle="1" w:styleId="Bullet4">
    <w:name w:val="Bullet 4"/>
    <w:basedOn w:val="Normal"/>
    <w:uiPriority w:val="99"/>
    <w:rsid w:val="00AB4059"/>
    <w:pPr>
      <w:numPr>
        <w:numId w:val="3"/>
      </w:numPr>
      <w:autoSpaceDE/>
      <w:autoSpaceDN/>
      <w:adjustRightInd/>
      <w:spacing w:after="240"/>
      <w:jc w:val="left"/>
    </w:pPr>
    <w:rPr>
      <w:rFonts w:ascii="Times New Roman" w:eastAsia="Times New Roman" w:hAnsi="Times New Roman" w:cs="Times New Roman"/>
      <w:color w:val="auto"/>
      <w:szCs w:val="20"/>
      <w:lang w:eastAsia="en-GB"/>
    </w:rPr>
  </w:style>
  <w:style w:type="paragraph" w:styleId="DocumentMap">
    <w:name w:val="Document Map"/>
    <w:basedOn w:val="Normal"/>
    <w:link w:val="DocumentMapChar"/>
    <w:rsid w:val="00AB4059"/>
    <w:pPr>
      <w:shd w:val="clear" w:color="auto" w:fill="000080"/>
      <w:autoSpaceDE/>
      <w:autoSpaceDN/>
      <w:adjustRightInd/>
      <w:spacing w:after="0"/>
      <w:jc w:val="left"/>
    </w:pPr>
    <w:rPr>
      <w:rFonts w:ascii="Tahoma" w:eastAsia="Times New Roman" w:hAnsi="Tahoma" w:cs="Times New Roman"/>
      <w:color w:val="auto"/>
      <w:szCs w:val="20"/>
      <w:lang w:eastAsia="en-GB"/>
    </w:rPr>
  </w:style>
  <w:style w:type="character" w:customStyle="1" w:styleId="DocumentMapChar">
    <w:name w:val="Document Map Char"/>
    <w:basedOn w:val="DefaultParagraphFont"/>
    <w:link w:val="DocumentMap"/>
    <w:rsid w:val="00AB4059"/>
    <w:rPr>
      <w:rFonts w:ascii="Tahoma" w:eastAsia="Times New Roman" w:hAnsi="Tahoma"/>
      <w:sz w:val="24"/>
      <w:shd w:val="clear" w:color="auto" w:fill="000080"/>
    </w:rPr>
  </w:style>
  <w:style w:type="paragraph" w:customStyle="1" w:styleId="TableHeadingTextLeft">
    <w:name w:val="Table Heading Text Left"/>
    <w:basedOn w:val="Normal"/>
    <w:rsid w:val="00AB4059"/>
    <w:pPr>
      <w:autoSpaceDE/>
      <w:autoSpaceDN/>
      <w:adjustRightInd/>
      <w:spacing w:after="20"/>
      <w:jc w:val="left"/>
    </w:pPr>
    <w:rPr>
      <w:rFonts w:eastAsia="Times New Roman" w:cs="Arial"/>
      <w:b/>
      <w:color w:val="auto"/>
      <w:sz w:val="18"/>
      <w:szCs w:val="20"/>
    </w:rPr>
  </w:style>
  <w:style w:type="paragraph" w:customStyle="1" w:styleId="TableTextLeft">
    <w:name w:val="Table Text Left"/>
    <w:basedOn w:val="Normal"/>
    <w:rsid w:val="00AB4059"/>
    <w:pPr>
      <w:autoSpaceDE/>
      <w:autoSpaceDN/>
      <w:adjustRightInd/>
      <w:spacing w:after="20"/>
      <w:jc w:val="left"/>
    </w:pPr>
    <w:rPr>
      <w:rFonts w:eastAsia="Times New Roman" w:cs="Arial"/>
      <w:color w:val="auto"/>
      <w:sz w:val="18"/>
      <w:szCs w:val="18"/>
    </w:rPr>
  </w:style>
  <w:style w:type="paragraph" w:customStyle="1" w:styleId="OutlineNum2">
    <w:name w:val="Outline Num 2"/>
    <w:basedOn w:val="Normal"/>
    <w:link w:val="OutlineNum2Char"/>
    <w:rsid w:val="00AB4059"/>
    <w:pPr>
      <w:numPr>
        <w:ilvl w:val="1"/>
        <w:numId w:val="4"/>
      </w:numPr>
      <w:autoSpaceDE/>
      <w:autoSpaceDN/>
      <w:adjustRightInd/>
      <w:spacing w:after="240"/>
      <w:jc w:val="left"/>
      <w:outlineLvl w:val="1"/>
    </w:pPr>
    <w:rPr>
      <w:rFonts w:eastAsia="Times New Roman" w:cs="Times New Roman"/>
      <w:color w:val="auto"/>
      <w:sz w:val="22"/>
      <w:szCs w:val="20"/>
      <w:lang w:eastAsia="en-GB"/>
    </w:rPr>
  </w:style>
  <w:style w:type="character" w:customStyle="1" w:styleId="OutlineNum2Char">
    <w:name w:val="Outline Num 2 Char"/>
    <w:basedOn w:val="DefaultParagraphFont"/>
    <w:link w:val="OutlineNum2"/>
    <w:rsid w:val="00E56C8C"/>
    <w:rPr>
      <w:rFonts w:ascii="Arial" w:eastAsia="Times New Roman" w:hAnsi="Arial"/>
      <w:sz w:val="22"/>
    </w:rPr>
  </w:style>
  <w:style w:type="paragraph" w:customStyle="1" w:styleId="OutlineNum3">
    <w:name w:val="Outline Num 3"/>
    <w:basedOn w:val="Normal"/>
    <w:rsid w:val="00AB4059"/>
    <w:pPr>
      <w:numPr>
        <w:ilvl w:val="2"/>
        <w:numId w:val="4"/>
      </w:numPr>
      <w:autoSpaceDE/>
      <w:autoSpaceDN/>
      <w:adjustRightInd/>
      <w:spacing w:after="240"/>
      <w:jc w:val="left"/>
      <w:outlineLvl w:val="2"/>
    </w:pPr>
    <w:rPr>
      <w:rFonts w:eastAsia="Times New Roman" w:cs="Times New Roman"/>
      <w:color w:val="auto"/>
      <w:sz w:val="22"/>
      <w:szCs w:val="20"/>
      <w:lang w:eastAsia="en-GB"/>
    </w:rPr>
  </w:style>
  <w:style w:type="paragraph" w:customStyle="1" w:styleId="BulletSingle">
    <w:name w:val="Bullet Single"/>
    <w:basedOn w:val="Normal"/>
    <w:rsid w:val="00AB4059"/>
    <w:pPr>
      <w:numPr>
        <w:numId w:val="5"/>
      </w:numPr>
      <w:autoSpaceDE/>
      <w:autoSpaceDN/>
      <w:adjustRightInd/>
      <w:spacing w:after="0"/>
      <w:jc w:val="left"/>
      <w:outlineLvl w:val="0"/>
    </w:pPr>
    <w:rPr>
      <w:rFonts w:eastAsia="Times New Roman" w:cs="Times New Roman"/>
      <w:color w:val="auto"/>
      <w:sz w:val="22"/>
      <w:szCs w:val="20"/>
      <w:lang w:eastAsia="en-GB"/>
    </w:rPr>
  </w:style>
  <w:style w:type="paragraph" w:customStyle="1" w:styleId="BulletSingle2">
    <w:name w:val="Bullet Single 2"/>
    <w:basedOn w:val="Normal"/>
    <w:rsid w:val="00AB4059"/>
    <w:pPr>
      <w:numPr>
        <w:ilvl w:val="1"/>
        <w:numId w:val="10"/>
      </w:numPr>
      <w:autoSpaceDE/>
      <w:autoSpaceDN/>
      <w:adjustRightInd/>
      <w:spacing w:after="0"/>
      <w:ind w:hanging="360"/>
      <w:jc w:val="left"/>
      <w:outlineLvl w:val="1"/>
    </w:pPr>
    <w:rPr>
      <w:rFonts w:eastAsia="Times New Roman" w:cs="Times New Roman"/>
      <w:color w:val="auto"/>
      <w:sz w:val="22"/>
      <w:szCs w:val="20"/>
      <w:lang w:eastAsia="en-GB"/>
    </w:rPr>
  </w:style>
  <w:style w:type="paragraph" w:customStyle="1" w:styleId="BulletSingle3">
    <w:name w:val="Bullet Single 3"/>
    <w:basedOn w:val="Normal"/>
    <w:rsid w:val="00AB4059"/>
    <w:pPr>
      <w:tabs>
        <w:tab w:val="num" w:pos="1080"/>
      </w:tabs>
      <w:autoSpaceDE/>
      <w:autoSpaceDN/>
      <w:adjustRightInd/>
      <w:spacing w:after="0"/>
      <w:ind w:left="1080" w:hanging="360"/>
      <w:jc w:val="left"/>
      <w:outlineLvl w:val="2"/>
    </w:pPr>
    <w:rPr>
      <w:rFonts w:eastAsia="Times New Roman" w:cs="Times New Roman"/>
      <w:color w:val="auto"/>
      <w:sz w:val="22"/>
      <w:szCs w:val="20"/>
      <w:lang w:eastAsia="en-GB"/>
    </w:rPr>
  </w:style>
  <w:style w:type="paragraph" w:customStyle="1" w:styleId="BulletSingle4">
    <w:name w:val="Bullet Single 4"/>
    <w:basedOn w:val="BulletSingle"/>
    <w:rsid w:val="00AB4059"/>
    <w:pPr>
      <w:numPr>
        <w:numId w:val="11"/>
      </w:numPr>
      <w:tabs>
        <w:tab w:val="clear" w:pos="360"/>
        <w:tab w:val="num" w:pos="1800"/>
      </w:tabs>
      <w:ind w:left="1800" w:hanging="360"/>
      <w:outlineLvl w:val="3"/>
    </w:pPr>
  </w:style>
  <w:style w:type="paragraph" w:customStyle="1" w:styleId="CM33">
    <w:name w:val="CM33"/>
    <w:basedOn w:val="Default"/>
    <w:next w:val="Default"/>
    <w:rsid w:val="00AB4059"/>
    <w:pPr>
      <w:widowControl w:val="0"/>
      <w:spacing w:after="498"/>
    </w:pPr>
    <w:rPr>
      <w:rFonts w:ascii="Arial" w:hAnsi="Arial" w:cs="Times New Roman"/>
      <w:color w:val="auto"/>
    </w:rPr>
  </w:style>
  <w:style w:type="paragraph" w:customStyle="1" w:styleId="CM35">
    <w:name w:val="CM35"/>
    <w:basedOn w:val="Default"/>
    <w:next w:val="Default"/>
    <w:rsid w:val="00AB4059"/>
    <w:pPr>
      <w:widowControl w:val="0"/>
      <w:spacing w:after="553"/>
    </w:pPr>
    <w:rPr>
      <w:rFonts w:ascii="Arial" w:hAnsi="Arial" w:cs="Times New Roman"/>
      <w:color w:val="auto"/>
    </w:rPr>
  </w:style>
  <w:style w:type="paragraph" w:customStyle="1" w:styleId="CM36">
    <w:name w:val="CM36"/>
    <w:basedOn w:val="Default"/>
    <w:next w:val="Default"/>
    <w:rsid w:val="00AB4059"/>
    <w:pPr>
      <w:widowControl w:val="0"/>
      <w:spacing w:after="295"/>
    </w:pPr>
    <w:rPr>
      <w:rFonts w:ascii="Arial" w:hAnsi="Arial" w:cs="Times New Roman"/>
      <w:color w:val="auto"/>
    </w:rPr>
  </w:style>
  <w:style w:type="paragraph" w:customStyle="1" w:styleId="CM5">
    <w:name w:val="CM5"/>
    <w:basedOn w:val="Default"/>
    <w:next w:val="Default"/>
    <w:rsid w:val="00AB4059"/>
    <w:pPr>
      <w:widowControl w:val="0"/>
      <w:spacing w:line="320" w:lineRule="atLeast"/>
    </w:pPr>
    <w:rPr>
      <w:rFonts w:ascii="Arial" w:hAnsi="Arial" w:cs="Times New Roman"/>
      <w:color w:val="auto"/>
    </w:rPr>
  </w:style>
  <w:style w:type="paragraph" w:customStyle="1" w:styleId="CM37">
    <w:name w:val="CM37"/>
    <w:basedOn w:val="Default"/>
    <w:next w:val="Default"/>
    <w:rsid w:val="00AB4059"/>
    <w:pPr>
      <w:widowControl w:val="0"/>
      <w:spacing w:after="335"/>
    </w:pPr>
    <w:rPr>
      <w:rFonts w:ascii="Arial" w:hAnsi="Arial" w:cs="Times New Roman"/>
      <w:color w:val="auto"/>
    </w:rPr>
  </w:style>
  <w:style w:type="paragraph" w:customStyle="1" w:styleId="CM43">
    <w:name w:val="CM43"/>
    <w:basedOn w:val="Default"/>
    <w:next w:val="Default"/>
    <w:rsid w:val="00AB4059"/>
    <w:pPr>
      <w:widowControl w:val="0"/>
      <w:spacing w:after="950"/>
    </w:pPr>
    <w:rPr>
      <w:rFonts w:ascii="Arial" w:hAnsi="Arial" w:cs="Times New Roman"/>
      <w:color w:val="auto"/>
    </w:rPr>
  </w:style>
  <w:style w:type="paragraph" w:customStyle="1" w:styleId="TableTextRight">
    <w:name w:val="Table Text Right"/>
    <w:basedOn w:val="TableTextLeft"/>
    <w:qFormat/>
    <w:rsid w:val="00971041"/>
    <w:pPr>
      <w:jc w:val="right"/>
    </w:pPr>
    <w:rPr>
      <w:sz w:val="22"/>
    </w:rPr>
  </w:style>
  <w:style w:type="paragraph" w:customStyle="1" w:styleId="TableHeadingTextRight">
    <w:name w:val="Table Heading Text Right"/>
    <w:basedOn w:val="TableHeadingTextLeft"/>
    <w:qFormat/>
    <w:rsid w:val="00AB4059"/>
    <w:pPr>
      <w:jc w:val="right"/>
    </w:pPr>
  </w:style>
  <w:style w:type="paragraph" w:customStyle="1" w:styleId="TableHeadingText">
    <w:name w:val="Table Heading Text"/>
    <w:basedOn w:val="Normal"/>
    <w:rsid w:val="00AB4059"/>
    <w:pPr>
      <w:autoSpaceDE/>
      <w:autoSpaceDN/>
      <w:adjustRightInd/>
      <w:spacing w:before="60" w:after="60"/>
      <w:jc w:val="left"/>
    </w:pPr>
    <w:rPr>
      <w:rFonts w:ascii="Arial Black" w:eastAsia="Times New Roman" w:hAnsi="Arial Black" w:cs="Times New Roman"/>
      <w:color w:val="auto"/>
      <w:sz w:val="18"/>
      <w:szCs w:val="20"/>
    </w:rPr>
  </w:style>
  <w:style w:type="paragraph" w:customStyle="1" w:styleId="TableText">
    <w:name w:val="Table Text"/>
    <w:basedOn w:val="Normal"/>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12"/>
      </w:numPr>
      <w:tabs>
        <w:tab w:val="left" w:pos="567"/>
      </w:tabs>
      <w:spacing w:before="200" w:after="120"/>
      <w:ind w:left="567" w:hanging="567"/>
    </w:pPr>
    <w:rPr>
      <w:rFonts w:ascii="Arial" w:eastAsia="Times New Roman" w:hAnsi="Arial"/>
      <w:b/>
      <w:bCs/>
      <w:sz w:val="28"/>
      <w:szCs w:val="26"/>
      <w:lang w:eastAsia="en-US"/>
    </w:rPr>
  </w:style>
  <w:style w:type="paragraph" w:customStyle="1" w:styleId="Normal-indent">
    <w:name w:val="Normal - indent"/>
    <w:basedOn w:val="Normal"/>
    <w:qFormat/>
    <w:rsid w:val="00AB4059"/>
    <w:pPr>
      <w:ind w:left="360"/>
    </w:pPr>
  </w:style>
  <w:style w:type="paragraph" w:customStyle="1" w:styleId="Bullet-indent">
    <w:name w:val="Bullet - indent"/>
    <w:basedOn w:val="ListParagraph"/>
    <w:qFormat/>
    <w:rsid w:val="00AB4059"/>
    <w:pPr>
      <w:tabs>
        <w:tab w:val="left" w:pos="709"/>
      </w:tabs>
      <w:spacing w:before="60"/>
      <w:ind w:left="709" w:hanging="317"/>
      <w:contextualSpacing w:val="0"/>
    </w:pPr>
  </w:style>
  <w:style w:type="paragraph" w:customStyle="1" w:styleId="Heading3-indent">
    <w:name w:val="Heading 3 - indent"/>
    <w:basedOn w:val="Heading3"/>
    <w:qFormat/>
    <w:rsid w:val="00AB4059"/>
    <w:pPr>
      <w:spacing w:before="200"/>
      <w:ind w:left="360"/>
    </w:pPr>
    <w:rPr>
      <w:rFonts w:ascii="Arial" w:hAnsi="Arial"/>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BodyText"/>
    <w:link w:val="BodyTextFirstIndentChar"/>
    <w:uiPriority w:val="99"/>
    <w:semiHidden/>
    <w:unhideWhenUsed/>
    <w:rsid w:val="00AB4059"/>
    <w:pPr>
      <w:spacing w:after="120"/>
      <w:ind w:firstLine="210"/>
      <w:jc w:val="both"/>
    </w:pPr>
    <w:rPr>
      <w:rFonts w:ascii="Arial" w:eastAsia="Calibri" w:hAnsi="Arial"/>
      <w:b w:val="0"/>
      <w:color w:val="000000"/>
      <w:sz w:val="24"/>
    </w:rPr>
  </w:style>
  <w:style w:type="character" w:customStyle="1" w:styleId="BodyTextFirstIndentChar">
    <w:name w:val="Body Text First Indent Char"/>
    <w:basedOn w:val="BodyTextChar"/>
    <w:link w:val="BodyTextFirstIndent"/>
    <w:uiPriority w:val="99"/>
    <w:semiHidden/>
    <w:rsid w:val="00AB4059"/>
    <w:rPr>
      <w:rFonts w:ascii="Arial" w:eastAsia="Calibri" w:hAnsi="Arial" w:cs="Helvetica-Light"/>
      <w:b/>
      <w:color w:val="000000"/>
      <w:sz w:val="24"/>
      <w:szCs w:val="24"/>
      <w:lang w:eastAsia="en-US"/>
    </w:rPr>
  </w:style>
  <w:style w:type="paragraph" w:styleId="BodyTextFirstIndent2">
    <w:name w:val="Body Text First Indent 2"/>
    <w:basedOn w:val="BodyTextIndent"/>
    <w:link w:val="BodyTextFirstIndent2Char"/>
    <w:uiPriority w:val="99"/>
    <w:semiHidden/>
    <w:unhideWhenUsed/>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semiHidden/>
    <w:rsid w:val="00AB4059"/>
    <w:rPr>
      <w:rFonts w:ascii="Arial" w:eastAsia="Calibri" w:hAnsi="Arial"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semiHidden/>
    <w:unhideWhenUsed/>
    <w:rsid w:val="00AB4059"/>
    <w:pPr>
      <w:ind w:left="4252"/>
    </w:pPr>
  </w:style>
  <w:style w:type="character" w:customStyle="1" w:styleId="ClosingChar">
    <w:name w:val="Closing Char"/>
    <w:basedOn w:val="DefaultParagraphFont"/>
    <w:link w:val="Closing"/>
    <w:uiPriority w:val="99"/>
    <w:semiHidden/>
    <w:rsid w:val="00AB4059"/>
    <w:rPr>
      <w:rFonts w:ascii="Arial" w:eastAsia="Calibri" w:hAnsi="Arial" w:cs="Helvetica-Light"/>
      <w:color w:val="000000"/>
      <w:sz w:val="24"/>
      <w:szCs w:val="24"/>
      <w:lang w:eastAsia="en-US"/>
    </w:rPr>
  </w:style>
  <w:style w:type="paragraph" w:styleId="Date">
    <w:name w:val="Date"/>
    <w:basedOn w:val="Normal"/>
    <w:next w:val="Normal"/>
    <w:link w:val="DateChar"/>
    <w:uiPriority w:val="99"/>
    <w:semiHidden/>
    <w:unhideWhenUsed/>
    <w:rsid w:val="00AB4059"/>
  </w:style>
  <w:style w:type="character" w:customStyle="1" w:styleId="DateChar">
    <w:name w:val="Date Char"/>
    <w:basedOn w:val="DefaultParagraphFont"/>
    <w:link w:val="Date"/>
    <w:uiPriority w:val="99"/>
    <w:semiHidden/>
    <w:rsid w:val="00AB4059"/>
    <w:rPr>
      <w:rFonts w:ascii="Arial" w:eastAsia="Calibri" w:hAnsi="Arial" w:cs="Helvetica-Light"/>
      <w:color w:val="000000"/>
      <w:sz w:val="24"/>
      <w:szCs w:val="24"/>
      <w:lang w:eastAsia="en-US"/>
    </w:rPr>
  </w:style>
  <w:style w:type="paragraph" w:styleId="E-mailSignature">
    <w:name w:val="E-mail Signature"/>
    <w:basedOn w:val="Normal"/>
    <w:link w:val="E-mailSignatureChar"/>
    <w:uiPriority w:val="99"/>
    <w:semiHidden/>
    <w:unhideWhenUsed/>
    <w:rsid w:val="00AB4059"/>
  </w:style>
  <w:style w:type="character" w:customStyle="1" w:styleId="E-mailSignatureChar">
    <w:name w:val="E-mail Signature Char"/>
    <w:basedOn w:val="DefaultParagraphFont"/>
    <w:link w:val="E-mailSignature"/>
    <w:uiPriority w:val="99"/>
    <w:semiHidden/>
    <w:rsid w:val="00AB4059"/>
    <w:rPr>
      <w:rFonts w:ascii="Arial" w:eastAsia="Calibri" w:hAnsi="Arial" w:cs="Helvetica-Light"/>
      <w:color w:val="000000"/>
      <w:sz w:val="24"/>
      <w:szCs w:val="24"/>
      <w:lang w:eastAsia="en-US"/>
    </w:rPr>
  </w:style>
  <w:style w:type="paragraph" w:styleId="EndnoteText">
    <w:name w:val="endnote text"/>
    <w:basedOn w:val="Normal"/>
    <w:link w:val="EndnoteTextChar"/>
    <w:uiPriority w:val="99"/>
    <w:unhideWhenUsed/>
    <w:rsid w:val="00AB4059"/>
    <w:rPr>
      <w:sz w:val="20"/>
      <w:szCs w:val="20"/>
    </w:rPr>
  </w:style>
  <w:style w:type="character" w:customStyle="1" w:styleId="EndnoteTextChar">
    <w:name w:val="Endnote Text Char"/>
    <w:basedOn w:val="DefaultParagraphFont"/>
    <w:link w:val="EndnoteText"/>
    <w:uiPriority w:val="99"/>
    <w:rsid w:val="00AB4059"/>
    <w:rPr>
      <w:rFonts w:ascii="Arial" w:eastAsia="Calibri" w:hAnsi="Arial" w:cs="Helvetica-Light"/>
      <w:color w:val="000000"/>
      <w:lang w:eastAsia="en-US"/>
    </w:rPr>
  </w:style>
  <w:style w:type="paragraph" w:styleId="EnvelopeAddress">
    <w:name w:val="envelope address"/>
    <w:basedOn w:val="Normal"/>
    <w:uiPriority w:val="99"/>
    <w:semiHidden/>
    <w:unhideWhenUsed/>
    <w:rsid w:val="00AB4059"/>
    <w:pPr>
      <w:framePr w:w="7920" w:h="1980" w:hRule="exact" w:hSpace="180" w:wrap="auto" w:hAnchor="page" w:xAlign="center" w:yAlign="bottom"/>
      <w:ind w:left="2880"/>
    </w:pPr>
    <w:rPr>
      <w:rFonts w:ascii="Cambria" w:eastAsia="Times New Roman" w:hAnsi="Cambria" w:cs="Times New Roman"/>
    </w:rPr>
  </w:style>
  <w:style w:type="paragraph" w:styleId="EnvelopeReturn">
    <w:name w:val="envelope return"/>
    <w:basedOn w:val="Normal"/>
    <w:uiPriority w:val="99"/>
    <w:semiHidden/>
    <w:unhideWhenUsed/>
    <w:rsid w:val="00AB4059"/>
    <w:rPr>
      <w:rFonts w:ascii="Cambria" w:eastAsia="Times New Roman" w:hAnsi="Cambria" w:cs="Times New Roman"/>
      <w:sz w:val="20"/>
      <w:szCs w:val="20"/>
    </w:rPr>
  </w:style>
  <w:style w:type="paragraph" w:styleId="HTMLAddress">
    <w:name w:val="HTML Address"/>
    <w:basedOn w:val="Normal"/>
    <w:link w:val="HTMLAddressChar"/>
    <w:uiPriority w:val="99"/>
    <w:semiHidden/>
    <w:unhideWhenUsed/>
    <w:rsid w:val="00AB4059"/>
    <w:rPr>
      <w:i/>
      <w:iCs/>
    </w:rPr>
  </w:style>
  <w:style w:type="character" w:customStyle="1" w:styleId="HTMLAddressChar">
    <w:name w:val="HTML Address Char"/>
    <w:basedOn w:val="DefaultParagraphFont"/>
    <w:link w:val="HTMLAddress"/>
    <w:uiPriority w:val="99"/>
    <w:semiHidden/>
    <w:rsid w:val="00AB4059"/>
    <w:rPr>
      <w:rFonts w:ascii="Arial" w:eastAsia="Calibri" w:hAnsi="Arial" w:cs="Helvetica-Light"/>
      <w:i/>
      <w:iCs/>
      <w:color w:val="000000"/>
      <w:sz w:val="24"/>
      <w:szCs w:val="24"/>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B4059"/>
    <w:rPr>
      <w:rFonts w:ascii="Courier New" w:eastAsia="Calibri" w:hAnsi="Courier New" w:cs="Courier New"/>
      <w:color w:val="000000"/>
      <w:lang w:eastAsia="en-US"/>
    </w:rPr>
  </w:style>
  <w:style w:type="paragraph" w:styleId="Index1">
    <w:name w:val="index 1"/>
    <w:basedOn w:val="Normal"/>
    <w:next w:val="Normal"/>
    <w:autoRedefine/>
    <w:uiPriority w:val="99"/>
    <w:semiHidden/>
    <w:unhideWhenUsed/>
    <w:rsid w:val="00AB4059"/>
    <w:pPr>
      <w:ind w:left="240" w:hanging="240"/>
    </w:pPr>
  </w:style>
  <w:style w:type="paragraph" w:styleId="Index2">
    <w:name w:val="index 2"/>
    <w:basedOn w:val="Normal"/>
    <w:next w:val="Normal"/>
    <w:autoRedefine/>
    <w:uiPriority w:val="99"/>
    <w:semiHidden/>
    <w:unhideWhenUsed/>
    <w:rsid w:val="00AB4059"/>
    <w:pPr>
      <w:ind w:left="480" w:hanging="240"/>
    </w:pPr>
  </w:style>
  <w:style w:type="paragraph" w:styleId="Index3">
    <w:name w:val="index 3"/>
    <w:basedOn w:val="Normal"/>
    <w:next w:val="Normal"/>
    <w:autoRedefine/>
    <w:uiPriority w:val="99"/>
    <w:semiHidden/>
    <w:unhideWhenUsed/>
    <w:rsid w:val="00AB4059"/>
    <w:pPr>
      <w:ind w:left="720" w:hanging="240"/>
    </w:pPr>
  </w:style>
  <w:style w:type="paragraph" w:styleId="Index4">
    <w:name w:val="index 4"/>
    <w:basedOn w:val="Normal"/>
    <w:next w:val="Normal"/>
    <w:autoRedefine/>
    <w:uiPriority w:val="99"/>
    <w:semiHidden/>
    <w:unhideWhenUsed/>
    <w:rsid w:val="00AB4059"/>
    <w:pPr>
      <w:ind w:left="960" w:hanging="240"/>
    </w:pPr>
  </w:style>
  <w:style w:type="paragraph" w:styleId="Index5">
    <w:name w:val="index 5"/>
    <w:basedOn w:val="Normal"/>
    <w:next w:val="Normal"/>
    <w:autoRedefine/>
    <w:uiPriority w:val="99"/>
    <w:semiHidden/>
    <w:unhideWhenUsed/>
    <w:rsid w:val="00AB4059"/>
    <w:pPr>
      <w:ind w:left="1200" w:hanging="240"/>
    </w:pPr>
  </w:style>
  <w:style w:type="paragraph" w:styleId="Index6">
    <w:name w:val="index 6"/>
    <w:basedOn w:val="Normal"/>
    <w:next w:val="Normal"/>
    <w:autoRedefine/>
    <w:uiPriority w:val="99"/>
    <w:semiHidden/>
    <w:unhideWhenUsed/>
    <w:rsid w:val="00AB4059"/>
    <w:pPr>
      <w:ind w:left="1440" w:hanging="240"/>
    </w:p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Index1"/>
    <w:uiPriority w:val="99"/>
    <w:semiHidden/>
    <w:unhideWhenUsed/>
    <w:rsid w:val="00AB4059"/>
    <w:rPr>
      <w:rFonts w:ascii="Cambria" w:eastAsia="Times New Roman" w:hAnsi="Cambria" w:cs="Times New Roman"/>
      <w:b/>
      <w:bCs/>
    </w:rPr>
  </w:style>
  <w:style w:type="paragraph" w:styleId="IntenseQuote">
    <w:name w:val="Intense Quote"/>
    <w:basedOn w:val="Normal"/>
    <w:next w:val="Normal"/>
    <w:link w:val="IntenseQuoteChar"/>
    <w:uiPriority w:val="30"/>
    <w:qFormat/>
    <w:rsid w:val="00AB405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B4059"/>
    <w:rPr>
      <w:rFonts w:ascii="Arial" w:eastAsia="Calibri" w:hAnsi="Arial" w:cs="Helvetica-Light"/>
      <w:b/>
      <w:bCs/>
      <w:i/>
      <w:iCs/>
      <w:color w:val="4F81BD"/>
      <w:sz w:val="24"/>
      <w:szCs w:val="24"/>
      <w:lang w:eastAsia="en-US"/>
    </w:rPr>
  </w:style>
  <w:style w:type="paragraph" w:styleId="List">
    <w:name w:val="List"/>
    <w:basedOn w:val="Normal"/>
    <w:uiPriority w:val="99"/>
    <w:semiHidden/>
    <w:unhideWhenUsed/>
    <w:rsid w:val="00AB4059"/>
    <w:pPr>
      <w:ind w:left="283" w:hanging="283"/>
      <w:contextualSpacing/>
    </w:pPr>
  </w:style>
  <w:style w:type="paragraph" w:styleId="List2">
    <w:name w:val="List 2"/>
    <w:basedOn w:val="Normal"/>
    <w:uiPriority w:val="99"/>
    <w:semiHidden/>
    <w:unhideWhenUsed/>
    <w:rsid w:val="00AB4059"/>
    <w:pPr>
      <w:ind w:left="566" w:hanging="283"/>
      <w:contextualSpacing/>
    </w:pPr>
  </w:style>
  <w:style w:type="paragraph" w:styleId="List3">
    <w:name w:val="List 3"/>
    <w:basedOn w:val="Normal"/>
    <w:uiPriority w:val="99"/>
    <w:semiHidden/>
    <w:unhideWhenUsed/>
    <w:rsid w:val="00AB4059"/>
    <w:pPr>
      <w:ind w:left="849" w:hanging="283"/>
      <w:contextualSpacing/>
    </w:pPr>
  </w:style>
  <w:style w:type="paragraph" w:styleId="List4">
    <w:name w:val="List 4"/>
    <w:basedOn w:val="Normal"/>
    <w:uiPriority w:val="99"/>
    <w:semiHidden/>
    <w:unhideWhenUsed/>
    <w:rsid w:val="00AB4059"/>
    <w:pPr>
      <w:ind w:left="1132" w:hanging="283"/>
      <w:contextualSpacing/>
    </w:pPr>
  </w:style>
  <w:style w:type="paragraph" w:styleId="List5">
    <w:name w:val="List 5"/>
    <w:basedOn w:val="Normal"/>
    <w:uiPriority w:val="99"/>
    <w:semiHidden/>
    <w:unhideWhenUsed/>
    <w:rsid w:val="00AB4059"/>
    <w:pPr>
      <w:ind w:left="1415" w:hanging="283"/>
      <w:contextualSpacing/>
    </w:pPr>
  </w:style>
  <w:style w:type="paragraph" w:styleId="ListBullet2">
    <w:name w:val="List Bullet 2"/>
    <w:basedOn w:val="Normal"/>
    <w:unhideWhenUsed/>
    <w:rsid w:val="00AB4059"/>
    <w:pPr>
      <w:numPr>
        <w:numId w:val="6"/>
      </w:numPr>
      <w:contextualSpacing/>
    </w:pPr>
  </w:style>
  <w:style w:type="paragraph" w:styleId="ListBullet3">
    <w:name w:val="List Bullet 3"/>
    <w:basedOn w:val="Normal"/>
    <w:unhideWhenUsed/>
    <w:rsid w:val="00AB4059"/>
    <w:pPr>
      <w:numPr>
        <w:numId w:val="13"/>
      </w:numPr>
      <w:tabs>
        <w:tab w:val="clear" w:pos="643"/>
        <w:tab w:val="num" w:pos="926"/>
      </w:tabs>
      <w:ind w:left="926"/>
      <w:contextualSpacing/>
    </w:pPr>
  </w:style>
  <w:style w:type="paragraph" w:styleId="ListBullet4">
    <w:name w:val="List Bullet 4"/>
    <w:basedOn w:val="Normal"/>
    <w:unhideWhenUsed/>
    <w:rsid w:val="00AB4059"/>
    <w:pPr>
      <w:numPr>
        <w:numId w:val="14"/>
      </w:numPr>
      <w:tabs>
        <w:tab w:val="clear" w:pos="926"/>
        <w:tab w:val="num" w:pos="1209"/>
      </w:tabs>
      <w:ind w:left="1209"/>
      <w:contextualSpacing/>
    </w:pPr>
  </w:style>
  <w:style w:type="paragraph" w:styleId="ListBullet5">
    <w:name w:val="List Bullet 5"/>
    <w:basedOn w:val="Normal"/>
    <w:uiPriority w:val="99"/>
    <w:semiHidden/>
    <w:unhideWhenUsed/>
    <w:rsid w:val="00AB4059"/>
    <w:pPr>
      <w:numPr>
        <w:numId w:val="15"/>
      </w:numPr>
      <w:tabs>
        <w:tab w:val="clear" w:pos="1209"/>
        <w:tab w:val="num" w:pos="1492"/>
      </w:tabs>
      <w:ind w:left="1492"/>
      <w:contextualSpacing/>
    </w:pPr>
  </w:style>
  <w:style w:type="paragraph" w:styleId="ListContinue">
    <w:name w:val="List Continue"/>
    <w:basedOn w:val="Normal"/>
    <w:uiPriority w:val="99"/>
    <w:semiHidden/>
    <w:unhideWhenUsed/>
    <w:rsid w:val="00AB4059"/>
    <w:pPr>
      <w:numPr>
        <w:numId w:val="16"/>
      </w:numPr>
      <w:tabs>
        <w:tab w:val="clear" w:pos="1492"/>
      </w:tabs>
      <w:ind w:left="283" w:firstLine="0"/>
      <w:contextualSpacing/>
    </w:pPr>
  </w:style>
  <w:style w:type="paragraph" w:styleId="ListContinue2">
    <w:name w:val="List Continue 2"/>
    <w:basedOn w:val="Normal"/>
    <w:uiPriority w:val="99"/>
    <w:semiHidden/>
    <w:unhideWhenUsed/>
    <w:rsid w:val="00AB4059"/>
    <w:pPr>
      <w:ind w:left="566"/>
      <w:contextualSpacing/>
    </w:pPr>
  </w:style>
  <w:style w:type="paragraph" w:styleId="ListContinue3">
    <w:name w:val="List Continue 3"/>
    <w:basedOn w:val="Normal"/>
    <w:uiPriority w:val="99"/>
    <w:semiHidden/>
    <w:unhideWhenUsed/>
    <w:rsid w:val="00AB4059"/>
    <w:pPr>
      <w:ind w:left="849"/>
      <w:contextualSpacing/>
    </w:pPr>
  </w:style>
  <w:style w:type="paragraph" w:styleId="ListContinue4">
    <w:name w:val="List Continue 4"/>
    <w:basedOn w:val="Normal"/>
    <w:uiPriority w:val="99"/>
    <w:semiHidden/>
    <w:unhideWhenUsed/>
    <w:rsid w:val="00AB4059"/>
    <w:pPr>
      <w:ind w:left="1132"/>
      <w:contextualSpacing/>
    </w:pPr>
  </w:style>
  <w:style w:type="paragraph" w:styleId="ListContinue5">
    <w:name w:val="List Continue 5"/>
    <w:basedOn w:val="Normal"/>
    <w:uiPriority w:val="99"/>
    <w:semiHidden/>
    <w:unhideWhenUsed/>
    <w:rsid w:val="00AB4059"/>
    <w:pPr>
      <w:ind w:left="1415"/>
      <w:contextualSpacing/>
    </w:pPr>
  </w:style>
  <w:style w:type="paragraph" w:styleId="ListNumber">
    <w:name w:val="List Number"/>
    <w:basedOn w:val="Normal"/>
    <w:uiPriority w:val="99"/>
    <w:semiHidden/>
    <w:unhideWhenUsed/>
    <w:rsid w:val="00AB4059"/>
    <w:pPr>
      <w:tabs>
        <w:tab w:val="num" w:pos="397"/>
      </w:tabs>
      <w:ind w:left="397" w:hanging="397"/>
      <w:contextualSpacing/>
    </w:pPr>
  </w:style>
  <w:style w:type="paragraph" w:styleId="ListNumber2">
    <w:name w:val="List Number 2"/>
    <w:basedOn w:val="Normal"/>
    <w:uiPriority w:val="99"/>
    <w:semiHidden/>
    <w:unhideWhenUsed/>
    <w:rsid w:val="00AB4059"/>
    <w:pPr>
      <w:numPr>
        <w:numId w:val="17"/>
      </w:numPr>
      <w:tabs>
        <w:tab w:val="clear" w:pos="360"/>
        <w:tab w:val="num" w:pos="643"/>
      </w:tabs>
      <w:ind w:left="643"/>
      <w:contextualSpacing/>
    </w:pPr>
  </w:style>
  <w:style w:type="paragraph" w:styleId="ListNumber3">
    <w:name w:val="List Number 3"/>
    <w:basedOn w:val="Normal"/>
    <w:uiPriority w:val="99"/>
    <w:semiHidden/>
    <w:unhideWhenUsed/>
    <w:rsid w:val="00AB4059"/>
    <w:pPr>
      <w:numPr>
        <w:numId w:val="18"/>
      </w:numPr>
      <w:tabs>
        <w:tab w:val="clear" w:pos="643"/>
        <w:tab w:val="num" w:pos="926"/>
      </w:tabs>
      <w:ind w:left="926"/>
      <w:contextualSpacing/>
    </w:pPr>
  </w:style>
  <w:style w:type="paragraph" w:styleId="ListNumber4">
    <w:name w:val="List Number 4"/>
    <w:basedOn w:val="Normal"/>
    <w:uiPriority w:val="99"/>
    <w:semiHidden/>
    <w:unhideWhenUsed/>
    <w:rsid w:val="00AB4059"/>
    <w:pPr>
      <w:numPr>
        <w:numId w:val="19"/>
      </w:numPr>
      <w:tabs>
        <w:tab w:val="clear" w:pos="926"/>
        <w:tab w:val="num" w:pos="1209"/>
      </w:tabs>
      <w:ind w:left="1209"/>
      <w:contextualSpacing/>
    </w:pPr>
  </w:style>
  <w:style w:type="paragraph" w:styleId="ListNumber5">
    <w:name w:val="List Number 5"/>
    <w:basedOn w:val="Normal"/>
    <w:uiPriority w:val="99"/>
    <w:semiHidden/>
    <w:unhideWhenUsed/>
    <w:rsid w:val="00AB4059"/>
    <w:pPr>
      <w:numPr>
        <w:numId w:val="20"/>
      </w:numPr>
      <w:tabs>
        <w:tab w:val="clear" w:pos="1209"/>
        <w:tab w:val="num" w:pos="1492"/>
      </w:tabs>
      <w:ind w:left="1492"/>
      <w:contextualSpacing/>
    </w:pPr>
  </w:style>
  <w:style w:type="paragraph" w:styleId="MacroText">
    <w:name w:val="macro"/>
    <w:link w:val="MacroTextChar"/>
    <w:uiPriority w:val="99"/>
    <w:semiHidden/>
    <w:unhideWhenUsed/>
    <w:rsid w:val="00AB4059"/>
    <w:pPr>
      <w:numPr>
        <w:numId w:val="21"/>
      </w:numPr>
      <w:tabs>
        <w:tab w:val="clear" w:pos="1492"/>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120"/>
      <w:ind w:left="0" w:firstLine="0"/>
      <w:jc w:val="both"/>
    </w:pPr>
    <w:rPr>
      <w:rFonts w:ascii="Courier New" w:eastAsia="Calibri" w:hAnsi="Courier New" w:cs="Courier New"/>
      <w:color w:val="000000"/>
      <w:lang w:eastAsia="en-US"/>
    </w:rPr>
  </w:style>
  <w:style w:type="character" w:customStyle="1" w:styleId="MacroTextChar">
    <w:name w:val="Macro Text Char"/>
    <w:basedOn w:val="DefaultParagraphFont"/>
    <w:link w:val="MacroText"/>
    <w:uiPriority w:val="99"/>
    <w:semiHidden/>
    <w:rsid w:val="00AB4059"/>
    <w:rPr>
      <w:rFonts w:ascii="Courier New" w:eastAsia="Calibri" w:hAnsi="Courier New" w:cs="Courier New"/>
      <w:color w:val="000000"/>
      <w:lang w:eastAsia="en-US"/>
    </w:rPr>
  </w:style>
  <w:style w:type="paragraph" w:styleId="MessageHeader">
    <w:name w:val="Message Header"/>
    <w:basedOn w:val="Normal"/>
    <w:link w:val="MessageHeaderChar"/>
    <w:uiPriority w:val="99"/>
    <w:semiHidden/>
    <w:unhideWhenUsed/>
    <w:rsid w:val="00AB405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rPr>
  </w:style>
  <w:style w:type="character" w:customStyle="1" w:styleId="MessageHeaderChar">
    <w:name w:val="Message Header Char"/>
    <w:basedOn w:val="DefaultParagraphFont"/>
    <w:link w:val="MessageHeader"/>
    <w:uiPriority w:val="99"/>
    <w:semiHidden/>
    <w:rsid w:val="00AB4059"/>
    <w:rPr>
      <w:rFonts w:eastAsia="Times New Roman"/>
      <w:color w:val="000000"/>
      <w:sz w:val="24"/>
      <w:szCs w:val="24"/>
      <w:shd w:val="pct20" w:color="auto" w:fill="auto"/>
      <w:lang w:eastAsia="en-US"/>
    </w:rPr>
  </w:style>
  <w:style w:type="paragraph" w:styleId="NoSpacing">
    <w:name w:val="No Spacing"/>
    <w:link w:val="NoSpacingChar"/>
    <w:uiPriority w:val="1"/>
    <w:qFormat/>
    <w:rsid w:val="00AB4059"/>
    <w:pPr>
      <w:autoSpaceDE w:val="0"/>
      <w:autoSpaceDN w:val="0"/>
      <w:adjustRightInd w:val="0"/>
      <w:jc w:val="both"/>
    </w:pPr>
    <w:rPr>
      <w:rFonts w:ascii="Arial" w:eastAsia="Calibri" w:hAnsi="Arial" w:cs="Helvetica-Light"/>
      <w:color w:val="000000"/>
      <w:sz w:val="24"/>
      <w:szCs w:val="24"/>
      <w:lang w:eastAsia="en-US"/>
    </w:rPr>
  </w:style>
  <w:style w:type="character" w:customStyle="1" w:styleId="NoSpacingChar">
    <w:name w:val="No Spacing Char"/>
    <w:basedOn w:val="DefaultParagraphFont"/>
    <w:link w:val="NoSpacing"/>
    <w:uiPriority w:val="1"/>
    <w:rsid w:val="00AB4059"/>
    <w:rPr>
      <w:rFonts w:ascii="Arial" w:eastAsia="Calibri" w:hAnsi="Arial" w:cs="Helvetica-Light"/>
      <w:color w:val="000000"/>
      <w:sz w:val="24"/>
      <w:szCs w:val="24"/>
      <w:lang w:eastAsia="en-US"/>
    </w:rPr>
  </w:style>
  <w:style w:type="paragraph" w:styleId="NormalIndent">
    <w:name w:val="Normal Indent"/>
    <w:basedOn w:val="Normal"/>
    <w:uiPriority w:val="99"/>
    <w:semiHidden/>
    <w:unhideWhenUsed/>
    <w:rsid w:val="00AB4059"/>
    <w:pPr>
      <w:ind w:left="720"/>
    </w:pPr>
  </w:style>
  <w:style w:type="paragraph" w:styleId="NoteHeading">
    <w:name w:val="Note Heading"/>
    <w:basedOn w:val="Normal"/>
    <w:next w:val="Normal"/>
    <w:link w:val="NoteHeadingChar"/>
    <w:uiPriority w:val="99"/>
    <w:semiHidden/>
    <w:unhideWhenUsed/>
    <w:rsid w:val="00AB4059"/>
  </w:style>
  <w:style w:type="character" w:customStyle="1" w:styleId="NoteHeadingChar">
    <w:name w:val="Note Heading Char"/>
    <w:basedOn w:val="DefaultParagraphFont"/>
    <w:link w:val="NoteHeading"/>
    <w:uiPriority w:val="99"/>
    <w:semiHidden/>
    <w:rsid w:val="00AB4059"/>
    <w:rPr>
      <w:rFonts w:ascii="Arial" w:eastAsia="Calibri" w:hAnsi="Arial" w:cs="Helvetica-Light"/>
      <w:color w:val="000000"/>
      <w:sz w:val="24"/>
      <w:szCs w:val="24"/>
      <w:lang w:eastAsia="en-US"/>
    </w:rPr>
  </w:style>
  <w:style w:type="paragraph" w:styleId="Quote">
    <w:name w:val="Quote"/>
    <w:basedOn w:val="Normal"/>
    <w:next w:val="Normal"/>
    <w:link w:val="QuoteChar"/>
    <w:uiPriority w:val="29"/>
    <w:qFormat/>
    <w:rsid w:val="00AB4059"/>
    <w:rPr>
      <w:i/>
      <w:iCs/>
    </w:rPr>
  </w:style>
  <w:style w:type="character" w:customStyle="1" w:styleId="QuoteChar">
    <w:name w:val="Quote Char"/>
    <w:basedOn w:val="DefaultParagraphFont"/>
    <w:link w:val="Quote"/>
    <w:uiPriority w:val="29"/>
    <w:rsid w:val="00AB4059"/>
    <w:rPr>
      <w:rFonts w:ascii="Arial" w:eastAsia="Calibri" w:hAnsi="Arial" w:cs="Helvetica-Light"/>
      <w:i/>
      <w:iCs/>
      <w:color w:val="000000"/>
      <w:sz w:val="24"/>
      <w:szCs w:val="24"/>
      <w:lang w:eastAsia="en-US"/>
    </w:rPr>
  </w:style>
  <w:style w:type="paragraph" w:styleId="Salutation">
    <w:name w:val="Salutation"/>
    <w:basedOn w:val="Normal"/>
    <w:next w:val="Normal"/>
    <w:link w:val="SalutationChar"/>
    <w:uiPriority w:val="99"/>
    <w:semiHidden/>
    <w:unhideWhenUsed/>
    <w:rsid w:val="00AB4059"/>
  </w:style>
  <w:style w:type="character" w:customStyle="1" w:styleId="SalutationChar">
    <w:name w:val="Salutation Char"/>
    <w:basedOn w:val="DefaultParagraphFont"/>
    <w:link w:val="Salutation"/>
    <w:uiPriority w:val="99"/>
    <w:semiHidden/>
    <w:rsid w:val="00AB4059"/>
    <w:rPr>
      <w:rFonts w:ascii="Arial" w:eastAsia="Calibri" w:hAnsi="Arial" w:cs="Helvetica-Light"/>
      <w:color w:val="000000"/>
      <w:sz w:val="24"/>
      <w:szCs w:val="24"/>
      <w:lang w:eastAsia="en-US"/>
    </w:rPr>
  </w:style>
  <w:style w:type="paragraph" w:styleId="Signature">
    <w:name w:val="Signature"/>
    <w:basedOn w:val="Normal"/>
    <w:link w:val="SignatureChar"/>
    <w:uiPriority w:val="99"/>
    <w:semiHidden/>
    <w:unhideWhenUsed/>
    <w:rsid w:val="00AB4059"/>
    <w:pPr>
      <w:ind w:left="4252"/>
    </w:pPr>
  </w:style>
  <w:style w:type="character" w:customStyle="1" w:styleId="SignatureChar">
    <w:name w:val="Signature Char"/>
    <w:basedOn w:val="DefaultParagraphFont"/>
    <w:link w:val="Signature"/>
    <w:uiPriority w:val="99"/>
    <w:semiHidden/>
    <w:rsid w:val="00AB4059"/>
    <w:rPr>
      <w:rFonts w:ascii="Arial" w:eastAsia="Calibri" w:hAnsi="Arial" w:cs="Helvetica-Light"/>
      <w:color w:val="000000"/>
      <w:sz w:val="24"/>
      <w:szCs w:val="24"/>
      <w:lang w:eastAsia="en-US"/>
    </w:rPr>
  </w:style>
  <w:style w:type="paragraph" w:styleId="Subtitle">
    <w:name w:val="Subtitle"/>
    <w:basedOn w:val="Normal"/>
    <w:next w:val="Normal"/>
    <w:link w:val="SubtitleChar"/>
    <w:uiPriority w:val="11"/>
    <w:qFormat/>
    <w:rsid w:val="00AB4059"/>
    <w:pPr>
      <w:spacing w:after="60"/>
      <w:jc w:val="center"/>
      <w:outlineLvl w:val="1"/>
    </w:pPr>
    <w:rPr>
      <w:rFonts w:ascii="Cambria" w:eastAsia="Times New Roman" w:hAnsi="Cambria" w:cs="Times New Roman"/>
    </w:rPr>
  </w:style>
  <w:style w:type="character" w:customStyle="1" w:styleId="SubtitleChar">
    <w:name w:val="Subtitle Char"/>
    <w:basedOn w:val="DefaultParagraphFont"/>
    <w:link w:val="Subtitle"/>
    <w:uiPriority w:val="11"/>
    <w:rsid w:val="00AB4059"/>
    <w:rPr>
      <w:rFonts w:eastAsia="Times New Roman"/>
      <w:color w:val="000000"/>
      <w:sz w:val="24"/>
      <w:szCs w:val="24"/>
      <w:lang w:eastAsia="en-US"/>
    </w:rPr>
  </w:style>
  <w:style w:type="paragraph" w:styleId="TableofAuthorities">
    <w:name w:val="table of authorities"/>
    <w:basedOn w:val="Normal"/>
    <w:next w:val="Normal"/>
    <w:uiPriority w:val="99"/>
    <w:semiHidden/>
    <w:unhideWhenUsed/>
    <w:rsid w:val="00AB4059"/>
    <w:pPr>
      <w:ind w:left="240" w:hanging="240"/>
    </w:pPr>
  </w:style>
  <w:style w:type="paragraph" w:styleId="TableofFigures">
    <w:name w:val="table of figures"/>
    <w:basedOn w:val="Normal"/>
    <w:next w:val="Normal"/>
    <w:uiPriority w:val="99"/>
    <w:semiHidden/>
    <w:unhideWhenUsed/>
    <w:rsid w:val="00AB4059"/>
  </w:style>
  <w:style w:type="paragraph" w:styleId="TOAHeading">
    <w:name w:val="toa heading"/>
    <w:basedOn w:val="Normal"/>
    <w:next w:val="Normal"/>
    <w:uiPriority w:val="99"/>
    <w:semiHidden/>
    <w:unhideWhenUsed/>
    <w:rsid w:val="00AB4059"/>
    <w:pPr>
      <w:spacing w:before="120"/>
    </w:pPr>
    <w:rPr>
      <w:rFonts w:ascii="Cambria" w:eastAsia="Times New Roman" w:hAnsi="Cambria" w:cs="Times New Roman"/>
      <w:b/>
      <w:bC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paragraph" w:styleId="TOCHeading">
    <w:name w:val="TOC Heading"/>
    <w:basedOn w:val="Heading1"/>
    <w:next w:val="Normal"/>
    <w:uiPriority w:val="39"/>
    <w:semiHidden/>
    <w:unhideWhenUsed/>
    <w:qFormat/>
    <w:rsid w:val="00AB4059"/>
    <w:pPr>
      <w:keepNext/>
      <w:spacing w:before="240" w:after="60"/>
      <w:outlineLvl w:val="9"/>
    </w:pPr>
    <w:rPr>
      <w:rFonts w:ascii="Cambria" w:hAnsi="Cambria" w:cs="Times New Roman"/>
      <w:color w:val="000000"/>
      <w:kern w:val="32"/>
      <w:sz w:val="32"/>
      <w:szCs w:val="32"/>
    </w:rPr>
  </w:style>
  <w:style w:type="paragraph" w:customStyle="1" w:styleId="exampleend">
    <w:name w:val="exampleend"/>
    <w:basedOn w:val="Normal"/>
    <w:rsid w:val="00AB4059"/>
    <w:pPr>
      <w:pBdr>
        <w:bottom w:val="single" w:sz="6" w:space="2" w:color="502470"/>
      </w:pBdr>
      <w:autoSpaceDE/>
      <w:autoSpaceDN/>
      <w:adjustRightInd/>
      <w:spacing w:before="100" w:beforeAutospacing="1" w:after="100" w:afterAutospacing="1"/>
      <w:jc w:val="left"/>
    </w:pPr>
    <w:rPr>
      <w:rFonts w:ascii="Verdana" w:eastAsia="Times New Roman" w:hAnsi="Verdana" w:cs="Times New Roman"/>
      <w:sz w:val="17"/>
      <w:szCs w:val="17"/>
      <w:lang w:eastAsia="en-GB"/>
    </w:rPr>
  </w:style>
  <w:style w:type="paragraph" w:styleId="Revision">
    <w:name w:val="Revision"/>
    <w:hidden/>
    <w:uiPriority w:val="99"/>
    <w:semiHidden/>
    <w:rsid w:val="00AB4059"/>
    <w:rPr>
      <w:rFonts w:ascii="Arial" w:eastAsia="Times New Roman" w:hAnsi="Arial" w:cs="Arial"/>
      <w:sz w:val="24"/>
      <w:szCs w:val="24"/>
    </w:rPr>
  </w:style>
  <w:style w:type="table" w:styleId="TableList4">
    <w:name w:val="Table List 4"/>
    <w:basedOn w:val="TableNormal"/>
    <w:rsid w:val="00AB4059"/>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00-Normal-BB">
    <w:name w:val="00-Normal-BB"/>
    <w:rsid w:val="00AB4059"/>
    <w:pPr>
      <w:jc w:val="both"/>
    </w:pPr>
    <w:rPr>
      <w:rFonts w:ascii="Arial" w:eastAsia="Times New Roman" w:hAnsi="Arial"/>
      <w:sz w:val="22"/>
      <w:lang w:eastAsia="en-US"/>
    </w:rPr>
  </w:style>
  <w:style w:type="paragraph" w:customStyle="1" w:styleId="01-NormInd1-BB">
    <w:name w:val="01-NormInd1-BB"/>
    <w:basedOn w:val="00-Normal-BB"/>
    <w:rsid w:val="00AB4059"/>
    <w:pPr>
      <w:ind w:left="720"/>
    </w:pPr>
  </w:style>
  <w:style w:type="character" w:styleId="HTMLCite">
    <w:name w:val="HTML Cite"/>
    <w:basedOn w:val="DefaultParagraphFont"/>
    <w:uiPriority w:val="99"/>
    <w:unhideWhenUsed/>
    <w:rsid w:val="00AB4059"/>
    <w:rPr>
      <w:i/>
      <w:iCs/>
    </w:rPr>
  </w:style>
  <w:style w:type="character" w:styleId="LineNumber">
    <w:name w:val="line number"/>
    <w:basedOn w:val="DefaultParagraphFont"/>
    <w:uiPriority w:val="99"/>
    <w:unhideWhenUsed/>
    <w:rsid w:val="00AB4059"/>
  </w:style>
  <w:style w:type="paragraph" w:customStyle="1" w:styleId="Heading3-numbered">
    <w:name w:val="Heading 3-numbered"/>
    <w:basedOn w:val="Heading3"/>
    <w:qFormat/>
    <w:rsid w:val="003350AF"/>
    <w:pPr>
      <w:numPr>
        <w:numId w:val="35"/>
      </w:numPr>
      <w:tabs>
        <w:tab w:val="left" w:pos="426"/>
      </w:tabs>
    </w:pPr>
    <w:rPr>
      <w:rFonts w:ascii="Arial" w:hAnsi="Arial" w:cs="Arial"/>
    </w:rPr>
  </w:style>
  <w:style w:type="paragraph" w:customStyle="1" w:styleId="BodyText11">
    <w:name w:val="Body Text11"/>
    <w:basedOn w:val="Normal"/>
    <w:rsid w:val="00E56C8C"/>
    <w:pPr>
      <w:keepLines/>
      <w:autoSpaceDE/>
      <w:autoSpaceDN/>
      <w:adjustRightInd/>
      <w:spacing w:before="140" w:after="140"/>
      <w:ind w:left="397"/>
      <w:jc w:val="left"/>
    </w:pPr>
    <w:rPr>
      <w:rFonts w:eastAsia="Times New Roman" w:cs="Times New Roman"/>
      <w:color w:val="auto"/>
      <w:lang w:eastAsia="en-GB"/>
    </w:rPr>
  </w:style>
  <w:style w:type="paragraph" w:customStyle="1" w:styleId="Body1">
    <w:name w:val="Body 1"/>
    <w:rsid w:val="00E56C8C"/>
    <w:pPr>
      <w:spacing w:before="0" w:after="200" w:line="276" w:lineRule="auto"/>
      <w:jc w:val="left"/>
      <w:outlineLvl w:val="0"/>
    </w:pPr>
    <w:rPr>
      <w:rFonts w:ascii="Arial" w:eastAsia="Arial Unicode MS" w:hAnsi="Arial"/>
      <w:color w:val="000000"/>
      <w:sz w:val="24"/>
      <w:u w:color="000000"/>
    </w:rPr>
  </w:style>
  <w:style w:type="paragraph" w:customStyle="1" w:styleId="BaseBold">
    <w:name w:val="Base Bold"/>
    <w:next w:val="Normal"/>
    <w:rsid w:val="00E56C8C"/>
    <w:pPr>
      <w:spacing w:before="0" w:after="0" w:line="200" w:lineRule="atLeast"/>
      <w:jc w:val="left"/>
    </w:pPr>
    <w:rPr>
      <w:rFonts w:ascii="Arial" w:eastAsia="Times New Roman" w:hAnsi="Arial" w:cs="Arial"/>
      <w:b/>
      <w:sz w:val="16"/>
      <w:lang w:eastAsia="en-US"/>
    </w:rPr>
  </w:style>
  <w:style w:type="paragraph" w:customStyle="1" w:styleId="SectionStart">
    <w:name w:val="Section Start"/>
    <w:basedOn w:val="Normal"/>
    <w:next w:val="Heading1"/>
    <w:rsid w:val="00E56C8C"/>
    <w:pPr>
      <w:pageBreakBefore/>
      <w:pBdr>
        <w:top w:val="single" w:sz="12" w:space="1" w:color="000000"/>
        <w:left w:val="single" w:sz="12" w:space="9" w:color="000000"/>
        <w:bottom w:val="single" w:sz="12" w:space="1" w:color="000000"/>
        <w:right w:val="single" w:sz="12" w:space="0" w:color="000000"/>
      </w:pBdr>
      <w:tabs>
        <w:tab w:val="left" w:pos="547"/>
        <w:tab w:val="num" w:pos="720"/>
      </w:tabs>
      <w:autoSpaceDE/>
      <w:autoSpaceDN/>
      <w:adjustRightInd/>
      <w:spacing w:before="1500" w:after="480" w:line="1820" w:lineRule="exact"/>
      <w:ind w:left="720" w:right="6840" w:hanging="720"/>
      <w:jc w:val="left"/>
    </w:pPr>
    <w:rPr>
      <w:rFonts w:ascii="Arial Black" w:eastAsia="Times New Roman" w:hAnsi="Arial Black" w:cs="Times New Roman"/>
      <w:noProof/>
      <w:position w:val="-18"/>
      <w:sz w:val="48"/>
      <w:szCs w:val="20"/>
      <w:lang w:eastAsia="en-GB"/>
    </w:rPr>
  </w:style>
  <w:style w:type="character" w:customStyle="1" w:styleId="NormalSingleChar">
    <w:name w:val="Normal Single Char"/>
    <w:basedOn w:val="DefaultParagraphFont"/>
    <w:link w:val="NormalSingle"/>
    <w:rsid w:val="00E56C8C"/>
    <w:rPr>
      <w:rFonts w:ascii="Arial" w:hAnsi="Arial"/>
      <w:color w:val="000000"/>
    </w:rPr>
  </w:style>
  <w:style w:type="paragraph" w:customStyle="1" w:styleId="NormalSingle">
    <w:name w:val="Normal Single"/>
    <w:basedOn w:val="Normal"/>
    <w:link w:val="NormalSingleChar"/>
    <w:rsid w:val="00E56C8C"/>
    <w:pPr>
      <w:autoSpaceDE/>
      <w:autoSpaceDN/>
      <w:adjustRightInd/>
      <w:spacing w:before="0" w:after="0"/>
      <w:jc w:val="left"/>
    </w:pPr>
    <w:rPr>
      <w:rFonts w:eastAsia="Cambria" w:cs="Times New Roman"/>
      <w:sz w:val="20"/>
      <w:szCs w:val="20"/>
      <w:lang w:eastAsia="en-GB"/>
    </w:rPr>
  </w:style>
  <w:style w:type="paragraph" w:customStyle="1" w:styleId="AppendixHeading">
    <w:name w:val="Appendix Heading"/>
    <w:basedOn w:val="Heading1"/>
    <w:next w:val="Normal"/>
    <w:rsid w:val="00E56C8C"/>
    <w:pPr>
      <w:keepNext/>
      <w:tabs>
        <w:tab w:val="num" w:pos="0"/>
      </w:tabs>
      <w:autoSpaceDE/>
      <w:autoSpaceDN/>
      <w:adjustRightInd/>
      <w:spacing w:before="60" w:after="240"/>
      <w:jc w:val="left"/>
    </w:pPr>
    <w:rPr>
      <w:rFonts w:ascii="Arial Black" w:hAnsi="Arial Black" w:cs="Times New Roman"/>
      <w:b w:val="0"/>
      <w:bCs w:val="0"/>
      <w:color w:val="000000"/>
      <w:sz w:val="28"/>
      <w:szCs w:val="20"/>
      <w:lang w:eastAsia="en-GB"/>
    </w:rPr>
  </w:style>
  <w:style w:type="paragraph" w:customStyle="1" w:styleId="Pa0">
    <w:name w:val="Pa0"/>
    <w:basedOn w:val="Default"/>
    <w:next w:val="Default"/>
    <w:uiPriority w:val="99"/>
    <w:rsid w:val="00E56C8C"/>
    <w:pPr>
      <w:spacing w:before="0" w:after="0" w:line="241" w:lineRule="atLeast"/>
      <w:jc w:val="left"/>
    </w:pPr>
    <w:rPr>
      <w:rFonts w:ascii="Swiss 72 1 BT" w:eastAsiaTheme="minorHAnsi" w:hAnsi="Swiss 72 1 BT" w:cstheme="minorBidi"/>
      <w:color w:val="auto"/>
      <w:lang w:eastAsia="en-US"/>
    </w:rPr>
  </w:style>
  <w:style w:type="character" w:styleId="CommentReference">
    <w:name w:val="annotation reference"/>
    <w:basedOn w:val="DefaultParagraphFont"/>
    <w:uiPriority w:val="99"/>
    <w:semiHidden/>
    <w:unhideWhenUsed/>
    <w:rsid w:val="00DD32F5"/>
    <w:rPr>
      <w:sz w:val="16"/>
      <w:szCs w:val="16"/>
    </w:rPr>
  </w:style>
  <w:style w:type="paragraph" w:customStyle="1" w:styleId="bullets0">
    <w:name w:val="bullets"/>
    <w:basedOn w:val="Normal"/>
    <w:rsid w:val="00566130"/>
    <w:pPr>
      <w:autoSpaceDE/>
      <w:autoSpaceDN/>
      <w:adjustRightInd/>
      <w:spacing w:before="0" w:after="100" w:afterAutospacing="1"/>
      <w:jc w:val="left"/>
    </w:pPr>
    <w:rPr>
      <w:rFonts w:ascii="Verdana" w:eastAsia="Times New Roman" w:hAnsi="Verdana" w:cs="Times New Roman"/>
      <w:sz w:val="18"/>
      <w:szCs w:val="18"/>
      <w:lang w:eastAsia="en-GB"/>
    </w:rPr>
  </w:style>
  <w:style w:type="paragraph" w:customStyle="1" w:styleId="bodyindent0">
    <w:name w:val="bodyindent"/>
    <w:basedOn w:val="Normal"/>
    <w:rsid w:val="00566130"/>
    <w:pPr>
      <w:autoSpaceDE/>
      <w:autoSpaceDN/>
      <w:adjustRightInd/>
      <w:spacing w:before="100" w:beforeAutospacing="1" w:after="100" w:afterAutospacing="1"/>
      <w:jc w:val="left"/>
    </w:pPr>
    <w:rPr>
      <w:rFonts w:ascii="Verdana" w:eastAsia="Times New Roman" w:hAnsi="Verdana" w:cs="Times New Roman"/>
      <w:sz w:val="18"/>
      <w:szCs w:val="18"/>
      <w:lang w:eastAsia="en-GB"/>
    </w:rPr>
  </w:style>
  <w:style w:type="character" w:customStyle="1" w:styleId="italic1">
    <w:name w:val="italic1"/>
    <w:basedOn w:val="DefaultParagraphFont"/>
    <w:rsid w:val="00566130"/>
    <w:rPr>
      <w:i/>
      <w:iCs/>
    </w:rPr>
  </w:style>
  <w:style w:type="character" w:customStyle="1" w:styleId="footnoteref1">
    <w:name w:val="footnoteref1"/>
    <w:basedOn w:val="DefaultParagraphFont"/>
    <w:rsid w:val="00566130"/>
    <w:rPr>
      <w:b w:val="0"/>
      <w:bCs w:val="0"/>
      <w:sz w:val="14"/>
      <w:szCs w:val="14"/>
      <w:u w:val="single"/>
    </w:rPr>
  </w:style>
  <w:style w:type="paragraph" w:customStyle="1" w:styleId="BodyText20">
    <w:name w:val="Body Text2"/>
    <w:basedOn w:val="Normal"/>
    <w:rsid w:val="00144349"/>
    <w:pPr>
      <w:keepLines/>
      <w:autoSpaceDE/>
      <w:autoSpaceDN/>
      <w:adjustRightInd/>
      <w:spacing w:before="140" w:after="140"/>
    </w:pPr>
    <w:rPr>
      <w:rFonts w:eastAsia="Times New Roman" w:cs="Times New Roman"/>
      <w:color w:val="auto"/>
      <w:lang w:eastAsia="en-GB"/>
    </w:rPr>
  </w:style>
  <w:style w:type="table" w:customStyle="1" w:styleId="TableGrid1">
    <w:name w:val="Table Grid1"/>
    <w:basedOn w:val="TableNormal"/>
    <w:next w:val="TableGrid"/>
    <w:rsid w:val="00144349"/>
    <w:pPr>
      <w:spacing w:before="0" w:after="0"/>
      <w:jc w:val="lef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
    <w:name w:val="dash"/>
    <w:basedOn w:val="Normal"/>
    <w:rsid w:val="00876DEC"/>
    <w:pPr>
      <w:autoSpaceDE/>
      <w:autoSpaceDN/>
      <w:adjustRightInd/>
      <w:spacing w:before="100" w:beforeAutospacing="1" w:after="100" w:afterAutospacing="1"/>
      <w:jc w:val="left"/>
    </w:pPr>
    <w:rPr>
      <w:rFonts w:ascii="Verdana" w:eastAsia="Times New Roman" w:hAnsi="Verdana" w:cs="Times New Roman"/>
      <w:sz w:val="18"/>
      <w:szCs w:val="18"/>
      <w:lang w:eastAsia="en-GB"/>
    </w:rPr>
  </w:style>
  <w:style w:type="character" w:customStyle="1" w:styleId="green1">
    <w:name w:val="green1"/>
    <w:basedOn w:val="DefaultParagraphFont"/>
    <w:rsid w:val="00103C5F"/>
    <w:rPr>
      <w:color w:val="5AAE41"/>
    </w:rPr>
  </w:style>
  <w:style w:type="paragraph" w:customStyle="1" w:styleId="default0">
    <w:name w:val="default"/>
    <w:basedOn w:val="Normal"/>
    <w:rsid w:val="00130A49"/>
    <w:pPr>
      <w:adjustRightInd/>
      <w:spacing w:after="20"/>
      <w:jc w:val="right"/>
    </w:pPr>
    <w:rPr>
      <w:rFonts w:ascii="Gill Sans MT Pro Medium" w:eastAsiaTheme="minorHAnsi" w:hAnsi="Gill Sans MT Pro Medium" w:cs="Times New Roman"/>
      <w:lang w:eastAsia="en-GB"/>
    </w:rPr>
  </w:style>
  <w:style w:type="character" w:customStyle="1" w:styleId="ListParagraphChar">
    <w:name w:val="List Paragraph Char"/>
    <w:link w:val="ListParagraph"/>
    <w:uiPriority w:val="34"/>
    <w:locked/>
    <w:rsid w:val="00F265DF"/>
    <w:rPr>
      <w:rFonts w:ascii="Arial" w:eastAsia="Calibri" w:hAnsi="Arial" w:cs="Helvetica-Light"/>
      <w:color w:val="000000"/>
      <w:sz w:val="24"/>
      <w:szCs w:val="24"/>
      <w:lang w:eastAsia="en-US"/>
    </w:rPr>
  </w:style>
  <w:style w:type="paragraph" w:customStyle="1" w:styleId="Pa314">
    <w:name w:val="Pa3+14"/>
    <w:basedOn w:val="Normal"/>
    <w:next w:val="Normal"/>
    <w:rsid w:val="002359B6"/>
    <w:pPr>
      <w:spacing w:before="0" w:after="0" w:line="181" w:lineRule="atLeast"/>
      <w:jc w:val="left"/>
    </w:pPr>
    <w:rPr>
      <w:rFonts w:ascii="Vodafone Lt" w:eastAsia="Times New Roman" w:hAnsi="Vodafone Lt" w:cs="Times New Roman"/>
      <w:color w:val="auto"/>
      <w:lang w:eastAsia="en-GB"/>
    </w:rPr>
  </w:style>
  <w:style w:type="table" w:customStyle="1" w:styleId="ColorfulList1">
    <w:name w:val="Colorful List1"/>
    <w:basedOn w:val="TableNormal"/>
    <w:uiPriority w:val="72"/>
    <w:rsid w:val="00274914"/>
    <w:pPr>
      <w:spacing w:before="0" w:after="0"/>
      <w:jc w:val="left"/>
    </w:pPr>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ubject">
    <w:name w:val="Subject"/>
    <w:basedOn w:val="Normal"/>
    <w:rsid w:val="00274914"/>
    <w:pPr>
      <w:overflowPunct w:val="0"/>
      <w:spacing w:before="0" w:after="0"/>
      <w:ind w:right="301"/>
      <w:jc w:val="left"/>
      <w:textAlignment w:val="baseline"/>
    </w:pPr>
    <w:rPr>
      <w:rFonts w:ascii="Times New Roman" w:eastAsia="Times New Roman" w:hAnsi="Times New Roman" w:cs="Times New Roman"/>
      <w:b/>
      <w:color w:val="aut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6684">
      <w:bodyDiv w:val="1"/>
      <w:marLeft w:val="0"/>
      <w:marRight w:val="0"/>
      <w:marTop w:val="0"/>
      <w:marBottom w:val="0"/>
      <w:divBdr>
        <w:top w:val="none" w:sz="0" w:space="0" w:color="auto"/>
        <w:left w:val="none" w:sz="0" w:space="0" w:color="auto"/>
        <w:bottom w:val="none" w:sz="0" w:space="0" w:color="auto"/>
        <w:right w:val="none" w:sz="0" w:space="0" w:color="auto"/>
      </w:divBdr>
    </w:div>
    <w:div w:id="15471191">
      <w:bodyDiv w:val="1"/>
      <w:marLeft w:val="0"/>
      <w:marRight w:val="0"/>
      <w:marTop w:val="0"/>
      <w:marBottom w:val="0"/>
      <w:divBdr>
        <w:top w:val="none" w:sz="0" w:space="0" w:color="auto"/>
        <w:left w:val="none" w:sz="0" w:space="0" w:color="auto"/>
        <w:bottom w:val="none" w:sz="0" w:space="0" w:color="auto"/>
        <w:right w:val="none" w:sz="0" w:space="0" w:color="auto"/>
      </w:divBdr>
    </w:div>
    <w:div w:id="17514200">
      <w:bodyDiv w:val="1"/>
      <w:marLeft w:val="0"/>
      <w:marRight w:val="0"/>
      <w:marTop w:val="0"/>
      <w:marBottom w:val="0"/>
      <w:divBdr>
        <w:top w:val="none" w:sz="0" w:space="0" w:color="auto"/>
        <w:left w:val="none" w:sz="0" w:space="0" w:color="auto"/>
        <w:bottom w:val="none" w:sz="0" w:space="0" w:color="auto"/>
        <w:right w:val="none" w:sz="0" w:space="0" w:color="auto"/>
      </w:divBdr>
    </w:div>
    <w:div w:id="36126430">
      <w:bodyDiv w:val="1"/>
      <w:marLeft w:val="0"/>
      <w:marRight w:val="0"/>
      <w:marTop w:val="0"/>
      <w:marBottom w:val="0"/>
      <w:divBdr>
        <w:top w:val="none" w:sz="0" w:space="0" w:color="auto"/>
        <w:left w:val="none" w:sz="0" w:space="0" w:color="auto"/>
        <w:bottom w:val="none" w:sz="0" w:space="0" w:color="auto"/>
        <w:right w:val="none" w:sz="0" w:space="0" w:color="auto"/>
      </w:divBdr>
    </w:div>
    <w:div w:id="41295875">
      <w:bodyDiv w:val="1"/>
      <w:marLeft w:val="0"/>
      <w:marRight w:val="0"/>
      <w:marTop w:val="0"/>
      <w:marBottom w:val="0"/>
      <w:divBdr>
        <w:top w:val="none" w:sz="0" w:space="0" w:color="auto"/>
        <w:left w:val="none" w:sz="0" w:space="0" w:color="auto"/>
        <w:bottom w:val="none" w:sz="0" w:space="0" w:color="auto"/>
        <w:right w:val="none" w:sz="0" w:space="0" w:color="auto"/>
      </w:divBdr>
    </w:div>
    <w:div w:id="47385237">
      <w:bodyDiv w:val="1"/>
      <w:marLeft w:val="0"/>
      <w:marRight w:val="0"/>
      <w:marTop w:val="0"/>
      <w:marBottom w:val="0"/>
      <w:divBdr>
        <w:top w:val="none" w:sz="0" w:space="0" w:color="auto"/>
        <w:left w:val="none" w:sz="0" w:space="0" w:color="auto"/>
        <w:bottom w:val="none" w:sz="0" w:space="0" w:color="auto"/>
        <w:right w:val="none" w:sz="0" w:space="0" w:color="auto"/>
      </w:divBdr>
    </w:div>
    <w:div w:id="52312525">
      <w:bodyDiv w:val="1"/>
      <w:marLeft w:val="0"/>
      <w:marRight w:val="0"/>
      <w:marTop w:val="0"/>
      <w:marBottom w:val="0"/>
      <w:divBdr>
        <w:top w:val="none" w:sz="0" w:space="0" w:color="auto"/>
        <w:left w:val="none" w:sz="0" w:space="0" w:color="auto"/>
        <w:bottom w:val="none" w:sz="0" w:space="0" w:color="auto"/>
        <w:right w:val="none" w:sz="0" w:space="0" w:color="auto"/>
      </w:divBdr>
    </w:div>
    <w:div w:id="67924659">
      <w:bodyDiv w:val="1"/>
      <w:marLeft w:val="0"/>
      <w:marRight w:val="0"/>
      <w:marTop w:val="0"/>
      <w:marBottom w:val="0"/>
      <w:divBdr>
        <w:top w:val="none" w:sz="0" w:space="0" w:color="auto"/>
        <w:left w:val="none" w:sz="0" w:space="0" w:color="auto"/>
        <w:bottom w:val="none" w:sz="0" w:space="0" w:color="auto"/>
        <w:right w:val="none" w:sz="0" w:space="0" w:color="auto"/>
      </w:divBdr>
    </w:div>
    <w:div w:id="97065265">
      <w:bodyDiv w:val="1"/>
      <w:marLeft w:val="0"/>
      <w:marRight w:val="0"/>
      <w:marTop w:val="0"/>
      <w:marBottom w:val="0"/>
      <w:divBdr>
        <w:top w:val="none" w:sz="0" w:space="0" w:color="auto"/>
        <w:left w:val="none" w:sz="0" w:space="0" w:color="auto"/>
        <w:bottom w:val="none" w:sz="0" w:space="0" w:color="auto"/>
        <w:right w:val="none" w:sz="0" w:space="0" w:color="auto"/>
      </w:divBdr>
      <w:divsChild>
        <w:div w:id="1124079681">
          <w:marLeft w:val="0"/>
          <w:marRight w:val="0"/>
          <w:marTop w:val="0"/>
          <w:marBottom w:val="0"/>
          <w:divBdr>
            <w:top w:val="none" w:sz="0" w:space="0" w:color="auto"/>
            <w:left w:val="none" w:sz="0" w:space="0" w:color="auto"/>
            <w:bottom w:val="none" w:sz="0" w:space="0" w:color="auto"/>
            <w:right w:val="none" w:sz="0" w:space="0" w:color="auto"/>
          </w:divBdr>
          <w:divsChild>
            <w:div w:id="1289316981">
              <w:marLeft w:val="0"/>
              <w:marRight w:val="0"/>
              <w:marTop w:val="0"/>
              <w:marBottom w:val="0"/>
              <w:divBdr>
                <w:top w:val="none" w:sz="0" w:space="0" w:color="auto"/>
                <w:left w:val="none" w:sz="0" w:space="0" w:color="auto"/>
                <w:bottom w:val="none" w:sz="0" w:space="0" w:color="auto"/>
                <w:right w:val="none" w:sz="0" w:space="0" w:color="auto"/>
              </w:divBdr>
              <w:divsChild>
                <w:div w:id="343634113">
                  <w:marLeft w:val="0"/>
                  <w:marRight w:val="0"/>
                  <w:marTop w:val="0"/>
                  <w:marBottom w:val="0"/>
                  <w:divBdr>
                    <w:top w:val="none" w:sz="0" w:space="0" w:color="auto"/>
                    <w:left w:val="none" w:sz="0" w:space="0" w:color="auto"/>
                    <w:bottom w:val="none" w:sz="0" w:space="0" w:color="auto"/>
                    <w:right w:val="none" w:sz="0" w:space="0" w:color="auto"/>
                  </w:divBdr>
                  <w:divsChild>
                    <w:div w:id="195433384">
                      <w:marLeft w:val="150"/>
                      <w:marRight w:val="150"/>
                      <w:marTop w:val="150"/>
                      <w:marBottom w:val="150"/>
                      <w:divBdr>
                        <w:top w:val="none" w:sz="0" w:space="0" w:color="auto"/>
                        <w:left w:val="none" w:sz="0" w:space="0" w:color="auto"/>
                        <w:bottom w:val="none" w:sz="0" w:space="0" w:color="auto"/>
                        <w:right w:val="none" w:sz="0" w:space="0" w:color="auto"/>
                      </w:divBdr>
                      <w:divsChild>
                        <w:div w:id="379978996">
                          <w:marLeft w:val="0"/>
                          <w:marRight w:val="0"/>
                          <w:marTop w:val="0"/>
                          <w:marBottom w:val="0"/>
                          <w:divBdr>
                            <w:top w:val="none" w:sz="0" w:space="0" w:color="auto"/>
                            <w:left w:val="none" w:sz="0" w:space="0" w:color="auto"/>
                            <w:bottom w:val="none" w:sz="0" w:space="0" w:color="auto"/>
                            <w:right w:val="none" w:sz="0" w:space="0" w:color="auto"/>
                          </w:divBdr>
                          <w:divsChild>
                            <w:div w:id="2108842181">
                              <w:marLeft w:val="0"/>
                              <w:marRight w:val="0"/>
                              <w:marTop w:val="0"/>
                              <w:marBottom w:val="0"/>
                              <w:divBdr>
                                <w:top w:val="none" w:sz="0" w:space="0" w:color="auto"/>
                                <w:left w:val="none" w:sz="0" w:space="0" w:color="auto"/>
                                <w:bottom w:val="none" w:sz="0" w:space="0" w:color="auto"/>
                                <w:right w:val="none" w:sz="0" w:space="0" w:color="auto"/>
                              </w:divBdr>
                              <w:divsChild>
                                <w:div w:id="2021200597">
                                  <w:marLeft w:val="0"/>
                                  <w:marRight w:val="0"/>
                                  <w:marTop w:val="0"/>
                                  <w:marBottom w:val="0"/>
                                  <w:divBdr>
                                    <w:top w:val="none" w:sz="0" w:space="0" w:color="auto"/>
                                    <w:left w:val="none" w:sz="0" w:space="0" w:color="auto"/>
                                    <w:bottom w:val="none" w:sz="0" w:space="0" w:color="auto"/>
                                    <w:right w:val="none" w:sz="0" w:space="0" w:color="auto"/>
                                  </w:divBdr>
                                  <w:divsChild>
                                    <w:div w:id="20590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40309">
      <w:bodyDiv w:val="1"/>
      <w:marLeft w:val="0"/>
      <w:marRight w:val="0"/>
      <w:marTop w:val="0"/>
      <w:marBottom w:val="0"/>
      <w:divBdr>
        <w:top w:val="none" w:sz="0" w:space="0" w:color="auto"/>
        <w:left w:val="none" w:sz="0" w:space="0" w:color="auto"/>
        <w:bottom w:val="none" w:sz="0" w:space="0" w:color="auto"/>
        <w:right w:val="none" w:sz="0" w:space="0" w:color="auto"/>
      </w:divBdr>
    </w:div>
    <w:div w:id="125511610">
      <w:bodyDiv w:val="1"/>
      <w:marLeft w:val="0"/>
      <w:marRight w:val="0"/>
      <w:marTop w:val="0"/>
      <w:marBottom w:val="0"/>
      <w:divBdr>
        <w:top w:val="none" w:sz="0" w:space="0" w:color="auto"/>
        <w:left w:val="none" w:sz="0" w:space="0" w:color="auto"/>
        <w:bottom w:val="none" w:sz="0" w:space="0" w:color="auto"/>
        <w:right w:val="none" w:sz="0" w:space="0" w:color="auto"/>
      </w:divBdr>
    </w:div>
    <w:div w:id="143007801">
      <w:bodyDiv w:val="1"/>
      <w:marLeft w:val="0"/>
      <w:marRight w:val="0"/>
      <w:marTop w:val="0"/>
      <w:marBottom w:val="0"/>
      <w:divBdr>
        <w:top w:val="none" w:sz="0" w:space="0" w:color="auto"/>
        <w:left w:val="none" w:sz="0" w:space="0" w:color="auto"/>
        <w:bottom w:val="none" w:sz="0" w:space="0" w:color="auto"/>
        <w:right w:val="none" w:sz="0" w:space="0" w:color="auto"/>
      </w:divBdr>
    </w:div>
    <w:div w:id="160312472">
      <w:bodyDiv w:val="1"/>
      <w:marLeft w:val="0"/>
      <w:marRight w:val="0"/>
      <w:marTop w:val="0"/>
      <w:marBottom w:val="0"/>
      <w:divBdr>
        <w:top w:val="none" w:sz="0" w:space="0" w:color="auto"/>
        <w:left w:val="none" w:sz="0" w:space="0" w:color="auto"/>
        <w:bottom w:val="none" w:sz="0" w:space="0" w:color="auto"/>
        <w:right w:val="none" w:sz="0" w:space="0" w:color="auto"/>
      </w:divBdr>
    </w:div>
    <w:div w:id="190919956">
      <w:bodyDiv w:val="1"/>
      <w:marLeft w:val="0"/>
      <w:marRight w:val="0"/>
      <w:marTop w:val="0"/>
      <w:marBottom w:val="0"/>
      <w:divBdr>
        <w:top w:val="none" w:sz="0" w:space="0" w:color="auto"/>
        <w:left w:val="none" w:sz="0" w:space="0" w:color="auto"/>
        <w:bottom w:val="none" w:sz="0" w:space="0" w:color="auto"/>
        <w:right w:val="none" w:sz="0" w:space="0" w:color="auto"/>
      </w:divBdr>
    </w:div>
    <w:div w:id="219025582">
      <w:bodyDiv w:val="1"/>
      <w:marLeft w:val="0"/>
      <w:marRight w:val="0"/>
      <w:marTop w:val="0"/>
      <w:marBottom w:val="0"/>
      <w:divBdr>
        <w:top w:val="none" w:sz="0" w:space="0" w:color="auto"/>
        <w:left w:val="none" w:sz="0" w:space="0" w:color="auto"/>
        <w:bottom w:val="none" w:sz="0" w:space="0" w:color="auto"/>
        <w:right w:val="none" w:sz="0" w:space="0" w:color="auto"/>
      </w:divBdr>
    </w:div>
    <w:div w:id="219443908">
      <w:bodyDiv w:val="1"/>
      <w:marLeft w:val="0"/>
      <w:marRight w:val="0"/>
      <w:marTop w:val="0"/>
      <w:marBottom w:val="0"/>
      <w:divBdr>
        <w:top w:val="none" w:sz="0" w:space="0" w:color="auto"/>
        <w:left w:val="none" w:sz="0" w:space="0" w:color="auto"/>
        <w:bottom w:val="none" w:sz="0" w:space="0" w:color="auto"/>
        <w:right w:val="none" w:sz="0" w:space="0" w:color="auto"/>
      </w:divBdr>
    </w:div>
    <w:div w:id="237206260">
      <w:bodyDiv w:val="1"/>
      <w:marLeft w:val="0"/>
      <w:marRight w:val="0"/>
      <w:marTop w:val="0"/>
      <w:marBottom w:val="0"/>
      <w:divBdr>
        <w:top w:val="none" w:sz="0" w:space="0" w:color="auto"/>
        <w:left w:val="none" w:sz="0" w:space="0" w:color="auto"/>
        <w:bottom w:val="none" w:sz="0" w:space="0" w:color="auto"/>
        <w:right w:val="none" w:sz="0" w:space="0" w:color="auto"/>
      </w:divBdr>
    </w:div>
    <w:div w:id="255479648">
      <w:bodyDiv w:val="1"/>
      <w:marLeft w:val="0"/>
      <w:marRight w:val="0"/>
      <w:marTop w:val="0"/>
      <w:marBottom w:val="0"/>
      <w:divBdr>
        <w:top w:val="none" w:sz="0" w:space="0" w:color="auto"/>
        <w:left w:val="none" w:sz="0" w:space="0" w:color="auto"/>
        <w:bottom w:val="none" w:sz="0" w:space="0" w:color="auto"/>
        <w:right w:val="none" w:sz="0" w:space="0" w:color="auto"/>
      </w:divBdr>
    </w:div>
    <w:div w:id="269095292">
      <w:bodyDiv w:val="1"/>
      <w:marLeft w:val="0"/>
      <w:marRight w:val="0"/>
      <w:marTop w:val="0"/>
      <w:marBottom w:val="0"/>
      <w:divBdr>
        <w:top w:val="none" w:sz="0" w:space="0" w:color="auto"/>
        <w:left w:val="none" w:sz="0" w:space="0" w:color="auto"/>
        <w:bottom w:val="none" w:sz="0" w:space="0" w:color="auto"/>
        <w:right w:val="none" w:sz="0" w:space="0" w:color="auto"/>
      </w:divBdr>
    </w:div>
    <w:div w:id="271593458">
      <w:bodyDiv w:val="1"/>
      <w:marLeft w:val="0"/>
      <w:marRight w:val="0"/>
      <w:marTop w:val="0"/>
      <w:marBottom w:val="0"/>
      <w:divBdr>
        <w:top w:val="none" w:sz="0" w:space="0" w:color="auto"/>
        <w:left w:val="none" w:sz="0" w:space="0" w:color="auto"/>
        <w:bottom w:val="none" w:sz="0" w:space="0" w:color="auto"/>
        <w:right w:val="none" w:sz="0" w:space="0" w:color="auto"/>
      </w:divBdr>
    </w:div>
    <w:div w:id="278412138">
      <w:bodyDiv w:val="1"/>
      <w:marLeft w:val="0"/>
      <w:marRight w:val="0"/>
      <w:marTop w:val="0"/>
      <w:marBottom w:val="0"/>
      <w:divBdr>
        <w:top w:val="none" w:sz="0" w:space="0" w:color="auto"/>
        <w:left w:val="none" w:sz="0" w:space="0" w:color="auto"/>
        <w:bottom w:val="none" w:sz="0" w:space="0" w:color="auto"/>
        <w:right w:val="none" w:sz="0" w:space="0" w:color="auto"/>
      </w:divBdr>
    </w:div>
    <w:div w:id="289479435">
      <w:bodyDiv w:val="1"/>
      <w:marLeft w:val="0"/>
      <w:marRight w:val="0"/>
      <w:marTop w:val="0"/>
      <w:marBottom w:val="0"/>
      <w:divBdr>
        <w:top w:val="none" w:sz="0" w:space="0" w:color="auto"/>
        <w:left w:val="none" w:sz="0" w:space="0" w:color="auto"/>
        <w:bottom w:val="none" w:sz="0" w:space="0" w:color="auto"/>
        <w:right w:val="none" w:sz="0" w:space="0" w:color="auto"/>
      </w:divBdr>
    </w:div>
    <w:div w:id="290017915">
      <w:bodyDiv w:val="1"/>
      <w:marLeft w:val="0"/>
      <w:marRight w:val="0"/>
      <w:marTop w:val="0"/>
      <w:marBottom w:val="0"/>
      <w:divBdr>
        <w:top w:val="none" w:sz="0" w:space="0" w:color="auto"/>
        <w:left w:val="none" w:sz="0" w:space="0" w:color="auto"/>
        <w:bottom w:val="none" w:sz="0" w:space="0" w:color="auto"/>
        <w:right w:val="none" w:sz="0" w:space="0" w:color="auto"/>
      </w:divBdr>
    </w:div>
    <w:div w:id="294141235">
      <w:bodyDiv w:val="1"/>
      <w:marLeft w:val="0"/>
      <w:marRight w:val="0"/>
      <w:marTop w:val="0"/>
      <w:marBottom w:val="0"/>
      <w:divBdr>
        <w:top w:val="none" w:sz="0" w:space="0" w:color="auto"/>
        <w:left w:val="none" w:sz="0" w:space="0" w:color="auto"/>
        <w:bottom w:val="none" w:sz="0" w:space="0" w:color="auto"/>
        <w:right w:val="none" w:sz="0" w:space="0" w:color="auto"/>
      </w:divBdr>
    </w:div>
    <w:div w:id="324206672">
      <w:bodyDiv w:val="1"/>
      <w:marLeft w:val="0"/>
      <w:marRight w:val="0"/>
      <w:marTop w:val="0"/>
      <w:marBottom w:val="0"/>
      <w:divBdr>
        <w:top w:val="none" w:sz="0" w:space="0" w:color="auto"/>
        <w:left w:val="none" w:sz="0" w:space="0" w:color="auto"/>
        <w:bottom w:val="none" w:sz="0" w:space="0" w:color="auto"/>
        <w:right w:val="none" w:sz="0" w:space="0" w:color="auto"/>
      </w:divBdr>
    </w:div>
    <w:div w:id="330378894">
      <w:bodyDiv w:val="1"/>
      <w:marLeft w:val="0"/>
      <w:marRight w:val="0"/>
      <w:marTop w:val="0"/>
      <w:marBottom w:val="0"/>
      <w:divBdr>
        <w:top w:val="none" w:sz="0" w:space="0" w:color="auto"/>
        <w:left w:val="none" w:sz="0" w:space="0" w:color="auto"/>
        <w:bottom w:val="none" w:sz="0" w:space="0" w:color="auto"/>
        <w:right w:val="none" w:sz="0" w:space="0" w:color="auto"/>
      </w:divBdr>
    </w:div>
    <w:div w:id="356582345">
      <w:bodyDiv w:val="1"/>
      <w:marLeft w:val="0"/>
      <w:marRight w:val="0"/>
      <w:marTop w:val="0"/>
      <w:marBottom w:val="0"/>
      <w:divBdr>
        <w:top w:val="none" w:sz="0" w:space="0" w:color="auto"/>
        <w:left w:val="none" w:sz="0" w:space="0" w:color="auto"/>
        <w:bottom w:val="none" w:sz="0" w:space="0" w:color="auto"/>
        <w:right w:val="none" w:sz="0" w:space="0" w:color="auto"/>
      </w:divBdr>
    </w:div>
    <w:div w:id="375274133">
      <w:bodyDiv w:val="1"/>
      <w:marLeft w:val="0"/>
      <w:marRight w:val="0"/>
      <w:marTop w:val="0"/>
      <w:marBottom w:val="0"/>
      <w:divBdr>
        <w:top w:val="none" w:sz="0" w:space="0" w:color="auto"/>
        <w:left w:val="none" w:sz="0" w:space="0" w:color="auto"/>
        <w:bottom w:val="none" w:sz="0" w:space="0" w:color="auto"/>
        <w:right w:val="none" w:sz="0" w:space="0" w:color="auto"/>
      </w:divBdr>
    </w:div>
    <w:div w:id="377825562">
      <w:bodyDiv w:val="1"/>
      <w:marLeft w:val="0"/>
      <w:marRight w:val="0"/>
      <w:marTop w:val="0"/>
      <w:marBottom w:val="0"/>
      <w:divBdr>
        <w:top w:val="none" w:sz="0" w:space="0" w:color="auto"/>
        <w:left w:val="none" w:sz="0" w:space="0" w:color="auto"/>
        <w:bottom w:val="none" w:sz="0" w:space="0" w:color="auto"/>
        <w:right w:val="none" w:sz="0" w:space="0" w:color="auto"/>
      </w:divBdr>
    </w:div>
    <w:div w:id="379747173">
      <w:bodyDiv w:val="1"/>
      <w:marLeft w:val="0"/>
      <w:marRight w:val="0"/>
      <w:marTop w:val="0"/>
      <w:marBottom w:val="0"/>
      <w:divBdr>
        <w:top w:val="none" w:sz="0" w:space="0" w:color="auto"/>
        <w:left w:val="none" w:sz="0" w:space="0" w:color="auto"/>
        <w:bottom w:val="none" w:sz="0" w:space="0" w:color="auto"/>
        <w:right w:val="none" w:sz="0" w:space="0" w:color="auto"/>
      </w:divBdr>
    </w:div>
    <w:div w:id="381101442">
      <w:bodyDiv w:val="1"/>
      <w:marLeft w:val="0"/>
      <w:marRight w:val="0"/>
      <w:marTop w:val="0"/>
      <w:marBottom w:val="0"/>
      <w:divBdr>
        <w:top w:val="none" w:sz="0" w:space="0" w:color="auto"/>
        <w:left w:val="none" w:sz="0" w:space="0" w:color="auto"/>
        <w:bottom w:val="none" w:sz="0" w:space="0" w:color="auto"/>
        <w:right w:val="none" w:sz="0" w:space="0" w:color="auto"/>
      </w:divBdr>
    </w:div>
    <w:div w:id="385026811">
      <w:bodyDiv w:val="1"/>
      <w:marLeft w:val="0"/>
      <w:marRight w:val="0"/>
      <w:marTop w:val="0"/>
      <w:marBottom w:val="0"/>
      <w:divBdr>
        <w:top w:val="none" w:sz="0" w:space="0" w:color="auto"/>
        <w:left w:val="none" w:sz="0" w:space="0" w:color="auto"/>
        <w:bottom w:val="none" w:sz="0" w:space="0" w:color="auto"/>
        <w:right w:val="none" w:sz="0" w:space="0" w:color="auto"/>
      </w:divBdr>
    </w:div>
    <w:div w:id="398137990">
      <w:bodyDiv w:val="1"/>
      <w:marLeft w:val="0"/>
      <w:marRight w:val="0"/>
      <w:marTop w:val="0"/>
      <w:marBottom w:val="0"/>
      <w:divBdr>
        <w:top w:val="none" w:sz="0" w:space="0" w:color="auto"/>
        <w:left w:val="none" w:sz="0" w:space="0" w:color="auto"/>
        <w:bottom w:val="none" w:sz="0" w:space="0" w:color="auto"/>
        <w:right w:val="none" w:sz="0" w:space="0" w:color="auto"/>
      </w:divBdr>
    </w:div>
    <w:div w:id="407117665">
      <w:bodyDiv w:val="1"/>
      <w:marLeft w:val="0"/>
      <w:marRight w:val="0"/>
      <w:marTop w:val="0"/>
      <w:marBottom w:val="0"/>
      <w:divBdr>
        <w:top w:val="none" w:sz="0" w:space="0" w:color="auto"/>
        <w:left w:val="none" w:sz="0" w:space="0" w:color="auto"/>
        <w:bottom w:val="none" w:sz="0" w:space="0" w:color="auto"/>
        <w:right w:val="none" w:sz="0" w:space="0" w:color="auto"/>
      </w:divBdr>
      <w:divsChild>
        <w:div w:id="43140128">
          <w:marLeft w:val="0"/>
          <w:marRight w:val="0"/>
          <w:marTop w:val="0"/>
          <w:marBottom w:val="0"/>
          <w:divBdr>
            <w:top w:val="none" w:sz="0" w:space="0" w:color="auto"/>
            <w:left w:val="none" w:sz="0" w:space="0" w:color="auto"/>
            <w:bottom w:val="none" w:sz="0" w:space="0" w:color="auto"/>
            <w:right w:val="none" w:sz="0" w:space="0" w:color="auto"/>
          </w:divBdr>
          <w:divsChild>
            <w:div w:id="678391786">
              <w:marLeft w:val="0"/>
              <w:marRight w:val="0"/>
              <w:marTop w:val="0"/>
              <w:marBottom w:val="0"/>
              <w:divBdr>
                <w:top w:val="none" w:sz="0" w:space="0" w:color="auto"/>
                <w:left w:val="none" w:sz="0" w:space="0" w:color="auto"/>
                <w:bottom w:val="none" w:sz="0" w:space="0" w:color="auto"/>
                <w:right w:val="none" w:sz="0" w:space="0" w:color="auto"/>
              </w:divBdr>
              <w:divsChild>
                <w:div w:id="154153408">
                  <w:marLeft w:val="0"/>
                  <w:marRight w:val="0"/>
                  <w:marTop w:val="0"/>
                  <w:marBottom w:val="0"/>
                  <w:divBdr>
                    <w:top w:val="none" w:sz="0" w:space="0" w:color="auto"/>
                    <w:left w:val="none" w:sz="0" w:space="0" w:color="auto"/>
                    <w:bottom w:val="none" w:sz="0" w:space="0" w:color="auto"/>
                    <w:right w:val="none" w:sz="0" w:space="0" w:color="auto"/>
                  </w:divBdr>
                  <w:divsChild>
                    <w:div w:id="766928973">
                      <w:marLeft w:val="167"/>
                      <w:marRight w:val="167"/>
                      <w:marTop w:val="167"/>
                      <w:marBottom w:val="167"/>
                      <w:divBdr>
                        <w:top w:val="none" w:sz="0" w:space="0" w:color="auto"/>
                        <w:left w:val="none" w:sz="0" w:space="0" w:color="auto"/>
                        <w:bottom w:val="none" w:sz="0" w:space="0" w:color="auto"/>
                        <w:right w:val="none" w:sz="0" w:space="0" w:color="auto"/>
                      </w:divBdr>
                      <w:divsChild>
                        <w:div w:id="1020231657">
                          <w:marLeft w:val="0"/>
                          <w:marRight w:val="0"/>
                          <w:marTop w:val="0"/>
                          <w:marBottom w:val="0"/>
                          <w:divBdr>
                            <w:top w:val="none" w:sz="0" w:space="0" w:color="auto"/>
                            <w:left w:val="none" w:sz="0" w:space="0" w:color="auto"/>
                            <w:bottom w:val="none" w:sz="0" w:space="0" w:color="auto"/>
                            <w:right w:val="none" w:sz="0" w:space="0" w:color="auto"/>
                          </w:divBdr>
                          <w:divsChild>
                            <w:div w:id="1147552451">
                              <w:marLeft w:val="0"/>
                              <w:marRight w:val="0"/>
                              <w:marTop w:val="0"/>
                              <w:marBottom w:val="0"/>
                              <w:divBdr>
                                <w:top w:val="none" w:sz="0" w:space="0" w:color="auto"/>
                                <w:left w:val="none" w:sz="0" w:space="0" w:color="auto"/>
                                <w:bottom w:val="none" w:sz="0" w:space="0" w:color="auto"/>
                                <w:right w:val="none" w:sz="0" w:space="0" w:color="auto"/>
                              </w:divBdr>
                              <w:divsChild>
                                <w:div w:id="518079534">
                                  <w:marLeft w:val="0"/>
                                  <w:marRight w:val="0"/>
                                  <w:marTop w:val="0"/>
                                  <w:marBottom w:val="0"/>
                                  <w:divBdr>
                                    <w:top w:val="none" w:sz="0" w:space="0" w:color="auto"/>
                                    <w:left w:val="none" w:sz="0" w:space="0" w:color="auto"/>
                                    <w:bottom w:val="none" w:sz="0" w:space="0" w:color="auto"/>
                                    <w:right w:val="none" w:sz="0" w:space="0" w:color="auto"/>
                                  </w:divBdr>
                                  <w:divsChild>
                                    <w:div w:id="8412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818994">
      <w:bodyDiv w:val="1"/>
      <w:marLeft w:val="0"/>
      <w:marRight w:val="0"/>
      <w:marTop w:val="0"/>
      <w:marBottom w:val="0"/>
      <w:divBdr>
        <w:top w:val="none" w:sz="0" w:space="0" w:color="auto"/>
        <w:left w:val="none" w:sz="0" w:space="0" w:color="auto"/>
        <w:bottom w:val="none" w:sz="0" w:space="0" w:color="auto"/>
        <w:right w:val="none" w:sz="0" w:space="0" w:color="auto"/>
      </w:divBdr>
    </w:div>
    <w:div w:id="419374348">
      <w:bodyDiv w:val="1"/>
      <w:marLeft w:val="0"/>
      <w:marRight w:val="0"/>
      <w:marTop w:val="0"/>
      <w:marBottom w:val="0"/>
      <w:divBdr>
        <w:top w:val="none" w:sz="0" w:space="0" w:color="auto"/>
        <w:left w:val="none" w:sz="0" w:space="0" w:color="auto"/>
        <w:bottom w:val="none" w:sz="0" w:space="0" w:color="auto"/>
        <w:right w:val="none" w:sz="0" w:space="0" w:color="auto"/>
      </w:divBdr>
    </w:div>
    <w:div w:id="426005187">
      <w:bodyDiv w:val="1"/>
      <w:marLeft w:val="0"/>
      <w:marRight w:val="0"/>
      <w:marTop w:val="0"/>
      <w:marBottom w:val="0"/>
      <w:divBdr>
        <w:top w:val="none" w:sz="0" w:space="0" w:color="auto"/>
        <w:left w:val="none" w:sz="0" w:space="0" w:color="auto"/>
        <w:bottom w:val="none" w:sz="0" w:space="0" w:color="auto"/>
        <w:right w:val="none" w:sz="0" w:space="0" w:color="auto"/>
      </w:divBdr>
    </w:div>
    <w:div w:id="426928677">
      <w:bodyDiv w:val="1"/>
      <w:marLeft w:val="0"/>
      <w:marRight w:val="0"/>
      <w:marTop w:val="0"/>
      <w:marBottom w:val="0"/>
      <w:divBdr>
        <w:top w:val="none" w:sz="0" w:space="0" w:color="auto"/>
        <w:left w:val="none" w:sz="0" w:space="0" w:color="auto"/>
        <w:bottom w:val="none" w:sz="0" w:space="0" w:color="auto"/>
        <w:right w:val="none" w:sz="0" w:space="0" w:color="auto"/>
      </w:divBdr>
    </w:div>
    <w:div w:id="451480803">
      <w:bodyDiv w:val="1"/>
      <w:marLeft w:val="0"/>
      <w:marRight w:val="0"/>
      <w:marTop w:val="0"/>
      <w:marBottom w:val="0"/>
      <w:divBdr>
        <w:top w:val="none" w:sz="0" w:space="0" w:color="auto"/>
        <w:left w:val="none" w:sz="0" w:space="0" w:color="auto"/>
        <w:bottom w:val="none" w:sz="0" w:space="0" w:color="auto"/>
        <w:right w:val="none" w:sz="0" w:space="0" w:color="auto"/>
      </w:divBdr>
    </w:div>
    <w:div w:id="453329745">
      <w:bodyDiv w:val="1"/>
      <w:marLeft w:val="0"/>
      <w:marRight w:val="0"/>
      <w:marTop w:val="0"/>
      <w:marBottom w:val="0"/>
      <w:divBdr>
        <w:top w:val="none" w:sz="0" w:space="0" w:color="auto"/>
        <w:left w:val="none" w:sz="0" w:space="0" w:color="auto"/>
        <w:bottom w:val="none" w:sz="0" w:space="0" w:color="auto"/>
        <w:right w:val="none" w:sz="0" w:space="0" w:color="auto"/>
      </w:divBdr>
    </w:div>
    <w:div w:id="470557722">
      <w:bodyDiv w:val="1"/>
      <w:marLeft w:val="0"/>
      <w:marRight w:val="0"/>
      <w:marTop w:val="0"/>
      <w:marBottom w:val="0"/>
      <w:divBdr>
        <w:top w:val="none" w:sz="0" w:space="0" w:color="auto"/>
        <w:left w:val="none" w:sz="0" w:space="0" w:color="auto"/>
        <w:bottom w:val="none" w:sz="0" w:space="0" w:color="auto"/>
        <w:right w:val="none" w:sz="0" w:space="0" w:color="auto"/>
      </w:divBdr>
    </w:div>
    <w:div w:id="474684927">
      <w:bodyDiv w:val="1"/>
      <w:marLeft w:val="0"/>
      <w:marRight w:val="0"/>
      <w:marTop w:val="0"/>
      <w:marBottom w:val="0"/>
      <w:divBdr>
        <w:top w:val="none" w:sz="0" w:space="0" w:color="auto"/>
        <w:left w:val="none" w:sz="0" w:space="0" w:color="auto"/>
        <w:bottom w:val="none" w:sz="0" w:space="0" w:color="auto"/>
        <w:right w:val="none" w:sz="0" w:space="0" w:color="auto"/>
      </w:divBdr>
    </w:div>
    <w:div w:id="483399358">
      <w:bodyDiv w:val="1"/>
      <w:marLeft w:val="0"/>
      <w:marRight w:val="0"/>
      <w:marTop w:val="0"/>
      <w:marBottom w:val="0"/>
      <w:divBdr>
        <w:top w:val="none" w:sz="0" w:space="0" w:color="auto"/>
        <w:left w:val="none" w:sz="0" w:space="0" w:color="auto"/>
        <w:bottom w:val="none" w:sz="0" w:space="0" w:color="auto"/>
        <w:right w:val="none" w:sz="0" w:space="0" w:color="auto"/>
      </w:divBdr>
    </w:div>
    <w:div w:id="484929249">
      <w:bodyDiv w:val="1"/>
      <w:marLeft w:val="0"/>
      <w:marRight w:val="0"/>
      <w:marTop w:val="0"/>
      <w:marBottom w:val="0"/>
      <w:divBdr>
        <w:top w:val="none" w:sz="0" w:space="0" w:color="auto"/>
        <w:left w:val="none" w:sz="0" w:space="0" w:color="auto"/>
        <w:bottom w:val="none" w:sz="0" w:space="0" w:color="auto"/>
        <w:right w:val="none" w:sz="0" w:space="0" w:color="auto"/>
      </w:divBdr>
    </w:div>
    <w:div w:id="506213060">
      <w:bodyDiv w:val="1"/>
      <w:marLeft w:val="0"/>
      <w:marRight w:val="0"/>
      <w:marTop w:val="0"/>
      <w:marBottom w:val="0"/>
      <w:divBdr>
        <w:top w:val="none" w:sz="0" w:space="0" w:color="auto"/>
        <w:left w:val="none" w:sz="0" w:space="0" w:color="auto"/>
        <w:bottom w:val="none" w:sz="0" w:space="0" w:color="auto"/>
        <w:right w:val="none" w:sz="0" w:space="0" w:color="auto"/>
      </w:divBdr>
    </w:div>
    <w:div w:id="518355451">
      <w:bodyDiv w:val="1"/>
      <w:marLeft w:val="0"/>
      <w:marRight w:val="0"/>
      <w:marTop w:val="0"/>
      <w:marBottom w:val="0"/>
      <w:divBdr>
        <w:top w:val="none" w:sz="0" w:space="0" w:color="auto"/>
        <w:left w:val="none" w:sz="0" w:space="0" w:color="auto"/>
        <w:bottom w:val="none" w:sz="0" w:space="0" w:color="auto"/>
        <w:right w:val="none" w:sz="0" w:space="0" w:color="auto"/>
      </w:divBdr>
    </w:div>
    <w:div w:id="526986874">
      <w:bodyDiv w:val="1"/>
      <w:marLeft w:val="0"/>
      <w:marRight w:val="0"/>
      <w:marTop w:val="0"/>
      <w:marBottom w:val="0"/>
      <w:divBdr>
        <w:top w:val="none" w:sz="0" w:space="0" w:color="auto"/>
        <w:left w:val="none" w:sz="0" w:space="0" w:color="auto"/>
        <w:bottom w:val="none" w:sz="0" w:space="0" w:color="auto"/>
        <w:right w:val="none" w:sz="0" w:space="0" w:color="auto"/>
      </w:divBdr>
    </w:div>
    <w:div w:id="530650467">
      <w:bodyDiv w:val="1"/>
      <w:marLeft w:val="0"/>
      <w:marRight w:val="0"/>
      <w:marTop w:val="0"/>
      <w:marBottom w:val="0"/>
      <w:divBdr>
        <w:top w:val="none" w:sz="0" w:space="0" w:color="auto"/>
        <w:left w:val="none" w:sz="0" w:space="0" w:color="auto"/>
        <w:bottom w:val="none" w:sz="0" w:space="0" w:color="auto"/>
        <w:right w:val="none" w:sz="0" w:space="0" w:color="auto"/>
      </w:divBdr>
      <w:divsChild>
        <w:div w:id="1290891249">
          <w:marLeft w:val="0"/>
          <w:marRight w:val="0"/>
          <w:marTop w:val="0"/>
          <w:marBottom w:val="0"/>
          <w:divBdr>
            <w:top w:val="none" w:sz="0" w:space="0" w:color="auto"/>
            <w:left w:val="none" w:sz="0" w:space="0" w:color="auto"/>
            <w:bottom w:val="none" w:sz="0" w:space="0" w:color="auto"/>
            <w:right w:val="none" w:sz="0" w:space="0" w:color="auto"/>
          </w:divBdr>
          <w:divsChild>
            <w:div w:id="1126313175">
              <w:marLeft w:val="0"/>
              <w:marRight w:val="0"/>
              <w:marTop w:val="0"/>
              <w:marBottom w:val="0"/>
              <w:divBdr>
                <w:top w:val="none" w:sz="0" w:space="0" w:color="auto"/>
                <w:left w:val="none" w:sz="0" w:space="0" w:color="auto"/>
                <w:bottom w:val="none" w:sz="0" w:space="0" w:color="auto"/>
                <w:right w:val="none" w:sz="0" w:space="0" w:color="auto"/>
              </w:divBdr>
              <w:divsChild>
                <w:div w:id="1371297516">
                  <w:marLeft w:val="0"/>
                  <w:marRight w:val="0"/>
                  <w:marTop w:val="0"/>
                  <w:marBottom w:val="0"/>
                  <w:divBdr>
                    <w:top w:val="none" w:sz="0" w:space="0" w:color="auto"/>
                    <w:left w:val="none" w:sz="0" w:space="0" w:color="auto"/>
                    <w:bottom w:val="none" w:sz="0" w:space="0" w:color="auto"/>
                    <w:right w:val="none" w:sz="0" w:space="0" w:color="auto"/>
                  </w:divBdr>
                  <w:divsChild>
                    <w:div w:id="2081515536">
                      <w:marLeft w:val="150"/>
                      <w:marRight w:val="150"/>
                      <w:marTop w:val="150"/>
                      <w:marBottom w:val="150"/>
                      <w:divBdr>
                        <w:top w:val="none" w:sz="0" w:space="0" w:color="auto"/>
                        <w:left w:val="none" w:sz="0" w:space="0" w:color="auto"/>
                        <w:bottom w:val="none" w:sz="0" w:space="0" w:color="auto"/>
                        <w:right w:val="none" w:sz="0" w:space="0" w:color="auto"/>
                      </w:divBdr>
                      <w:divsChild>
                        <w:div w:id="351147626">
                          <w:marLeft w:val="0"/>
                          <w:marRight w:val="0"/>
                          <w:marTop w:val="0"/>
                          <w:marBottom w:val="0"/>
                          <w:divBdr>
                            <w:top w:val="none" w:sz="0" w:space="0" w:color="auto"/>
                            <w:left w:val="none" w:sz="0" w:space="0" w:color="auto"/>
                            <w:bottom w:val="none" w:sz="0" w:space="0" w:color="auto"/>
                            <w:right w:val="none" w:sz="0" w:space="0" w:color="auto"/>
                          </w:divBdr>
                          <w:divsChild>
                            <w:div w:id="851409215">
                              <w:marLeft w:val="0"/>
                              <w:marRight w:val="0"/>
                              <w:marTop w:val="0"/>
                              <w:marBottom w:val="0"/>
                              <w:divBdr>
                                <w:top w:val="none" w:sz="0" w:space="0" w:color="auto"/>
                                <w:left w:val="none" w:sz="0" w:space="0" w:color="auto"/>
                                <w:bottom w:val="none" w:sz="0" w:space="0" w:color="auto"/>
                                <w:right w:val="none" w:sz="0" w:space="0" w:color="auto"/>
                              </w:divBdr>
                              <w:divsChild>
                                <w:div w:id="890119315">
                                  <w:marLeft w:val="0"/>
                                  <w:marRight w:val="0"/>
                                  <w:marTop w:val="0"/>
                                  <w:marBottom w:val="0"/>
                                  <w:divBdr>
                                    <w:top w:val="none" w:sz="0" w:space="0" w:color="auto"/>
                                    <w:left w:val="none" w:sz="0" w:space="0" w:color="auto"/>
                                    <w:bottom w:val="none" w:sz="0" w:space="0" w:color="auto"/>
                                    <w:right w:val="none" w:sz="0" w:space="0" w:color="auto"/>
                                  </w:divBdr>
                                  <w:divsChild>
                                    <w:div w:id="7172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8743">
      <w:bodyDiv w:val="1"/>
      <w:marLeft w:val="0"/>
      <w:marRight w:val="0"/>
      <w:marTop w:val="0"/>
      <w:marBottom w:val="0"/>
      <w:divBdr>
        <w:top w:val="none" w:sz="0" w:space="0" w:color="auto"/>
        <w:left w:val="none" w:sz="0" w:space="0" w:color="auto"/>
        <w:bottom w:val="none" w:sz="0" w:space="0" w:color="auto"/>
        <w:right w:val="none" w:sz="0" w:space="0" w:color="auto"/>
      </w:divBdr>
    </w:div>
    <w:div w:id="545070067">
      <w:bodyDiv w:val="1"/>
      <w:marLeft w:val="0"/>
      <w:marRight w:val="0"/>
      <w:marTop w:val="0"/>
      <w:marBottom w:val="0"/>
      <w:divBdr>
        <w:top w:val="none" w:sz="0" w:space="0" w:color="auto"/>
        <w:left w:val="none" w:sz="0" w:space="0" w:color="auto"/>
        <w:bottom w:val="none" w:sz="0" w:space="0" w:color="auto"/>
        <w:right w:val="none" w:sz="0" w:space="0" w:color="auto"/>
      </w:divBdr>
    </w:div>
    <w:div w:id="550921946">
      <w:bodyDiv w:val="1"/>
      <w:marLeft w:val="0"/>
      <w:marRight w:val="0"/>
      <w:marTop w:val="0"/>
      <w:marBottom w:val="0"/>
      <w:divBdr>
        <w:top w:val="none" w:sz="0" w:space="0" w:color="auto"/>
        <w:left w:val="none" w:sz="0" w:space="0" w:color="auto"/>
        <w:bottom w:val="none" w:sz="0" w:space="0" w:color="auto"/>
        <w:right w:val="none" w:sz="0" w:space="0" w:color="auto"/>
      </w:divBdr>
    </w:div>
    <w:div w:id="556167340">
      <w:bodyDiv w:val="1"/>
      <w:marLeft w:val="0"/>
      <w:marRight w:val="0"/>
      <w:marTop w:val="0"/>
      <w:marBottom w:val="0"/>
      <w:divBdr>
        <w:top w:val="none" w:sz="0" w:space="0" w:color="auto"/>
        <w:left w:val="none" w:sz="0" w:space="0" w:color="auto"/>
        <w:bottom w:val="none" w:sz="0" w:space="0" w:color="auto"/>
        <w:right w:val="none" w:sz="0" w:space="0" w:color="auto"/>
      </w:divBdr>
    </w:div>
    <w:div w:id="562376861">
      <w:bodyDiv w:val="1"/>
      <w:marLeft w:val="0"/>
      <w:marRight w:val="0"/>
      <w:marTop w:val="0"/>
      <w:marBottom w:val="0"/>
      <w:divBdr>
        <w:top w:val="none" w:sz="0" w:space="0" w:color="auto"/>
        <w:left w:val="none" w:sz="0" w:space="0" w:color="auto"/>
        <w:bottom w:val="none" w:sz="0" w:space="0" w:color="auto"/>
        <w:right w:val="none" w:sz="0" w:space="0" w:color="auto"/>
      </w:divBdr>
    </w:div>
    <w:div w:id="563099252">
      <w:bodyDiv w:val="1"/>
      <w:marLeft w:val="0"/>
      <w:marRight w:val="0"/>
      <w:marTop w:val="0"/>
      <w:marBottom w:val="0"/>
      <w:divBdr>
        <w:top w:val="none" w:sz="0" w:space="0" w:color="auto"/>
        <w:left w:val="none" w:sz="0" w:space="0" w:color="auto"/>
        <w:bottom w:val="none" w:sz="0" w:space="0" w:color="auto"/>
        <w:right w:val="none" w:sz="0" w:space="0" w:color="auto"/>
      </w:divBdr>
    </w:div>
    <w:div w:id="564031865">
      <w:bodyDiv w:val="1"/>
      <w:marLeft w:val="0"/>
      <w:marRight w:val="0"/>
      <w:marTop w:val="0"/>
      <w:marBottom w:val="0"/>
      <w:divBdr>
        <w:top w:val="none" w:sz="0" w:space="0" w:color="auto"/>
        <w:left w:val="none" w:sz="0" w:space="0" w:color="auto"/>
        <w:bottom w:val="none" w:sz="0" w:space="0" w:color="auto"/>
        <w:right w:val="none" w:sz="0" w:space="0" w:color="auto"/>
      </w:divBdr>
    </w:div>
    <w:div w:id="571082695">
      <w:bodyDiv w:val="1"/>
      <w:marLeft w:val="0"/>
      <w:marRight w:val="0"/>
      <w:marTop w:val="0"/>
      <w:marBottom w:val="0"/>
      <w:divBdr>
        <w:top w:val="none" w:sz="0" w:space="0" w:color="auto"/>
        <w:left w:val="none" w:sz="0" w:space="0" w:color="auto"/>
        <w:bottom w:val="none" w:sz="0" w:space="0" w:color="auto"/>
        <w:right w:val="none" w:sz="0" w:space="0" w:color="auto"/>
      </w:divBdr>
    </w:div>
    <w:div w:id="583534803">
      <w:bodyDiv w:val="1"/>
      <w:marLeft w:val="0"/>
      <w:marRight w:val="0"/>
      <w:marTop w:val="0"/>
      <w:marBottom w:val="0"/>
      <w:divBdr>
        <w:top w:val="none" w:sz="0" w:space="0" w:color="auto"/>
        <w:left w:val="none" w:sz="0" w:space="0" w:color="auto"/>
        <w:bottom w:val="none" w:sz="0" w:space="0" w:color="auto"/>
        <w:right w:val="none" w:sz="0" w:space="0" w:color="auto"/>
      </w:divBdr>
    </w:div>
    <w:div w:id="591201388">
      <w:bodyDiv w:val="1"/>
      <w:marLeft w:val="0"/>
      <w:marRight w:val="0"/>
      <w:marTop w:val="0"/>
      <w:marBottom w:val="0"/>
      <w:divBdr>
        <w:top w:val="none" w:sz="0" w:space="0" w:color="auto"/>
        <w:left w:val="none" w:sz="0" w:space="0" w:color="auto"/>
        <w:bottom w:val="none" w:sz="0" w:space="0" w:color="auto"/>
        <w:right w:val="none" w:sz="0" w:space="0" w:color="auto"/>
      </w:divBdr>
    </w:div>
    <w:div w:id="602691555">
      <w:bodyDiv w:val="1"/>
      <w:marLeft w:val="0"/>
      <w:marRight w:val="0"/>
      <w:marTop w:val="0"/>
      <w:marBottom w:val="0"/>
      <w:divBdr>
        <w:top w:val="none" w:sz="0" w:space="0" w:color="auto"/>
        <w:left w:val="none" w:sz="0" w:space="0" w:color="auto"/>
        <w:bottom w:val="none" w:sz="0" w:space="0" w:color="auto"/>
        <w:right w:val="none" w:sz="0" w:space="0" w:color="auto"/>
      </w:divBdr>
    </w:div>
    <w:div w:id="628702313">
      <w:bodyDiv w:val="1"/>
      <w:marLeft w:val="0"/>
      <w:marRight w:val="0"/>
      <w:marTop w:val="0"/>
      <w:marBottom w:val="0"/>
      <w:divBdr>
        <w:top w:val="none" w:sz="0" w:space="0" w:color="auto"/>
        <w:left w:val="none" w:sz="0" w:space="0" w:color="auto"/>
        <w:bottom w:val="none" w:sz="0" w:space="0" w:color="auto"/>
        <w:right w:val="none" w:sz="0" w:space="0" w:color="auto"/>
      </w:divBdr>
    </w:div>
    <w:div w:id="638728467">
      <w:bodyDiv w:val="1"/>
      <w:marLeft w:val="0"/>
      <w:marRight w:val="0"/>
      <w:marTop w:val="0"/>
      <w:marBottom w:val="0"/>
      <w:divBdr>
        <w:top w:val="none" w:sz="0" w:space="0" w:color="auto"/>
        <w:left w:val="none" w:sz="0" w:space="0" w:color="auto"/>
        <w:bottom w:val="none" w:sz="0" w:space="0" w:color="auto"/>
        <w:right w:val="none" w:sz="0" w:space="0" w:color="auto"/>
      </w:divBdr>
    </w:div>
    <w:div w:id="653416979">
      <w:bodyDiv w:val="1"/>
      <w:marLeft w:val="0"/>
      <w:marRight w:val="0"/>
      <w:marTop w:val="0"/>
      <w:marBottom w:val="0"/>
      <w:divBdr>
        <w:top w:val="none" w:sz="0" w:space="0" w:color="auto"/>
        <w:left w:val="none" w:sz="0" w:space="0" w:color="auto"/>
        <w:bottom w:val="none" w:sz="0" w:space="0" w:color="auto"/>
        <w:right w:val="none" w:sz="0" w:space="0" w:color="auto"/>
      </w:divBdr>
    </w:div>
    <w:div w:id="657536442">
      <w:bodyDiv w:val="1"/>
      <w:marLeft w:val="0"/>
      <w:marRight w:val="0"/>
      <w:marTop w:val="0"/>
      <w:marBottom w:val="0"/>
      <w:divBdr>
        <w:top w:val="none" w:sz="0" w:space="0" w:color="auto"/>
        <w:left w:val="none" w:sz="0" w:space="0" w:color="auto"/>
        <w:bottom w:val="none" w:sz="0" w:space="0" w:color="auto"/>
        <w:right w:val="none" w:sz="0" w:space="0" w:color="auto"/>
      </w:divBdr>
    </w:div>
    <w:div w:id="661661221">
      <w:bodyDiv w:val="1"/>
      <w:marLeft w:val="0"/>
      <w:marRight w:val="0"/>
      <w:marTop w:val="0"/>
      <w:marBottom w:val="0"/>
      <w:divBdr>
        <w:top w:val="none" w:sz="0" w:space="0" w:color="auto"/>
        <w:left w:val="none" w:sz="0" w:space="0" w:color="auto"/>
        <w:bottom w:val="none" w:sz="0" w:space="0" w:color="auto"/>
        <w:right w:val="none" w:sz="0" w:space="0" w:color="auto"/>
      </w:divBdr>
    </w:div>
    <w:div w:id="680817820">
      <w:bodyDiv w:val="1"/>
      <w:marLeft w:val="0"/>
      <w:marRight w:val="0"/>
      <w:marTop w:val="0"/>
      <w:marBottom w:val="0"/>
      <w:divBdr>
        <w:top w:val="none" w:sz="0" w:space="0" w:color="auto"/>
        <w:left w:val="none" w:sz="0" w:space="0" w:color="auto"/>
        <w:bottom w:val="none" w:sz="0" w:space="0" w:color="auto"/>
        <w:right w:val="none" w:sz="0" w:space="0" w:color="auto"/>
      </w:divBdr>
      <w:divsChild>
        <w:div w:id="466124169">
          <w:marLeft w:val="0"/>
          <w:marRight w:val="0"/>
          <w:marTop w:val="0"/>
          <w:marBottom w:val="0"/>
          <w:divBdr>
            <w:top w:val="none" w:sz="0" w:space="0" w:color="auto"/>
            <w:left w:val="none" w:sz="0" w:space="0" w:color="auto"/>
            <w:bottom w:val="none" w:sz="0" w:space="0" w:color="auto"/>
            <w:right w:val="none" w:sz="0" w:space="0" w:color="auto"/>
          </w:divBdr>
          <w:divsChild>
            <w:div w:id="1301038255">
              <w:marLeft w:val="0"/>
              <w:marRight w:val="0"/>
              <w:marTop w:val="0"/>
              <w:marBottom w:val="0"/>
              <w:divBdr>
                <w:top w:val="none" w:sz="0" w:space="0" w:color="auto"/>
                <w:left w:val="none" w:sz="0" w:space="0" w:color="auto"/>
                <w:bottom w:val="none" w:sz="0" w:space="0" w:color="auto"/>
                <w:right w:val="none" w:sz="0" w:space="0" w:color="auto"/>
              </w:divBdr>
              <w:divsChild>
                <w:div w:id="1500317265">
                  <w:marLeft w:val="0"/>
                  <w:marRight w:val="0"/>
                  <w:marTop w:val="0"/>
                  <w:marBottom w:val="0"/>
                  <w:divBdr>
                    <w:top w:val="none" w:sz="0" w:space="0" w:color="auto"/>
                    <w:left w:val="none" w:sz="0" w:space="0" w:color="auto"/>
                    <w:bottom w:val="none" w:sz="0" w:space="0" w:color="auto"/>
                    <w:right w:val="none" w:sz="0" w:space="0" w:color="auto"/>
                  </w:divBdr>
                  <w:divsChild>
                    <w:div w:id="274874655">
                      <w:marLeft w:val="150"/>
                      <w:marRight w:val="150"/>
                      <w:marTop w:val="150"/>
                      <w:marBottom w:val="150"/>
                      <w:divBdr>
                        <w:top w:val="none" w:sz="0" w:space="0" w:color="auto"/>
                        <w:left w:val="none" w:sz="0" w:space="0" w:color="auto"/>
                        <w:bottom w:val="none" w:sz="0" w:space="0" w:color="auto"/>
                        <w:right w:val="none" w:sz="0" w:space="0" w:color="auto"/>
                      </w:divBdr>
                      <w:divsChild>
                        <w:div w:id="1032219959">
                          <w:marLeft w:val="0"/>
                          <w:marRight w:val="0"/>
                          <w:marTop w:val="0"/>
                          <w:marBottom w:val="0"/>
                          <w:divBdr>
                            <w:top w:val="none" w:sz="0" w:space="0" w:color="auto"/>
                            <w:left w:val="none" w:sz="0" w:space="0" w:color="auto"/>
                            <w:bottom w:val="none" w:sz="0" w:space="0" w:color="auto"/>
                            <w:right w:val="none" w:sz="0" w:space="0" w:color="auto"/>
                          </w:divBdr>
                          <w:divsChild>
                            <w:div w:id="2063671019">
                              <w:marLeft w:val="0"/>
                              <w:marRight w:val="0"/>
                              <w:marTop w:val="0"/>
                              <w:marBottom w:val="0"/>
                              <w:divBdr>
                                <w:top w:val="none" w:sz="0" w:space="0" w:color="auto"/>
                                <w:left w:val="none" w:sz="0" w:space="0" w:color="auto"/>
                                <w:bottom w:val="none" w:sz="0" w:space="0" w:color="auto"/>
                                <w:right w:val="none" w:sz="0" w:space="0" w:color="auto"/>
                              </w:divBdr>
                              <w:divsChild>
                                <w:div w:id="1595936889">
                                  <w:marLeft w:val="0"/>
                                  <w:marRight w:val="0"/>
                                  <w:marTop w:val="0"/>
                                  <w:marBottom w:val="0"/>
                                  <w:divBdr>
                                    <w:top w:val="none" w:sz="0" w:space="0" w:color="auto"/>
                                    <w:left w:val="none" w:sz="0" w:space="0" w:color="auto"/>
                                    <w:bottom w:val="none" w:sz="0" w:space="0" w:color="auto"/>
                                    <w:right w:val="none" w:sz="0" w:space="0" w:color="auto"/>
                                  </w:divBdr>
                                  <w:divsChild>
                                    <w:div w:id="199953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627069">
      <w:bodyDiv w:val="1"/>
      <w:marLeft w:val="0"/>
      <w:marRight w:val="0"/>
      <w:marTop w:val="0"/>
      <w:marBottom w:val="0"/>
      <w:divBdr>
        <w:top w:val="none" w:sz="0" w:space="0" w:color="auto"/>
        <w:left w:val="none" w:sz="0" w:space="0" w:color="auto"/>
        <w:bottom w:val="none" w:sz="0" w:space="0" w:color="auto"/>
        <w:right w:val="none" w:sz="0" w:space="0" w:color="auto"/>
      </w:divBdr>
    </w:div>
    <w:div w:id="687948926">
      <w:bodyDiv w:val="1"/>
      <w:marLeft w:val="0"/>
      <w:marRight w:val="0"/>
      <w:marTop w:val="0"/>
      <w:marBottom w:val="0"/>
      <w:divBdr>
        <w:top w:val="none" w:sz="0" w:space="0" w:color="auto"/>
        <w:left w:val="none" w:sz="0" w:space="0" w:color="auto"/>
        <w:bottom w:val="none" w:sz="0" w:space="0" w:color="auto"/>
        <w:right w:val="none" w:sz="0" w:space="0" w:color="auto"/>
      </w:divBdr>
    </w:div>
    <w:div w:id="694311061">
      <w:bodyDiv w:val="1"/>
      <w:marLeft w:val="0"/>
      <w:marRight w:val="0"/>
      <w:marTop w:val="0"/>
      <w:marBottom w:val="0"/>
      <w:divBdr>
        <w:top w:val="none" w:sz="0" w:space="0" w:color="auto"/>
        <w:left w:val="none" w:sz="0" w:space="0" w:color="auto"/>
        <w:bottom w:val="none" w:sz="0" w:space="0" w:color="auto"/>
        <w:right w:val="none" w:sz="0" w:space="0" w:color="auto"/>
      </w:divBdr>
    </w:div>
    <w:div w:id="695422610">
      <w:bodyDiv w:val="1"/>
      <w:marLeft w:val="0"/>
      <w:marRight w:val="0"/>
      <w:marTop w:val="0"/>
      <w:marBottom w:val="0"/>
      <w:divBdr>
        <w:top w:val="none" w:sz="0" w:space="0" w:color="auto"/>
        <w:left w:val="none" w:sz="0" w:space="0" w:color="auto"/>
        <w:bottom w:val="none" w:sz="0" w:space="0" w:color="auto"/>
        <w:right w:val="none" w:sz="0" w:space="0" w:color="auto"/>
      </w:divBdr>
    </w:div>
    <w:div w:id="724596927">
      <w:bodyDiv w:val="1"/>
      <w:marLeft w:val="0"/>
      <w:marRight w:val="0"/>
      <w:marTop w:val="0"/>
      <w:marBottom w:val="0"/>
      <w:divBdr>
        <w:top w:val="none" w:sz="0" w:space="0" w:color="auto"/>
        <w:left w:val="none" w:sz="0" w:space="0" w:color="auto"/>
        <w:bottom w:val="none" w:sz="0" w:space="0" w:color="auto"/>
        <w:right w:val="none" w:sz="0" w:space="0" w:color="auto"/>
      </w:divBdr>
    </w:div>
    <w:div w:id="730008309">
      <w:bodyDiv w:val="1"/>
      <w:marLeft w:val="0"/>
      <w:marRight w:val="0"/>
      <w:marTop w:val="0"/>
      <w:marBottom w:val="0"/>
      <w:divBdr>
        <w:top w:val="none" w:sz="0" w:space="0" w:color="auto"/>
        <w:left w:val="none" w:sz="0" w:space="0" w:color="auto"/>
        <w:bottom w:val="none" w:sz="0" w:space="0" w:color="auto"/>
        <w:right w:val="none" w:sz="0" w:space="0" w:color="auto"/>
      </w:divBdr>
    </w:div>
    <w:div w:id="732195861">
      <w:bodyDiv w:val="1"/>
      <w:marLeft w:val="0"/>
      <w:marRight w:val="0"/>
      <w:marTop w:val="0"/>
      <w:marBottom w:val="0"/>
      <w:divBdr>
        <w:top w:val="none" w:sz="0" w:space="0" w:color="auto"/>
        <w:left w:val="none" w:sz="0" w:space="0" w:color="auto"/>
        <w:bottom w:val="none" w:sz="0" w:space="0" w:color="auto"/>
        <w:right w:val="none" w:sz="0" w:space="0" w:color="auto"/>
      </w:divBdr>
    </w:div>
    <w:div w:id="742682702">
      <w:bodyDiv w:val="1"/>
      <w:marLeft w:val="0"/>
      <w:marRight w:val="0"/>
      <w:marTop w:val="0"/>
      <w:marBottom w:val="0"/>
      <w:divBdr>
        <w:top w:val="none" w:sz="0" w:space="0" w:color="auto"/>
        <w:left w:val="none" w:sz="0" w:space="0" w:color="auto"/>
        <w:bottom w:val="none" w:sz="0" w:space="0" w:color="auto"/>
        <w:right w:val="none" w:sz="0" w:space="0" w:color="auto"/>
      </w:divBdr>
    </w:div>
    <w:div w:id="743913694">
      <w:bodyDiv w:val="1"/>
      <w:marLeft w:val="0"/>
      <w:marRight w:val="0"/>
      <w:marTop w:val="0"/>
      <w:marBottom w:val="0"/>
      <w:divBdr>
        <w:top w:val="none" w:sz="0" w:space="0" w:color="auto"/>
        <w:left w:val="none" w:sz="0" w:space="0" w:color="auto"/>
        <w:bottom w:val="none" w:sz="0" w:space="0" w:color="auto"/>
        <w:right w:val="none" w:sz="0" w:space="0" w:color="auto"/>
      </w:divBdr>
    </w:div>
    <w:div w:id="744113937">
      <w:bodyDiv w:val="1"/>
      <w:marLeft w:val="0"/>
      <w:marRight w:val="0"/>
      <w:marTop w:val="0"/>
      <w:marBottom w:val="0"/>
      <w:divBdr>
        <w:top w:val="none" w:sz="0" w:space="0" w:color="auto"/>
        <w:left w:val="none" w:sz="0" w:space="0" w:color="auto"/>
        <w:bottom w:val="none" w:sz="0" w:space="0" w:color="auto"/>
        <w:right w:val="none" w:sz="0" w:space="0" w:color="auto"/>
      </w:divBdr>
    </w:div>
    <w:div w:id="755126396">
      <w:bodyDiv w:val="1"/>
      <w:marLeft w:val="0"/>
      <w:marRight w:val="0"/>
      <w:marTop w:val="0"/>
      <w:marBottom w:val="0"/>
      <w:divBdr>
        <w:top w:val="none" w:sz="0" w:space="0" w:color="auto"/>
        <w:left w:val="none" w:sz="0" w:space="0" w:color="auto"/>
        <w:bottom w:val="none" w:sz="0" w:space="0" w:color="auto"/>
        <w:right w:val="none" w:sz="0" w:space="0" w:color="auto"/>
      </w:divBdr>
    </w:div>
    <w:div w:id="771439964">
      <w:bodyDiv w:val="1"/>
      <w:marLeft w:val="0"/>
      <w:marRight w:val="0"/>
      <w:marTop w:val="0"/>
      <w:marBottom w:val="0"/>
      <w:divBdr>
        <w:top w:val="none" w:sz="0" w:space="0" w:color="auto"/>
        <w:left w:val="none" w:sz="0" w:space="0" w:color="auto"/>
        <w:bottom w:val="none" w:sz="0" w:space="0" w:color="auto"/>
        <w:right w:val="none" w:sz="0" w:space="0" w:color="auto"/>
      </w:divBdr>
    </w:div>
    <w:div w:id="775559600">
      <w:bodyDiv w:val="1"/>
      <w:marLeft w:val="0"/>
      <w:marRight w:val="0"/>
      <w:marTop w:val="0"/>
      <w:marBottom w:val="0"/>
      <w:divBdr>
        <w:top w:val="none" w:sz="0" w:space="0" w:color="auto"/>
        <w:left w:val="none" w:sz="0" w:space="0" w:color="auto"/>
        <w:bottom w:val="none" w:sz="0" w:space="0" w:color="auto"/>
        <w:right w:val="none" w:sz="0" w:space="0" w:color="auto"/>
      </w:divBdr>
    </w:div>
    <w:div w:id="777211983">
      <w:bodyDiv w:val="1"/>
      <w:marLeft w:val="0"/>
      <w:marRight w:val="0"/>
      <w:marTop w:val="0"/>
      <w:marBottom w:val="0"/>
      <w:divBdr>
        <w:top w:val="none" w:sz="0" w:space="0" w:color="auto"/>
        <w:left w:val="none" w:sz="0" w:space="0" w:color="auto"/>
        <w:bottom w:val="none" w:sz="0" w:space="0" w:color="auto"/>
        <w:right w:val="none" w:sz="0" w:space="0" w:color="auto"/>
      </w:divBdr>
    </w:div>
    <w:div w:id="790636572">
      <w:bodyDiv w:val="1"/>
      <w:marLeft w:val="0"/>
      <w:marRight w:val="0"/>
      <w:marTop w:val="0"/>
      <w:marBottom w:val="0"/>
      <w:divBdr>
        <w:top w:val="none" w:sz="0" w:space="0" w:color="auto"/>
        <w:left w:val="none" w:sz="0" w:space="0" w:color="auto"/>
        <w:bottom w:val="none" w:sz="0" w:space="0" w:color="auto"/>
        <w:right w:val="none" w:sz="0" w:space="0" w:color="auto"/>
      </w:divBdr>
    </w:div>
    <w:div w:id="803699282">
      <w:bodyDiv w:val="1"/>
      <w:marLeft w:val="0"/>
      <w:marRight w:val="0"/>
      <w:marTop w:val="0"/>
      <w:marBottom w:val="0"/>
      <w:divBdr>
        <w:top w:val="none" w:sz="0" w:space="0" w:color="auto"/>
        <w:left w:val="none" w:sz="0" w:space="0" w:color="auto"/>
        <w:bottom w:val="none" w:sz="0" w:space="0" w:color="auto"/>
        <w:right w:val="none" w:sz="0" w:space="0" w:color="auto"/>
      </w:divBdr>
    </w:div>
    <w:div w:id="808059297">
      <w:bodyDiv w:val="1"/>
      <w:marLeft w:val="0"/>
      <w:marRight w:val="0"/>
      <w:marTop w:val="0"/>
      <w:marBottom w:val="0"/>
      <w:divBdr>
        <w:top w:val="none" w:sz="0" w:space="0" w:color="auto"/>
        <w:left w:val="none" w:sz="0" w:space="0" w:color="auto"/>
        <w:bottom w:val="none" w:sz="0" w:space="0" w:color="auto"/>
        <w:right w:val="none" w:sz="0" w:space="0" w:color="auto"/>
      </w:divBdr>
    </w:div>
    <w:div w:id="808279357">
      <w:bodyDiv w:val="1"/>
      <w:marLeft w:val="0"/>
      <w:marRight w:val="0"/>
      <w:marTop w:val="0"/>
      <w:marBottom w:val="0"/>
      <w:divBdr>
        <w:top w:val="none" w:sz="0" w:space="0" w:color="auto"/>
        <w:left w:val="none" w:sz="0" w:space="0" w:color="auto"/>
        <w:bottom w:val="none" w:sz="0" w:space="0" w:color="auto"/>
        <w:right w:val="none" w:sz="0" w:space="0" w:color="auto"/>
      </w:divBdr>
    </w:div>
    <w:div w:id="812915499">
      <w:bodyDiv w:val="1"/>
      <w:marLeft w:val="0"/>
      <w:marRight w:val="0"/>
      <w:marTop w:val="0"/>
      <w:marBottom w:val="0"/>
      <w:divBdr>
        <w:top w:val="none" w:sz="0" w:space="0" w:color="auto"/>
        <w:left w:val="none" w:sz="0" w:space="0" w:color="auto"/>
        <w:bottom w:val="none" w:sz="0" w:space="0" w:color="auto"/>
        <w:right w:val="none" w:sz="0" w:space="0" w:color="auto"/>
      </w:divBdr>
    </w:div>
    <w:div w:id="880021053">
      <w:bodyDiv w:val="1"/>
      <w:marLeft w:val="0"/>
      <w:marRight w:val="0"/>
      <w:marTop w:val="0"/>
      <w:marBottom w:val="0"/>
      <w:divBdr>
        <w:top w:val="none" w:sz="0" w:space="0" w:color="auto"/>
        <w:left w:val="none" w:sz="0" w:space="0" w:color="auto"/>
        <w:bottom w:val="none" w:sz="0" w:space="0" w:color="auto"/>
        <w:right w:val="none" w:sz="0" w:space="0" w:color="auto"/>
      </w:divBdr>
    </w:div>
    <w:div w:id="897712771">
      <w:bodyDiv w:val="1"/>
      <w:marLeft w:val="0"/>
      <w:marRight w:val="0"/>
      <w:marTop w:val="0"/>
      <w:marBottom w:val="0"/>
      <w:divBdr>
        <w:top w:val="none" w:sz="0" w:space="0" w:color="auto"/>
        <w:left w:val="none" w:sz="0" w:space="0" w:color="auto"/>
        <w:bottom w:val="none" w:sz="0" w:space="0" w:color="auto"/>
        <w:right w:val="none" w:sz="0" w:space="0" w:color="auto"/>
      </w:divBdr>
    </w:div>
    <w:div w:id="905381446">
      <w:bodyDiv w:val="1"/>
      <w:marLeft w:val="0"/>
      <w:marRight w:val="0"/>
      <w:marTop w:val="0"/>
      <w:marBottom w:val="0"/>
      <w:divBdr>
        <w:top w:val="none" w:sz="0" w:space="0" w:color="auto"/>
        <w:left w:val="none" w:sz="0" w:space="0" w:color="auto"/>
        <w:bottom w:val="none" w:sz="0" w:space="0" w:color="auto"/>
        <w:right w:val="none" w:sz="0" w:space="0" w:color="auto"/>
      </w:divBdr>
    </w:div>
    <w:div w:id="926885084">
      <w:bodyDiv w:val="1"/>
      <w:marLeft w:val="0"/>
      <w:marRight w:val="0"/>
      <w:marTop w:val="0"/>
      <w:marBottom w:val="0"/>
      <w:divBdr>
        <w:top w:val="none" w:sz="0" w:space="0" w:color="auto"/>
        <w:left w:val="none" w:sz="0" w:space="0" w:color="auto"/>
        <w:bottom w:val="none" w:sz="0" w:space="0" w:color="auto"/>
        <w:right w:val="none" w:sz="0" w:space="0" w:color="auto"/>
      </w:divBdr>
    </w:div>
    <w:div w:id="935211563">
      <w:bodyDiv w:val="1"/>
      <w:marLeft w:val="0"/>
      <w:marRight w:val="0"/>
      <w:marTop w:val="0"/>
      <w:marBottom w:val="0"/>
      <w:divBdr>
        <w:top w:val="none" w:sz="0" w:space="0" w:color="auto"/>
        <w:left w:val="none" w:sz="0" w:space="0" w:color="auto"/>
        <w:bottom w:val="none" w:sz="0" w:space="0" w:color="auto"/>
        <w:right w:val="none" w:sz="0" w:space="0" w:color="auto"/>
      </w:divBdr>
    </w:div>
    <w:div w:id="943996101">
      <w:bodyDiv w:val="1"/>
      <w:marLeft w:val="0"/>
      <w:marRight w:val="0"/>
      <w:marTop w:val="0"/>
      <w:marBottom w:val="0"/>
      <w:divBdr>
        <w:top w:val="none" w:sz="0" w:space="0" w:color="auto"/>
        <w:left w:val="none" w:sz="0" w:space="0" w:color="auto"/>
        <w:bottom w:val="none" w:sz="0" w:space="0" w:color="auto"/>
        <w:right w:val="none" w:sz="0" w:space="0" w:color="auto"/>
      </w:divBdr>
    </w:div>
    <w:div w:id="944000458">
      <w:bodyDiv w:val="1"/>
      <w:marLeft w:val="0"/>
      <w:marRight w:val="0"/>
      <w:marTop w:val="0"/>
      <w:marBottom w:val="0"/>
      <w:divBdr>
        <w:top w:val="none" w:sz="0" w:space="0" w:color="auto"/>
        <w:left w:val="none" w:sz="0" w:space="0" w:color="auto"/>
        <w:bottom w:val="none" w:sz="0" w:space="0" w:color="auto"/>
        <w:right w:val="none" w:sz="0" w:space="0" w:color="auto"/>
      </w:divBdr>
    </w:div>
    <w:div w:id="1007098101">
      <w:bodyDiv w:val="1"/>
      <w:marLeft w:val="0"/>
      <w:marRight w:val="0"/>
      <w:marTop w:val="0"/>
      <w:marBottom w:val="0"/>
      <w:divBdr>
        <w:top w:val="none" w:sz="0" w:space="0" w:color="auto"/>
        <w:left w:val="none" w:sz="0" w:space="0" w:color="auto"/>
        <w:bottom w:val="none" w:sz="0" w:space="0" w:color="auto"/>
        <w:right w:val="none" w:sz="0" w:space="0" w:color="auto"/>
      </w:divBdr>
    </w:div>
    <w:div w:id="1023557142">
      <w:bodyDiv w:val="1"/>
      <w:marLeft w:val="0"/>
      <w:marRight w:val="0"/>
      <w:marTop w:val="0"/>
      <w:marBottom w:val="0"/>
      <w:divBdr>
        <w:top w:val="none" w:sz="0" w:space="0" w:color="auto"/>
        <w:left w:val="none" w:sz="0" w:space="0" w:color="auto"/>
        <w:bottom w:val="none" w:sz="0" w:space="0" w:color="auto"/>
        <w:right w:val="none" w:sz="0" w:space="0" w:color="auto"/>
      </w:divBdr>
    </w:div>
    <w:div w:id="1049720959">
      <w:bodyDiv w:val="1"/>
      <w:marLeft w:val="0"/>
      <w:marRight w:val="0"/>
      <w:marTop w:val="0"/>
      <w:marBottom w:val="0"/>
      <w:divBdr>
        <w:top w:val="none" w:sz="0" w:space="0" w:color="auto"/>
        <w:left w:val="none" w:sz="0" w:space="0" w:color="auto"/>
        <w:bottom w:val="none" w:sz="0" w:space="0" w:color="auto"/>
        <w:right w:val="none" w:sz="0" w:space="0" w:color="auto"/>
      </w:divBdr>
    </w:div>
    <w:div w:id="1052195616">
      <w:bodyDiv w:val="1"/>
      <w:marLeft w:val="0"/>
      <w:marRight w:val="0"/>
      <w:marTop w:val="0"/>
      <w:marBottom w:val="0"/>
      <w:divBdr>
        <w:top w:val="none" w:sz="0" w:space="0" w:color="auto"/>
        <w:left w:val="none" w:sz="0" w:space="0" w:color="auto"/>
        <w:bottom w:val="none" w:sz="0" w:space="0" w:color="auto"/>
        <w:right w:val="none" w:sz="0" w:space="0" w:color="auto"/>
      </w:divBdr>
    </w:div>
    <w:div w:id="1063060483">
      <w:bodyDiv w:val="1"/>
      <w:marLeft w:val="0"/>
      <w:marRight w:val="0"/>
      <w:marTop w:val="0"/>
      <w:marBottom w:val="0"/>
      <w:divBdr>
        <w:top w:val="none" w:sz="0" w:space="0" w:color="auto"/>
        <w:left w:val="none" w:sz="0" w:space="0" w:color="auto"/>
        <w:bottom w:val="none" w:sz="0" w:space="0" w:color="auto"/>
        <w:right w:val="none" w:sz="0" w:space="0" w:color="auto"/>
      </w:divBdr>
    </w:div>
    <w:div w:id="1101802847">
      <w:bodyDiv w:val="1"/>
      <w:marLeft w:val="0"/>
      <w:marRight w:val="0"/>
      <w:marTop w:val="0"/>
      <w:marBottom w:val="0"/>
      <w:divBdr>
        <w:top w:val="none" w:sz="0" w:space="0" w:color="auto"/>
        <w:left w:val="none" w:sz="0" w:space="0" w:color="auto"/>
        <w:bottom w:val="none" w:sz="0" w:space="0" w:color="auto"/>
        <w:right w:val="none" w:sz="0" w:space="0" w:color="auto"/>
      </w:divBdr>
    </w:div>
    <w:div w:id="1107119344">
      <w:bodyDiv w:val="1"/>
      <w:marLeft w:val="0"/>
      <w:marRight w:val="0"/>
      <w:marTop w:val="0"/>
      <w:marBottom w:val="0"/>
      <w:divBdr>
        <w:top w:val="none" w:sz="0" w:space="0" w:color="auto"/>
        <w:left w:val="none" w:sz="0" w:space="0" w:color="auto"/>
        <w:bottom w:val="none" w:sz="0" w:space="0" w:color="auto"/>
        <w:right w:val="none" w:sz="0" w:space="0" w:color="auto"/>
      </w:divBdr>
    </w:div>
    <w:div w:id="1114522756">
      <w:bodyDiv w:val="1"/>
      <w:marLeft w:val="0"/>
      <w:marRight w:val="0"/>
      <w:marTop w:val="0"/>
      <w:marBottom w:val="0"/>
      <w:divBdr>
        <w:top w:val="none" w:sz="0" w:space="0" w:color="auto"/>
        <w:left w:val="none" w:sz="0" w:space="0" w:color="auto"/>
        <w:bottom w:val="none" w:sz="0" w:space="0" w:color="auto"/>
        <w:right w:val="none" w:sz="0" w:space="0" w:color="auto"/>
      </w:divBdr>
    </w:div>
    <w:div w:id="1121219466">
      <w:bodyDiv w:val="1"/>
      <w:marLeft w:val="0"/>
      <w:marRight w:val="0"/>
      <w:marTop w:val="0"/>
      <w:marBottom w:val="0"/>
      <w:divBdr>
        <w:top w:val="none" w:sz="0" w:space="0" w:color="auto"/>
        <w:left w:val="none" w:sz="0" w:space="0" w:color="auto"/>
        <w:bottom w:val="none" w:sz="0" w:space="0" w:color="auto"/>
        <w:right w:val="none" w:sz="0" w:space="0" w:color="auto"/>
      </w:divBdr>
    </w:div>
    <w:div w:id="1124496642">
      <w:bodyDiv w:val="1"/>
      <w:marLeft w:val="0"/>
      <w:marRight w:val="0"/>
      <w:marTop w:val="0"/>
      <w:marBottom w:val="0"/>
      <w:divBdr>
        <w:top w:val="none" w:sz="0" w:space="0" w:color="auto"/>
        <w:left w:val="none" w:sz="0" w:space="0" w:color="auto"/>
        <w:bottom w:val="none" w:sz="0" w:space="0" w:color="auto"/>
        <w:right w:val="none" w:sz="0" w:space="0" w:color="auto"/>
      </w:divBdr>
    </w:div>
    <w:div w:id="1130513115">
      <w:bodyDiv w:val="1"/>
      <w:marLeft w:val="0"/>
      <w:marRight w:val="0"/>
      <w:marTop w:val="0"/>
      <w:marBottom w:val="0"/>
      <w:divBdr>
        <w:top w:val="none" w:sz="0" w:space="0" w:color="auto"/>
        <w:left w:val="none" w:sz="0" w:space="0" w:color="auto"/>
        <w:bottom w:val="none" w:sz="0" w:space="0" w:color="auto"/>
        <w:right w:val="none" w:sz="0" w:space="0" w:color="auto"/>
      </w:divBdr>
    </w:div>
    <w:div w:id="1162938333">
      <w:bodyDiv w:val="1"/>
      <w:marLeft w:val="0"/>
      <w:marRight w:val="0"/>
      <w:marTop w:val="0"/>
      <w:marBottom w:val="0"/>
      <w:divBdr>
        <w:top w:val="none" w:sz="0" w:space="0" w:color="auto"/>
        <w:left w:val="none" w:sz="0" w:space="0" w:color="auto"/>
        <w:bottom w:val="none" w:sz="0" w:space="0" w:color="auto"/>
        <w:right w:val="none" w:sz="0" w:space="0" w:color="auto"/>
      </w:divBdr>
    </w:div>
    <w:div w:id="1192113527">
      <w:bodyDiv w:val="1"/>
      <w:marLeft w:val="0"/>
      <w:marRight w:val="0"/>
      <w:marTop w:val="0"/>
      <w:marBottom w:val="0"/>
      <w:divBdr>
        <w:top w:val="none" w:sz="0" w:space="0" w:color="auto"/>
        <w:left w:val="none" w:sz="0" w:space="0" w:color="auto"/>
        <w:bottom w:val="none" w:sz="0" w:space="0" w:color="auto"/>
        <w:right w:val="none" w:sz="0" w:space="0" w:color="auto"/>
      </w:divBdr>
    </w:div>
    <w:div w:id="1215772060">
      <w:bodyDiv w:val="1"/>
      <w:marLeft w:val="0"/>
      <w:marRight w:val="0"/>
      <w:marTop w:val="0"/>
      <w:marBottom w:val="0"/>
      <w:divBdr>
        <w:top w:val="none" w:sz="0" w:space="0" w:color="auto"/>
        <w:left w:val="none" w:sz="0" w:space="0" w:color="auto"/>
        <w:bottom w:val="none" w:sz="0" w:space="0" w:color="auto"/>
        <w:right w:val="none" w:sz="0" w:space="0" w:color="auto"/>
      </w:divBdr>
    </w:div>
    <w:div w:id="1262957226">
      <w:bodyDiv w:val="1"/>
      <w:marLeft w:val="0"/>
      <w:marRight w:val="0"/>
      <w:marTop w:val="0"/>
      <w:marBottom w:val="0"/>
      <w:divBdr>
        <w:top w:val="none" w:sz="0" w:space="0" w:color="auto"/>
        <w:left w:val="none" w:sz="0" w:space="0" w:color="auto"/>
        <w:bottom w:val="none" w:sz="0" w:space="0" w:color="auto"/>
        <w:right w:val="none" w:sz="0" w:space="0" w:color="auto"/>
      </w:divBdr>
    </w:div>
    <w:div w:id="1283266475">
      <w:bodyDiv w:val="1"/>
      <w:marLeft w:val="0"/>
      <w:marRight w:val="0"/>
      <w:marTop w:val="0"/>
      <w:marBottom w:val="0"/>
      <w:divBdr>
        <w:top w:val="none" w:sz="0" w:space="0" w:color="auto"/>
        <w:left w:val="none" w:sz="0" w:space="0" w:color="auto"/>
        <w:bottom w:val="none" w:sz="0" w:space="0" w:color="auto"/>
        <w:right w:val="none" w:sz="0" w:space="0" w:color="auto"/>
      </w:divBdr>
    </w:div>
    <w:div w:id="1292899901">
      <w:bodyDiv w:val="1"/>
      <w:marLeft w:val="0"/>
      <w:marRight w:val="0"/>
      <w:marTop w:val="0"/>
      <w:marBottom w:val="0"/>
      <w:divBdr>
        <w:top w:val="none" w:sz="0" w:space="0" w:color="auto"/>
        <w:left w:val="none" w:sz="0" w:space="0" w:color="auto"/>
        <w:bottom w:val="none" w:sz="0" w:space="0" w:color="auto"/>
        <w:right w:val="none" w:sz="0" w:space="0" w:color="auto"/>
      </w:divBdr>
    </w:div>
    <w:div w:id="1299918103">
      <w:bodyDiv w:val="1"/>
      <w:marLeft w:val="0"/>
      <w:marRight w:val="0"/>
      <w:marTop w:val="0"/>
      <w:marBottom w:val="0"/>
      <w:divBdr>
        <w:top w:val="none" w:sz="0" w:space="0" w:color="auto"/>
        <w:left w:val="none" w:sz="0" w:space="0" w:color="auto"/>
        <w:bottom w:val="none" w:sz="0" w:space="0" w:color="auto"/>
        <w:right w:val="none" w:sz="0" w:space="0" w:color="auto"/>
      </w:divBdr>
    </w:div>
    <w:div w:id="1332103415">
      <w:bodyDiv w:val="1"/>
      <w:marLeft w:val="0"/>
      <w:marRight w:val="0"/>
      <w:marTop w:val="0"/>
      <w:marBottom w:val="0"/>
      <w:divBdr>
        <w:top w:val="none" w:sz="0" w:space="0" w:color="auto"/>
        <w:left w:val="none" w:sz="0" w:space="0" w:color="auto"/>
        <w:bottom w:val="none" w:sz="0" w:space="0" w:color="auto"/>
        <w:right w:val="none" w:sz="0" w:space="0" w:color="auto"/>
      </w:divBdr>
    </w:div>
    <w:div w:id="1361013218">
      <w:bodyDiv w:val="1"/>
      <w:marLeft w:val="0"/>
      <w:marRight w:val="0"/>
      <w:marTop w:val="0"/>
      <w:marBottom w:val="0"/>
      <w:divBdr>
        <w:top w:val="none" w:sz="0" w:space="0" w:color="auto"/>
        <w:left w:val="none" w:sz="0" w:space="0" w:color="auto"/>
        <w:bottom w:val="none" w:sz="0" w:space="0" w:color="auto"/>
        <w:right w:val="none" w:sz="0" w:space="0" w:color="auto"/>
      </w:divBdr>
    </w:div>
    <w:div w:id="1372153087">
      <w:bodyDiv w:val="1"/>
      <w:marLeft w:val="0"/>
      <w:marRight w:val="0"/>
      <w:marTop w:val="0"/>
      <w:marBottom w:val="0"/>
      <w:divBdr>
        <w:top w:val="none" w:sz="0" w:space="0" w:color="auto"/>
        <w:left w:val="none" w:sz="0" w:space="0" w:color="auto"/>
        <w:bottom w:val="none" w:sz="0" w:space="0" w:color="auto"/>
        <w:right w:val="none" w:sz="0" w:space="0" w:color="auto"/>
      </w:divBdr>
    </w:div>
    <w:div w:id="1373187080">
      <w:bodyDiv w:val="1"/>
      <w:marLeft w:val="0"/>
      <w:marRight w:val="0"/>
      <w:marTop w:val="0"/>
      <w:marBottom w:val="0"/>
      <w:divBdr>
        <w:top w:val="none" w:sz="0" w:space="0" w:color="auto"/>
        <w:left w:val="none" w:sz="0" w:space="0" w:color="auto"/>
        <w:bottom w:val="none" w:sz="0" w:space="0" w:color="auto"/>
        <w:right w:val="none" w:sz="0" w:space="0" w:color="auto"/>
      </w:divBdr>
    </w:div>
    <w:div w:id="1393503857">
      <w:bodyDiv w:val="1"/>
      <w:marLeft w:val="0"/>
      <w:marRight w:val="0"/>
      <w:marTop w:val="0"/>
      <w:marBottom w:val="0"/>
      <w:divBdr>
        <w:top w:val="none" w:sz="0" w:space="0" w:color="auto"/>
        <w:left w:val="none" w:sz="0" w:space="0" w:color="auto"/>
        <w:bottom w:val="none" w:sz="0" w:space="0" w:color="auto"/>
        <w:right w:val="none" w:sz="0" w:space="0" w:color="auto"/>
      </w:divBdr>
    </w:div>
    <w:div w:id="1410271587">
      <w:bodyDiv w:val="1"/>
      <w:marLeft w:val="0"/>
      <w:marRight w:val="0"/>
      <w:marTop w:val="0"/>
      <w:marBottom w:val="0"/>
      <w:divBdr>
        <w:top w:val="none" w:sz="0" w:space="0" w:color="auto"/>
        <w:left w:val="none" w:sz="0" w:space="0" w:color="auto"/>
        <w:bottom w:val="none" w:sz="0" w:space="0" w:color="auto"/>
        <w:right w:val="none" w:sz="0" w:space="0" w:color="auto"/>
      </w:divBdr>
    </w:div>
    <w:div w:id="1431387634">
      <w:bodyDiv w:val="1"/>
      <w:marLeft w:val="0"/>
      <w:marRight w:val="0"/>
      <w:marTop w:val="0"/>
      <w:marBottom w:val="0"/>
      <w:divBdr>
        <w:top w:val="none" w:sz="0" w:space="0" w:color="auto"/>
        <w:left w:val="none" w:sz="0" w:space="0" w:color="auto"/>
        <w:bottom w:val="none" w:sz="0" w:space="0" w:color="auto"/>
        <w:right w:val="none" w:sz="0" w:space="0" w:color="auto"/>
      </w:divBdr>
    </w:div>
    <w:div w:id="1461267654">
      <w:bodyDiv w:val="1"/>
      <w:marLeft w:val="0"/>
      <w:marRight w:val="0"/>
      <w:marTop w:val="0"/>
      <w:marBottom w:val="0"/>
      <w:divBdr>
        <w:top w:val="none" w:sz="0" w:space="0" w:color="auto"/>
        <w:left w:val="none" w:sz="0" w:space="0" w:color="auto"/>
        <w:bottom w:val="none" w:sz="0" w:space="0" w:color="auto"/>
        <w:right w:val="none" w:sz="0" w:space="0" w:color="auto"/>
      </w:divBdr>
    </w:div>
    <w:div w:id="1471677181">
      <w:bodyDiv w:val="1"/>
      <w:marLeft w:val="0"/>
      <w:marRight w:val="0"/>
      <w:marTop w:val="0"/>
      <w:marBottom w:val="0"/>
      <w:divBdr>
        <w:top w:val="none" w:sz="0" w:space="0" w:color="auto"/>
        <w:left w:val="none" w:sz="0" w:space="0" w:color="auto"/>
        <w:bottom w:val="none" w:sz="0" w:space="0" w:color="auto"/>
        <w:right w:val="none" w:sz="0" w:space="0" w:color="auto"/>
      </w:divBdr>
    </w:div>
    <w:div w:id="1482843872">
      <w:bodyDiv w:val="1"/>
      <w:marLeft w:val="0"/>
      <w:marRight w:val="0"/>
      <w:marTop w:val="0"/>
      <w:marBottom w:val="0"/>
      <w:divBdr>
        <w:top w:val="none" w:sz="0" w:space="0" w:color="auto"/>
        <w:left w:val="none" w:sz="0" w:space="0" w:color="auto"/>
        <w:bottom w:val="none" w:sz="0" w:space="0" w:color="auto"/>
        <w:right w:val="none" w:sz="0" w:space="0" w:color="auto"/>
      </w:divBdr>
    </w:div>
    <w:div w:id="1490369371">
      <w:bodyDiv w:val="1"/>
      <w:marLeft w:val="0"/>
      <w:marRight w:val="0"/>
      <w:marTop w:val="0"/>
      <w:marBottom w:val="0"/>
      <w:divBdr>
        <w:top w:val="none" w:sz="0" w:space="0" w:color="auto"/>
        <w:left w:val="none" w:sz="0" w:space="0" w:color="auto"/>
        <w:bottom w:val="none" w:sz="0" w:space="0" w:color="auto"/>
        <w:right w:val="none" w:sz="0" w:space="0" w:color="auto"/>
      </w:divBdr>
    </w:div>
    <w:div w:id="1492058447">
      <w:bodyDiv w:val="1"/>
      <w:marLeft w:val="0"/>
      <w:marRight w:val="0"/>
      <w:marTop w:val="0"/>
      <w:marBottom w:val="0"/>
      <w:divBdr>
        <w:top w:val="none" w:sz="0" w:space="0" w:color="auto"/>
        <w:left w:val="none" w:sz="0" w:space="0" w:color="auto"/>
        <w:bottom w:val="none" w:sz="0" w:space="0" w:color="auto"/>
        <w:right w:val="none" w:sz="0" w:space="0" w:color="auto"/>
      </w:divBdr>
    </w:div>
    <w:div w:id="1497956978">
      <w:bodyDiv w:val="1"/>
      <w:marLeft w:val="0"/>
      <w:marRight w:val="0"/>
      <w:marTop w:val="0"/>
      <w:marBottom w:val="0"/>
      <w:divBdr>
        <w:top w:val="none" w:sz="0" w:space="0" w:color="auto"/>
        <w:left w:val="none" w:sz="0" w:space="0" w:color="auto"/>
        <w:bottom w:val="none" w:sz="0" w:space="0" w:color="auto"/>
        <w:right w:val="none" w:sz="0" w:space="0" w:color="auto"/>
      </w:divBdr>
    </w:div>
    <w:div w:id="1517110247">
      <w:bodyDiv w:val="1"/>
      <w:marLeft w:val="0"/>
      <w:marRight w:val="0"/>
      <w:marTop w:val="0"/>
      <w:marBottom w:val="0"/>
      <w:divBdr>
        <w:top w:val="none" w:sz="0" w:space="0" w:color="auto"/>
        <w:left w:val="none" w:sz="0" w:space="0" w:color="auto"/>
        <w:bottom w:val="none" w:sz="0" w:space="0" w:color="auto"/>
        <w:right w:val="none" w:sz="0" w:space="0" w:color="auto"/>
      </w:divBdr>
    </w:div>
    <w:div w:id="1519927074">
      <w:bodyDiv w:val="1"/>
      <w:marLeft w:val="0"/>
      <w:marRight w:val="0"/>
      <w:marTop w:val="0"/>
      <w:marBottom w:val="0"/>
      <w:divBdr>
        <w:top w:val="none" w:sz="0" w:space="0" w:color="auto"/>
        <w:left w:val="none" w:sz="0" w:space="0" w:color="auto"/>
        <w:bottom w:val="none" w:sz="0" w:space="0" w:color="auto"/>
        <w:right w:val="none" w:sz="0" w:space="0" w:color="auto"/>
      </w:divBdr>
    </w:div>
    <w:div w:id="1526938969">
      <w:bodyDiv w:val="1"/>
      <w:marLeft w:val="0"/>
      <w:marRight w:val="0"/>
      <w:marTop w:val="0"/>
      <w:marBottom w:val="0"/>
      <w:divBdr>
        <w:top w:val="none" w:sz="0" w:space="0" w:color="auto"/>
        <w:left w:val="none" w:sz="0" w:space="0" w:color="auto"/>
        <w:bottom w:val="none" w:sz="0" w:space="0" w:color="auto"/>
        <w:right w:val="none" w:sz="0" w:space="0" w:color="auto"/>
      </w:divBdr>
    </w:div>
    <w:div w:id="1529098269">
      <w:bodyDiv w:val="1"/>
      <w:marLeft w:val="0"/>
      <w:marRight w:val="0"/>
      <w:marTop w:val="0"/>
      <w:marBottom w:val="0"/>
      <w:divBdr>
        <w:top w:val="none" w:sz="0" w:space="0" w:color="auto"/>
        <w:left w:val="none" w:sz="0" w:space="0" w:color="auto"/>
        <w:bottom w:val="none" w:sz="0" w:space="0" w:color="auto"/>
        <w:right w:val="none" w:sz="0" w:space="0" w:color="auto"/>
      </w:divBdr>
    </w:div>
    <w:div w:id="1529371210">
      <w:bodyDiv w:val="1"/>
      <w:marLeft w:val="0"/>
      <w:marRight w:val="0"/>
      <w:marTop w:val="0"/>
      <w:marBottom w:val="0"/>
      <w:divBdr>
        <w:top w:val="none" w:sz="0" w:space="0" w:color="auto"/>
        <w:left w:val="none" w:sz="0" w:space="0" w:color="auto"/>
        <w:bottom w:val="none" w:sz="0" w:space="0" w:color="auto"/>
        <w:right w:val="none" w:sz="0" w:space="0" w:color="auto"/>
      </w:divBdr>
    </w:div>
    <w:div w:id="1534489958">
      <w:bodyDiv w:val="1"/>
      <w:marLeft w:val="0"/>
      <w:marRight w:val="0"/>
      <w:marTop w:val="0"/>
      <w:marBottom w:val="0"/>
      <w:divBdr>
        <w:top w:val="none" w:sz="0" w:space="0" w:color="auto"/>
        <w:left w:val="none" w:sz="0" w:space="0" w:color="auto"/>
        <w:bottom w:val="none" w:sz="0" w:space="0" w:color="auto"/>
        <w:right w:val="none" w:sz="0" w:space="0" w:color="auto"/>
      </w:divBdr>
    </w:div>
    <w:div w:id="1549104342">
      <w:bodyDiv w:val="1"/>
      <w:marLeft w:val="0"/>
      <w:marRight w:val="0"/>
      <w:marTop w:val="0"/>
      <w:marBottom w:val="0"/>
      <w:divBdr>
        <w:top w:val="none" w:sz="0" w:space="0" w:color="auto"/>
        <w:left w:val="none" w:sz="0" w:space="0" w:color="auto"/>
        <w:bottom w:val="none" w:sz="0" w:space="0" w:color="auto"/>
        <w:right w:val="none" w:sz="0" w:space="0" w:color="auto"/>
      </w:divBdr>
    </w:div>
    <w:div w:id="1556238867">
      <w:bodyDiv w:val="1"/>
      <w:marLeft w:val="0"/>
      <w:marRight w:val="0"/>
      <w:marTop w:val="0"/>
      <w:marBottom w:val="0"/>
      <w:divBdr>
        <w:top w:val="none" w:sz="0" w:space="0" w:color="auto"/>
        <w:left w:val="none" w:sz="0" w:space="0" w:color="auto"/>
        <w:bottom w:val="none" w:sz="0" w:space="0" w:color="auto"/>
        <w:right w:val="none" w:sz="0" w:space="0" w:color="auto"/>
      </w:divBdr>
    </w:div>
    <w:div w:id="1558466024">
      <w:bodyDiv w:val="1"/>
      <w:marLeft w:val="0"/>
      <w:marRight w:val="0"/>
      <w:marTop w:val="0"/>
      <w:marBottom w:val="0"/>
      <w:divBdr>
        <w:top w:val="none" w:sz="0" w:space="0" w:color="auto"/>
        <w:left w:val="none" w:sz="0" w:space="0" w:color="auto"/>
        <w:bottom w:val="none" w:sz="0" w:space="0" w:color="auto"/>
        <w:right w:val="none" w:sz="0" w:space="0" w:color="auto"/>
      </w:divBdr>
    </w:div>
    <w:div w:id="1572041118">
      <w:bodyDiv w:val="1"/>
      <w:marLeft w:val="0"/>
      <w:marRight w:val="0"/>
      <w:marTop w:val="0"/>
      <w:marBottom w:val="0"/>
      <w:divBdr>
        <w:top w:val="none" w:sz="0" w:space="0" w:color="auto"/>
        <w:left w:val="none" w:sz="0" w:space="0" w:color="auto"/>
        <w:bottom w:val="none" w:sz="0" w:space="0" w:color="auto"/>
        <w:right w:val="none" w:sz="0" w:space="0" w:color="auto"/>
      </w:divBdr>
    </w:div>
    <w:div w:id="1586527797">
      <w:bodyDiv w:val="1"/>
      <w:marLeft w:val="0"/>
      <w:marRight w:val="0"/>
      <w:marTop w:val="0"/>
      <w:marBottom w:val="0"/>
      <w:divBdr>
        <w:top w:val="none" w:sz="0" w:space="0" w:color="auto"/>
        <w:left w:val="none" w:sz="0" w:space="0" w:color="auto"/>
        <w:bottom w:val="none" w:sz="0" w:space="0" w:color="auto"/>
        <w:right w:val="none" w:sz="0" w:space="0" w:color="auto"/>
      </w:divBdr>
    </w:div>
    <w:div w:id="1593706956">
      <w:bodyDiv w:val="1"/>
      <w:marLeft w:val="0"/>
      <w:marRight w:val="0"/>
      <w:marTop w:val="0"/>
      <w:marBottom w:val="0"/>
      <w:divBdr>
        <w:top w:val="none" w:sz="0" w:space="0" w:color="auto"/>
        <w:left w:val="none" w:sz="0" w:space="0" w:color="auto"/>
        <w:bottom w:val="none" w:sz="0" w:space="0" w:color="auto"/>
        <w:right w:val="none" w:sz="0" w:space="0" w:color="auto"/>
      </w:divBdr>
    </w:div>
    <w:div w:id="1604260868">
      <w:bodyDiv w:val="1"/>
      <w:marLeft w:val="0"/>
      <w:marRight w:val="0"/>
      <w:marTop w:val="0"/>
      <w:marBottom w:val="0"/>
      <w:divBdr>
        <w:top w:val="none" w:sz="0" w:space="0" w:color="auto"/>
        <w:left w:val="none" w:sz="0" w:space="0" w:color="auto"/>
        <w:bottom w:val="none" w:sz="0" w:space="0" w:color="auto"/>
        <w:right w:val="none" w:sz="0" w:space="0" w:color="auto"/>
      </w:divBdr>
    </w:div>
    <w:div w:id="1606576785">
      <w:bodyDiv w:val="1"/>
      <w:marLeft w:val="0"/>
      <w:marRight w:val="0"/>
      <w:marTop w:val="0"/>
      <w:marBottom w:val="0"/>
      <w:divBdr>
        <w:top w:val="none" w:sz="0" w:space="0" w:color="auto"/>
        <w:left w:val="none" w:sz="0" w:space="0" w:color="auto"/>
        <w:bottom w:val="none" w:sz="0" w:space="0" w:color="auto"/>
        <w:right w:val="none" w:sz="0" w:space="0" w:color="auto"/>
      </w:divBdr>
    </w:div>
    <w:div w:id="1609964759">
      <w:bodyDiv w:val="1"/>
      <w:marLeft w:val="0"/>
      <w:marRight w:val="0"/>
      <w:marTop w:val="0"/>
      <w:marBottom w:val="0"/>
      <w:divBdr>
        <w:top w:val="none" w:sz="0" w:space="0" w:color="auto"/>
        <w:left w:val="none" w:sz="0" w:space="0" w:color="auto"/>
        <w:bottom w:val="none" w:sz="0" w:space="0" w:color="auto"/>
        <w:right w:val="none" w:sz="0" w:space="0" w:color="auto"/>
      </w:divBdr>
    </w:div>
    <w:div w:id="1618633260">
      <w:bodyDiv w:val="1"/>
      <w:marLeft w:val="0"/>
      <w:marRight w:val="0"/>
      <w:marTop w:val="0"/>
      <w:marBottom w:val="0"/>
      <w:divBdr>
        <w:top w:val="none" w:sz="0" w:space="0" w:color="auto"/>
        <w:left w:val="none" w:sz="0" w:space="0" w:color="auto"/>
        <w:bottom w:val="none" w:sz="0" w:space="0" w:color="auto"/>
        <w:right w:val="none" w:sz="0" w:space="0" w:color="auto"/>
      </w:divBdr>
    </w:div>
    <w:div w:id="1622805928">
      <w:bodyDiv w:val="1"/>
      <w:marLeft w:val="0"/>
      <w:marRight w:val="0"/>
      <w:marTop w:val="0"/>
      <w:marBottom w:val="0"/>
      <w:divBdr>
        <w:top w:val="none" w:sz="0" w:space="0" w:color="auto"/>
        <w:left w:val="none" w:sz="0" w:space="0" w:color="auto"/>
        <w:bottom w:val="none" w:sz="0" w:space="0" w:color="auto"/>
        <w:right w:val="none" w:sz="0" w:space="0" w:color="auto"/>
      </w:divBdr>
    </w:div>
    <w:div w:id="1623341770">
      <w:bodyDiv w:val="1"/>
      <w:marLeft w:val="0"/>
      <w:marRight w:val="0"/>
      <w:marTop w:val="0"/>
      <w:marBottom w:val="0"/>
      <w:divBdr>
        <w:top w:val="none" w:sz="0" w:space="0" w:color="auto"/>
        <w:left w:val="none" w:sz="0" w:space="0" w:color="auto"/>
        <w:bottom w:val="none" w:sz="0" w:space="0" w:color="auto"/>
        <w:right w:val="none" w:sz="0" w:space="0" w:color="auto"/>
      </w:divBdr>
    </w:div>
    <w:div w:id="1637445385">
      <w:bodyDiv w:val="1"/>
      <w:marLeft w:val="0"/>
      <w:marRight w:val="0"/>
      <w:marTop w:val="0"/>
      <w:marBottom w:val="0"/>
      <w:divBdr>
        <w:top w:val="none" w:sz="0" w:space="0" w:color="auto"/>
        <w:left w:val="none" w:sz="0" w:space="0" w:color="auto"/>
        <w:bottom w:val="none" w:sz="0" w:space="0" w:color="auto"/>
        <w:right w:val="none" w:sz="0" w:space="0" w:color="auto"/>
      </w:divBdr>
    </w:div>
    <w:div w:id="1645550051">
      <w:bodyDiv w:val="1"/>
      <w:marLeft w:val="0"/>
      <w:marRight w:val="0"/>
      <w:marTop w:val="0"/>
      <w:marBottom w:val="0"/>
      <w:divBdr>
        <w:top w:val="none" w:sz="0" w:space="0" w:color="auto"/>
        <w:left w:val="none" w:sz="0" w:space="0" w:color="auto"/>
        <w:bottom w:val="none" w:sz="0" w:space="0" w:color="auto"/>
        <w:right w:val="none" w:sz="0" w:space="0" w:color="auto"/>
      </w:divBdr>
    </w:div>
    <w:div w:id="1650207743">
      <w:bodyDiv w:val="1"/>
      <w:marLeft w:val="0"/>
      <w:marRight w:val="0"/>
      <w:marTop w:val="0"/>
      <w:marBottom w:val="0"/>
      <w:divBdr>
        <w:top w:val="none" w:sz="0" w:space="0" w:color="auto"/>
        <w:left w:val="none" w:sz="0" w:space="0" w:color="auto"/>
        <w:bottom w:val="none" w:sz="0" w:space="0" w:color="auto"/>
        <w:right w:val="none" w:sz="0" w:space="0" w:color="auto"/>
      </w:divBdr>
    </w:div>
    <w:div w:id="1659529528">
      <w:bodyDiv w:val="1"/>
      <w:marLeft w:val="0"/>
      <w:marRight w:val="0"/>
      <w:marTop w:val="0"/>
      <w:marBottom w:val="0"/>
      <w:divBdr>
        <w:top w:val="none" w:sz="0" w:space="0" w:color="auto"/>
        <w:left w:val="none" w:sz="0" w:space="0" w:color="auto"/>
        <w:bottom w:val="none" w:sz="0" w:space="0" w:color="auto"/>
        <w:right w:val="none" w:sz="0" w:space="0" w:color="auto"/>
      </w:divBdr>
    </w:div>
    <w:div w:id="1671561539">
      <w:bodyDiv w:val="1"/>
      <w:marLeft w:val="0"/>
      <w:marRight w:val="0"/>
      <w:marTop w:val="0"/>
      <w:marBottom w:val="0"/>
      <w:divBdr>
        <w:top w:val="none" w:sz="0" w:space="0" w:color="auto"/>
        <w:left w:val="none" w:sz="0" w:space="0" w:color="auto"/>
        <w:bottom w:val="none" w:sz="0" w:space="0" w:color="auto"/>
        <w:right w:val="none" w:sz="0" w:space="0" w:color="auto"/>
      </w:divBdr>
    </w:div>
    <w:div w:id="1683314792">
      <w:bodyDiv w:val="1"/>
      <w:marLeft w:val="0"/>
      <w:marRight w:val="0"/>
      <w:marTop w:val="0"/>
      <w:marBottom w:val="0"/>
      <w:divBdr>
        <w:top w:val="none" w:sz="0" w:space="0" w:color="auto"/>
        <w:left w:val="none" w:sz="0" w:space="0" w:color="auto"/>
        <w:bottom w:val="none" w:sz="0" w:space="0" w:color="auto"/>
        <w:right w:val="none" w:sz="0" w:space="0" w:color="auto"/>
      </w:divBdr>
    </w:div>
    <w:div w:id="1689137635">
      <w:bodyDiv w:val="1"/>
      <w:marLeft w:val="0"/>
      <w:marRight w:val="0"/>
      <w:marTop w:val="0"/>
      <w:marBottom w:val="0"/>
      <w:divBdr>
        <w:top w:val="none" w:sz="0" w:space="0" w:color="auto"/>
        <w:left w:val="none" w:sz="0" w:space="0" w:color="auto"/>
        <w:bottom w:val="none" w:sz="0" w:space="0" w:color="auto"/>
        <w:right w:val="none" w:sz="0" w:space="0" w:color="auto"/>
      </w:divBdr>
    </w:div>
    <w:div w:id="1703440638">
      <w:bodyDiv w:val="1"/>
      <w:marLeft w:val="0"/>
      <w:marRight w:val="0"/>
      <w:marTop w:val="0"/>
      <w:marBottom w:val="0"/>
      <w:divBdr>
        <w:top w:val="none" w:sz="0" w:space="0" w:color="auto"/>
        <w:left w:val="none" w:sz="0" w:space="0" w:color="auto"/>
        <w:bottom w:val="none" w:sz="0" w:space="0" w:color="auto"/>
        <w:right w:val="none" w:sz="0" w:space="0" w:color="auto"/>
      </w:divBdr>
    </w:div>
    <w:div w:id="1710645843">
      <w:bodyDiv w:val="1"/>
      <w:marLeft w:val="0"/>
      <w:marRight w:val="0"/>
      <w:marTop w:val="0"/>
      <w:marBottom w:val="0"/>
      <w:divBdr>
        <w:top w:val="none" w:sz="0" w:space="0" w:color="auto"/>
        <w:left w:val="none" w:sz="0" w:space="0" w:color="auto"/>
        <w:bottom w:val="none" w:sz="0" w:space="0" w:color="auto"/>
        <w:right w:val="none" w:sz="0" w:space="0" w:color="auto"/>
      </w:divBdr>
    </w:div>
    <w:div w:id="1743024906">
      <w:bodyDiv w:val="1"/>
      <w:marLeft w:val="0"/>
      <w:marRight w:val="0"/>
      <w:marTop w:val="0"/>
      <w:marBottom w:val="0"/>
      <w:divBdr>
        <w:top w:val="none" w:sz="0" w:space="0" w:color="auto"/>
        <w:left w:val="none" w:sz="0" w:space="0" w:color="auto"/>
        <w:bottom w:val="none" w:sz="0" w:space="0" w:color="auto"/>
        <w:right w:val="none" w:sz="0" w:space="0" w:color="auto"/>
      </w:divBdr>
    </w:div>
    <w:div w:id="1745645566">
      <w:bodyDiv w:val="1"/>
      <w:marLeft w:val="0"/>
      <w:marRight w:val="0"/>
      <w:marTop w:val="0"/>
      <w:marBottom w:val="0"/>
      <w:divBdr>
        <w:top w:val="none" w:sz="0" w:space="0" w:color="auto"/>
        <w:left w:val="none" w:sz="0" w:space="0" w:color="auto"/>
        <w:bottom w:val="none" w:sz="0" w:space="0" w:color="auto"/>
        <w:right w:val="none" w:sz="0" w:space="0" w:color="auto"/>
      </w:divBdr>
    </w:div>
    <w:div w:id="1750884251">
      <w:bodyDiv w:val="1"/>
      <w:marLeft w:val="0"/>
      <w:marRight w:val="0"/>
      <w:marTop w:val="0"/>
      <w:marBottom w:val="0"/>
      <w:divBdr>
        <w:top w:val="none" w:sz="0" w:space="0" w:color="auto"/>
        <w:left w:val="none" w:sz="0" w:space="0" w:color="auto"/>
        <w:bottom w:val="none" w:sz="0" w:space="0" w:color="auto"/>
        <w:right w:val="none" w:sz="0" w:space="0" w:color="auto"/>
      </w:divBdr>
    </w:div>
    <w:div w:id="1754350794">
      <w:bodyDiv w:val="1"/>
      <w:marLeft w:val="0"/>
      <w:marRight w:val="0"/>
      <w:marTop w:val="0"/>
      <w:marBottom w:val="0"/>
      <w:divBdr>
        <w:top w:val="none" w:sz="0" w:space="0" w:color="auto"/>
        <w:left w:val="none" w:sz="0" w:space="0" w:color="auto"/>
        <w:bottom w:val="none" w:sz="0" w:space="0" w:color="auto"/>
        <w:right w:val="none" w:sz="0" w:space="0" w:color="auto"/>
      </w:divBdr>
    </w:div>
    <w:div w:id="1758135021">
      <w:bodyDiv w:val="1"/>
      <w:marLeft w:val="0"/>
      <w:marRight w:val="0"/>
      <w:marTop w:val="0"/>
      <w:marBottom w:val="0"/>
      <w:divBdr>
        <w:top w:val="none" w:sz="0" w:space="0" w:color="auto"/>
        <w:left w:val="none" w:sz="0" w:space="0" w:color="auto"/>
        <w:bottom w:val="none" w:sz="0" w:space="0" w:color="auto"/>
        <w:right w:val="none" w:sz="0" w:space="0" w:color="auto"/>
      </w:divBdr>
    </w:div>
    <w:div w:id="1758668568">
      <w:bodyDiv w:val="1"/>
      <w:marLeft w:val="0"/>
      <w:marRight w:val="0"/>
      <w:marTop w:val="0"/>
      <w:marBottom w:val="0"/>
      <w:divBdr>
        <w:top w:val="none" w:sz="0" w:space="0" w:color="auto"/>
        <w:left w:val="none" w:sz="0" w:space="0" w:color="auto"/>
        <w:bottom w:val="none" w:sz="0" w:space="0" w:color="auto"/>
        <w:right w:val="none" w:sz="0" w:space="0" w:color="auto"/>
      </w:divBdr>
    </w:div>
    <w:div w:id="1762528378">
      <w:bodyDiv w:val="1"/>
      <w:marLeft w:val="0"/>
      <w:marRight w:val="0"/>
      <w:marTop w:val="0"/>
      <w:marBottom w:val="0"/>
      <w:divBdr>
        <w:top w:val="none" w:sz="0" w:space="0" w:color="auto"/>
        <w:left w:val="none" w:sz="0" w:space="0" w:color="auto"/>
        <w:bottom w:val="none" w:sz="0" w:space="0" w:color="auto"/>
        <w:right w:val="none" w:sz="0" w:space="0" w:color="auto"/>
      </w:divBdr>
    </w:div>
    <w:div w:id="1765610772">
      <w:bodyDiv w:val="1"/>
      <w:marLeft w:val="0"/>
      <w:marRight w:val="0"/>
      <w:marTop w:val="0"/>
      <w:marBottom w:val="0"/>
      <w:divBdr>
        <w:top w:val="none" w:sz="0" w:space="0" w:color="auto"/>
        <w:left w:val="none" w:sz="0" w:space="0" w:color="auto"/>
        <w:bottom w:val="none" w:sz="0" w:space="0" w:color="auto"/>
        <w:right w:val="none" w:sz="0" w:space="0" w:color="auto"/>
      </w:divBdr>
    </w:div>
    <w:div w:id="1772316264">
      <w:bodyDiv w:val="1"/>
      <w:marLeft w:val="0"/>
      <w:marRight w:val="0"/>
      <w:marTop w:val="0"/>
      <w:marBottom w:val="0"/>
      <w:divBdr>
        <w:top w:val="none" w:sz="0" w:space="0" w:color="auto"/>
        <w:left w:val="none" w:sz="0" w:space="0" w:color="auto"/>
        <w:bottom w:val="none" w:sz="0" w:space="0" w:color="auto"/>
        <w:right w:val="none" w:sz="0" w:space="0" w:color="auto"/>
      </w:divBdr>
    </w:div>
    <w:div w:id="1778869552">
      <w:bodyDiv w:val="1"/>
      <w:marLeft w:val="0"/>
      <w:marRight w:val="0"/>
      <w:marTop w:val="0"/>
      <w:marBottom w:val="0"/>
      <w:divBdr>
        <w:top w:val="none" w:sz="0" w:space="0" w:color="auto"/>
        <w:left w:val="none" w:sz="0" w:space="0" w:color="auto"/>
        <w:bottom w:val="none" w:sz="0" w:space="0" w:color="auto"/>
        <w:right w:val="none" w:sz="0" w:space="0" w:color="auto"/>
      </w:divBdr>
    </w:div>
    <w:div w:id="1797873364">
      <w:bodyDiv w:val="1"/>
      <w:marLeft w:val="0"/>
      <w:marRight w:val="0"/>
      <w:marTop w:val="0"/>
      <w:marBottom w:val="0"/>
      <w:divBdr>
        <w:top w:val="none" w:sz="0" w:space="0" w:color="auto"/>
        <w:left w:val="none" w:sz="0" w:space="0" w:color="auto"/>
        <w:bottom w:val="none" w:sz="0" w:space="0" w:color="auto"/>
        <w:right w:val="none" w:sz="0" w:space="0" w:color="auto"/>
      </w:divBdr>
    </w:div>
    <w:div w:id="1815104134">
      <w:bodyDiv w:val="1"/>
      <w:marLeft w:val="0"/>
      <w:marRight w:val="0"/>
      <w:marTop w:val="0"/>
      <w:marBottom w:val="0"/>
      <w:divBdr>
        <w:top w:val="none" w:sz="0" w:space="0" w:color="auto"/>
        <w:left w:val="none" w:sz="0" w:space="0" w:color="auto"/>
        <w:bottom w:val="none" w:sz="0" w:space="0" w:color="auto"/>
        <w:right w:val="none" w:sz="0" w:space="0" w:color="auto"/>
      </w:divBdr>
      <w:divsChild>
        <w:div w:id="456413182">
          <w:marLeft w:val="0"/>
          <w:marRight w:val="0"/>
          <w:marTop w:val="0"/>
          <w:marBottom w:val="0"/>
          <w:divBdr>
            <w:top w:val="none" w:sz="0" w:space="0" w:color="auto"/>
            <w:left w:val="none" w:sz="0" w:space="0" w:color="auto"/>
            <w:bottom w:val="none" w:sz="0" w:space="0" w:color="auto"/>
            <w:right w:val="none" w:sz="0" w:space="0" w:color="auto"/>
          </w:divBdr>
          <w:divsChild>
            <w:div w:id="138305420">
              <w:marLeft w:val="0"/>
              <w:marRight w:val="0"/>
              <w:marTop w:val="0"/>
              <w:marBottom w:val="0"/>
              <w:divBdr>
                <w:top w:val="none" w:sz="0" w:space="0" w:color="auto"/>
                <w:left w:val="none" w:sz="0" w:space="0" w:color="auto"/>
                <w:bottom w:val="none" w:sz="0" w:space="0" w:color="auto"/>
                <w:right w:val="none" w:sz="0" w:space="0" w:color="auto"/>
              </w:divBdr>
              <w:divsChild>
                <w:div w:id="1036347650">
                  <w:marLeft w:val="0"/>
                  <w:marRight w:val="0"/>
                  <w:marTop w:val="0"/>
                  <w:marBottom w:val="0"/>
                  <w:divBdr>
                    <w:top w:val="none" w:sz="0" w:space="0" w:color="auto"/>
                    <w:left w:val="none" w:sz="0" w:space="0" w:color="auto"/>
                    <w:bottom w:val="none" w:sz="0" w:space="0" w:color="auto"/>
                    <w:right w:val="none" w:sz="0" w:space="0" w:color="auto"/>
                  </w:divBdr>
                  <w:divsChild>
                    <w:div w:id="52852823">
                      <w:marLeft w:val="150"/>
                      <w:marRight w:val="150"/>
                      <w:marTop w:val="150"/>
                      <w:marBottom w:val="150"/>
                      <w:divBdr>
                        <w:top w:val="none" w:sz="0" w:space="0" w:color="auto"/>
                        <w:left w:val="none" w:sz="0" w:space="0" w:color="auto"/>
                        <w:bottom w:val="none" w:sz="0" w:space="0" w:color="auto"/>
                        <w:right w:val="none" w:sz="0" w:space="0" w:color="auto"/>
                      </w:divBdr>
                      <w:divsChild>
                        <w:div w:id="1325281900">
                          <w:marLeft w:val="0"/>
                          <w:marRight w:val="0"/>
                          <w:marTop w:val="0"/>
                          <w:marBottom w:val="0"/>
                          <w:divBdr>
                            <w:top w:val="none" w:sz="0" w:space="0" w:color="auto"/>
                            <w:left w:val="none" w:sz="0" w:space="0" w:color="auto"/>
                            <w:bottom w:val="none" w:sz="0" w:space="0" w:color="auto"/>
                            <w:right w:val="none" w:sz="0" w:space="0" w:color="auto"/>
                          </w:divBdr>
                          <w:divsChild>
                            <w:div w:id="664362850">
                              <w:marLeft w:val="0"/>
                              <w:marRight w:val="0"/>
                              <w:marTop w:val="0"/>
                              <w:marBottom w:val="0"/>
                              <w:divBdr>
                                <w:top w:val="none" w:sz="0" w:space="0" w:color="auto"/>
                                <w:left w:val="none" w:sz="0" w:space="0" w:color="auto"/>
                                <w:bottom w:val="none" w:sz="0" w:space="0" w:color="auto"/>
                                <w:right w:val="none" w:sz="0" w:space="0" w:color="auto"/>
                              </w:divBdr>
                              <w:divsChild>
                                <w:div w:id="1322194169">
                                  <w:marLeft w:val="0"/>
                                  <w:marRight w:val="0"/>
                                  <w:marTop w:val="0"/>
                                  <w:marBottom w:val="0"/>
                                  <w:divBdr>
                                    <w:top w:val="none" w:sz="0" w:space="0" w:color="auto"/>
                                    <w:left w:val="none" w:sz="0" w:space="0" w:color="auto"/>
                                    <w:bottom w:val="none" w:sz="0" w:space="0" w:color="auto"/>
                                    <w:right w:val="none" w:sz="0" w:space="0" w:color="auto"/>
                                  </w:divBdr>
                                  <w:divsChild>
                                    <w:div w:id="179772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665067">
      <w:bodyDiv w:val="1"/>
      <w:marLeft w:val="0"/>
      <w:marRight w:val="0"/>
      <w:marTop w:val="0"/>
      <w:marBottom w:val="0"/>
      <w:divBdr>
        <w:top w:val="none" w:sz="0" w:space="0" w:color="auto"/>
        <w:left w:val="none" w:sz="0" w:space="0" w:color="auto"/>
        <w:bottom w:val="none" w:sz="0" w:space="0" w:color="auto"/>
        <w:right w:val="none" w:sz="0" w:space="0" w:color="auto"/>
      </w:divBdr>
    </w:div>
    <w:div w:id="1837266468">
      <w:bodyDiv w:val="1"/>
      <w:marLeft w:val="0"/>
      <w:marRight w:val="0"/>
      <w:marTop w:val="0"/>
      <w:marBottom w:val="0"/>
      <w:divBdr>
        <w:top w:val="none" w:sz="0" w:space="0" w:color="auto"/>
        <w:left w:val="none" w:sz="0" w:space="0" w:color="auto"/>
        <w:bottom w:val="none" w:sz="0" w:space="0" w:color="auto"/>
        <w:right w:val="none" w:sz="0" w:space="0" w:color="auto"/>
      </w:divBdr>
    </w:div>
    <w:div w:id="1854882870">
      <w:bodyDiv w:val="1"/>
      <w:marLeft w:val="0"/>
      <w:marRight w:val="0"/>
      <w:marTop w:val="0"/>
      <w:marBottom w:val="0"/>
      <w:divBdr>
        <w:top w:val="none" w:sz="0" w:space="0" w:color="auto"/>
        <w:left w:val="none" w:sz="0" w:space="0" w:color="auto"/>
        <w:bottom w:val="none" w:sz="0" w:space="0" w:color="auto"/>
        <w:right w:val="none" w:sz="0" w:space="0" w:color="auto"/>
      </w:divBdr>
    </w:div>
    <w:div w:id="1855265709">
      <w:bodyDiv w:val="1"/>
      <w:marLeft w:val="0"/>
      <w:marRight w:val="0"/>
      <w:marTop w:val="0"/>
      <w:marBottom w:val="0"/>
      <w:divBdr>
        <w:top w:val="none" w:sz="0" w:space="0" w:color="auto"/>
        <w:left w:val="none" w:sz="0" w:space="0" w:color="auto"/>
        <w:bottom w:val="none" w:sz="0" w:space="0" w:color="auto"/>
        <w:right w:val="none" w:sz="0" w:space="0" w:color="auto"/>
      </w:divBdr>
    </w:div>
    <w:div w:id="1881238266">
      <w:bodyDiv w:val="1"/>
      <w:marLeft w:val="0"/>
      <w:marRight w:val="0"/>
      <w:marTop w:val="0"/>
      <w:marBottom w:val="0"/>
      <w:divBdr>
        <w:top w:val="none" w:sz="0" w:space="0" w:color="auto"/>
        <w:left w:val="none" w:sz="0" w:space="0" w:color="auto"/>
        <w:bottom w:val="none" w:sz="0" w:space="0" w:color="auto"/>
        <w:right w:val="none" w:sz="0" w:space="0" w:color="auto"/>
      </w:divBdr>
    </w:div>
    <w:div w:id="1895506478">
      <w:bodyDiv w:val="1"/>
      <w:marLeft w:val="0"/>
      <w:marRight w:val="0"/>
      <w:marTop w:val="0"/>
      <w:marBottom w:val="0"/>
      <w:divBdr>
        <w:top w:val="none" w:sz="0" w:space="0" w:color="auto"/>
        <w:left w:val="none" w:sz="0" w:space="0" w:color="auto"/>
        <w:bottom w:val="none" w:sz="0" w:space="0" w:color="auto"/>
        <w:right w:val="none" w:sz="0" w:space="0" w:color="auto"/>
      </w:divBdr>
    </w:div>
    <w:div w:id="1911190239">
      <w:bodyDiv w:val="1"/>
      <w:marLeft w:val="0"/>
      <w:marRight w:val="0"/>
      <w:marTop w:val="0"/>
      <w:marBottom w:val="0"/>
      <w:divBdr>
        <w:top w:val="none" w:sz="0" w:space="0" w:color="auto"/>
        <w:left w:val="none" w:sz="0" w:space="0" w:color="auto"/>
        <w:bottom w:val="none" w:sz="0" w:space="0" w:color="auto"/>
        <w:right w:val="none" w:sz="0" w:space="0" w:color="auto"/>
      </w:divBdr>
    </w:div>
    <w:div w:id="1931237695">
      <w:bodyDiv w:val="1"/>
      <w:marLeft w:val="0"/>
      <w:marRight w:val="0"/>
      <w:marTop w:val="0"/>
      <w:marBottom w:val="0"/>
      <w:divBdr>
        <w:top w:val="none" w:sz="0" w:space="0" w:color="auto"/>
        <w:left w:val="none" w:sz="0" w:space="0" w:color="auto"/>
        <w:bottom w:val="none" w:sz="0" w:space="0" w:color="auto"/>
        <w:right w:val="none" w:sz="0" w:space="0" w:color="auto"/>
      </w:divBdr>
    </w:div>
    <w:div w:id="1931574798">
      <w:bodyDiv w:val="1"/>
      <w:marLeft w:val="0"/>
      <w:marRight w:val="0"/>
      <w:marTop w:val="0"/>
      <w:marBottom w:val="0"/>
      <w:divBdr>
        <w:top w:val="none" w:sz="0" w:space="0" w:color="auto"/>
        <w:left w:val="none" w:sz="0" w:space="0" w:color="auto"/>
        <w:bottom w:val="none" w:sz="0" w:space="0" w:color="auto"/>
        <w:right w:val="none" w:sz="0" w:space="0" w:color="auto"/>
      </w:divBdr>
    </w:div>
    <w:div w:id="1938101060">
      <w:bodyDiv w:val="1"/>
      <w:marLeft w:val="0"/>
      <w:marRight w:val="0"/>
      <w:marTop w:val="0"/>
      <w:marBottom w:val="0"/>
      <w:divBdr>
        <w:top w:val="none" w:sz="0" w:space="0" w:color="auto"/>
        <w:left w:val="none" w:sz="0" w:space="0" w:color="auto"/>
        <w:bottom w:val="none" w:sz="0" w:space="0" w:color="auto"/>
        <w:right w:val="none" w:sz="0" w:space="0" w:color="auto"/>
      </w:divBdr>
    </w:div>
    <w:div w:id="1947426852">
      <w:bodyDiv w:val="1"/>
      <w:marLeft w:val="0"/>
      <w:marRight w:val="0"/>
      <w:marTop w:val="0"/>
      <w:marBottom w:val="0"/>
      <w:divBdr>
        <w:top w:val="none" w:sz="0" w:space="0" w:color="auto"/>
        <w:left w:val="none" w:sz="0" w:space="0" w:color="auto"/>
        <w:bottom w:val="none" w:sz="0" w:space="0" w:color="auto"/>
        <w:right w:val="none" w:sz="0" w:space="0" w:color="auto"/>
      </w:divBdr>
    </w:div>
    <w:div w:id="1957953560">
      <w:bodyDiv w:val="1"/>
      <w:marLeft w:val="0"/>
      <w:marRight w:val="0"/>
      <w:marTop w:val="0"/>
      <w:marBottom w:val="0"/>
      <w:divBdr>
        <w:top w:val="none" w:sz="0" w:space="0" w:color="auto"/>
        <w:left w:val="none" w:sz="0" w:space="0" w:color="auto"/>
        <w:bottom w:val="none" w:sz="0" w:space="0" w:color="auto"/>
        <w:right w:val="none" w:sz="0" w:space="0" w:color="auto"/>
      </w:divBdr>
    </w:div>
    <w:div w:id="1958443288">
      <w:bodyDiv w:val="1"/>
      <w:marLeft w:val="0"/>
      <w:marRight w:val="0"/>
      <w:marTop w:val="0"/>
      <w:marBottom w:val="0"/>
      <w:divBdr>
        <w:top w:val="none" w:sz="0" w:space="0" w:color="auto"/>
        <w:left w:val="none" w:sz="0" w:space="0" w:color="auto"/>
        <w:bottom w:val="none" w:sz="0" w:space="0" w:color="auto"/>
        <w:right w:val="none" w:sz="0" w:space="0" w:color="auto"/>
      </w:divBdr>
    </w:div>
    <w:div w:id="1964185845">
      <w:bodyDiv w:val="1"/>
      <w:marLeft w:val="0"/>
      <w:marRight w:val="0"/>
      <w:marTop w:val="0"/>
      <w:marBottom w:val="0"/>
      <w:divBdr>
        <w:top w:val="none" w:sz="0" w:space="0" w:color="auto"/>
        <w:left w:val="none" w:sz="0" w:space="0" w:color="auto"/>
        <w:bottom w:val="none" w:sz="0" w:space="0" w:color="auto"/>
        <w:right w:val="none" w:sz="0" w:space="0" w:color="auto"/>
      </w:divBdr>
    </w:div>
    <w:div w:id="1970545361">
      <w:bodyDiv w:val="1"/>
      <w:marLeft w:val="0"/>
      <w:marRight w:val="0"/>
      <w:marTop w:val="0"/>
      <w:marBottom w:val="0"/>
      <w:divBdr>
        <w:top w:val="none" w:sz="0" w:space="0" w:color="auto"/>
        <w:left w:val="none" w:sz="0" w:space="0" w:color="auto"/>
        <w:bottom w:val="none" w:sz="0" w:space="0" w:color="auto"/>
        <w:right w:val="none" w:sz="0" w:space="0" w:color="auto"/>
      </w:divBdr>
    </w:div>
    <w:div w:id="1979845599">
      <w:bodyDiv w:val="1"/>
      <w:marLeft w:val="0"/>
      <w:marRight w:val="0"/>
      <w:marTop w:val="0"/>
      <w:marBottom w:val="0"/>
      <w:divBdr>
        <w:top w:val="none" w:sz="0" w:space="0" w:color="auto"/>
        <w:left w:val="none" w:sz="0" w:space="0" w:color="auto"/>
        <w:bottom w:val="none" w:sz="0" w:space="0" w:color="auto"/>
        <w:right w:val="none" w:sz="0" w:space="0" w:color="auto"/>
      </w:divBdr>
    </w:div>
    <w:div w:id="1992633073">
      <w:bodyDiv w:val="1"/>
      <w:marLeft w:val="0"/>
      <w:marRight w:val="0"/>
      <w:marTop w:val="0"/>
      <w:marBottom w:val="0"/>
      <w:divBdr>
        <w:top w:val="none" w:sz="0" w:space="0" w:color="auto"/>
        <w:left w:val="none" w:sz="0" w:space="0" w:color="auto"/>
        <w:bottom w:val="none" w:sz="0" w:space="0" w:color="auto"/>
        <w:right w:val="none" w:sz="0" w:space="0" w:color="auto"/>
      </w:divBdr>
    </w:div>
    <w:div w:id="1996375324">
      <w:bodyDiv w:val="1"/>
      <w:marLeft w:val="0"/>
      <w:marRight w:val="0"/>
      <w:marTop w:val="0"/>
      <w:marBottom w:val="0"/>
      <w:divBdr>
        <w:top w:val="none" w:sz="0" w:space="0" w:color="auto"/>
        <w:left w:val="none" w:sz="0" w:space="0" w:color="auto"/>
        <w:bottom w:val="none" w:sz="0" w:space="0" w:color="auto"/>
        <w:right w:val="none" w:sz="0" w:space="0" w:color="auto"/>
      </w:divBdr>
    </w:div>
    <w:div w:id="2022119752">
      <w:bodyDiv w:val="1"/>
      <w:marLeft w:val="0"/>
      <w:marRight w:val="0"/>
      <w:marTop w:val="0"/>
      <w:marBottom w:val="0"/>
      <w:divBdr>
        <w:top w:val="none" w:sz="0" w:space="0" w:color="auto"/>
        <w:left w:val="none" w:sz="0" w:space="0" w:color="auto"/>
        <w:bottom w:val="none" w:sz="0" w:space="0" w:color="auto"/>
        <w:right w:val="none" w:sz="0" w:space="0" w:color="auto"/>
      </w:divBdr>
    </w:div>
    <w:div w:id="2055880871">
      <w:bodyDiv w:val="1"/>
      <w:marLeft w:val="0"/>
      <w:marRight w:val="0"/>
      <w:marTop w:val="0"/>
      <w:marBottom w:val="0"/>
      <w:divBdr>
        <w:top w:val="none" w:sz="0" w:space="0" w:color="auto"/>
        <w:left w:val="none" w:sz="0" w:space="0" w:color="auto"/>
        <w:bottom w:val="none" w:sz="0" w:space="0" w:color="auto"/>
        <w:right w:val="none" w:sz="0" w:space="0" w:color="auto"/>
      </w:divBdr>
    </w:div>
    <w:div w:id="2067558061">
      <w:bodyDiv w:val="1"/>
      <w:marLeft w:val="0"/>
      <w:marRight w:val="0"/>
      <w:marTop w:val="0"/>
      <w:marBottom w:val="0"/>
      <w:divBdr>
        <w:top w:val="none" w:sz="0" w:space="0" w:color="auto"/>
        <w:left w:val="none" w:sz="0" w:space="0" w:color="auto"/>
        <w:bottom w:val="none" w:sz="0" w:space="0" w:color="auto"/>
        <w:right w:val="none" w:sz="0" w:space="0" w:color="auto"/>
      </w:divBdr>
    </w:div>
    <w:div w:id="2079135724">
      <w:bodyDiv w:val="1"/>
      <w:marLeft w:val="0"/>
      <w:marRight w:val="0"/>
      <w:marTop w:val="0"/>
      <w:marBottom w:val="0"/>
      <w:divBdr>
        <w:top w:val="none" w:sz="0" w:space="0" w:color="auto"/>
        <w:left w:val="none" w:sz="0" w:space="0" w:color="auto"/>
        <w:bottom w:val="none" w:sz="0" w:space="0" w:color="auto"/>
        <w:right w:val="none" w:sz="0" w:space="0" w:color="auto"/>
      </w:divBdr>
    </w:div>
    <w:div w:id="2084136977">
      <w:bodyDiv w:val="1"/>
      <w:marLeft w:val="0"/>
      <w:marRight w:val="0"/>
      <w:marTop w:val="0"/>
      <w:marBottom w:val="0"/>
      <w:divBdr>
        <w:top w:val="none" w:sz="0" w:space="0" w:color="auto"/>
        <w:left w:val="none" w:sz="0" w:space="0" w:color="auto"/>
        <w:bottom w:val="none" w:sz="0" w:space="0" w:color="auto"/>
        <w:right w:val="none" w:sz="0" w:space="0" w:color="auto"/>
      </w:divBdr>
    </w:div>
    <w:div w:id="2095472681">
      <w:bodyDiv w:val="1"/>
      <w:marLeft w:val="0"/>
      <w:marRight w:val="0"/>
      <w:marTop w:val="0"/>
      <w:marBottom w:val="0"/>
      <w:divBdr>
        <w:top w:val="none" w:sz="0" w:space="0" w:color="auto"/>
        <w:left w:val="none" w:sz="0" w:space="0" w:color="auto"/>
        <w:bottom w:val="none" w:sz="0" w:space="0" w:color="auto"/>
        <w:right w:val="none" w:sz="0" w:space="0" w:color="auto"/>
      </w:divBdr>
    </w:div>
    <w:div w:id="21246150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uncil.lancashire.gov.uk/ieListDocuments.aspx?CId=122&amp;MId=3457" TargetMode="Externa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21.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header" Target="header27.xml"/><Relationship Id="rId50" Type="http://schemas.openxmlformats.org/officeDocument/2006/relationships/header" Target="header29.xml"/><Relationship Id="rId55" Type="http://schemas.openxmlformats.org/officeDocument/2006/relationships/hyperlink" Target="mailto:paul.wright@lancashire.gov.uk"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5.xml"/><Relationship Id="rId41" Type="http://schemas.openxmlformats.org/officeDocument/2006/relationships/footer" Target="footer8.xml"/><Relationship Id="rId54" Type="http://schemas.openxmlformats.org/officeDocument/2006/relationships/hyperlink" Target="http://www.companieshouse.gov.uk" TargetMode="External"/><Relationship Id="rId62" Type="http://schemas.openxmlformats.org/officeDocument/2006/relationships/footer" Target="footer1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eader" Target="header16.xml"/><Relationship Id="rId37" Type="http://schemas.openxmlformats.org/officeDocument/2006/relationships/footer" Target="footer7.xml"/><Relationship Id="rId40" Type="http://schemas.openxmlformats.org/officeDocument/2006/relationships/header" Target="header22.xml"/><Relationship Id="rId45" Type="http://schemas.openxmlformats.org/officeDocument/2006/relationships/footer" Target="footer9.xml"/><Relationship Id="rId53" Type="http://schemas.openxmlformats.org/officeDocument/2006/relationships/hyperlink" Target="http://www.companieshouse.gov.uk" TargetMode="External"/><Relationship Id="rId58" Type="http://schemas.openxmlformats.org/officeDocument/2006/relationships/header" Target="header30.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footer" Target="footer10.xml"/><Relationship Id="rId57" Type="http://schemas.openxmlformats.org/officeDocument/2006/relationships/image" Target="media/image3.png"/><Relationship Id="rId61" Type="http://schemas.openxmlformats.org/officeDocument/2006/relationships/header" Target="header32.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header" Target="header25.xml"/><Relationship Id="rId52" Type="http://schemas.openxmlformats.org/officeDocument/2006/relationships/hyperlink" Target="http://www3.lancashire.gov.uk/corporate/atoz/a_to_z/service.asp?u_id=969&amp;tab=1" TargetMode="External"/><Relationship Id="rId60" Type="http://schemas.openxmlformats.org/officeDocument/2006/relationships/footer" Target="foot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hyperlink" Target="http://www.yourpensionservice.org.uk"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lancashire.gov.uk" TargetMode="Externa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insworth001\Local%20Settings\Temporary%20Internet%20Files\Content.IE5\726491JI\Full_Report_Template%5b1%5d.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542916235780838"/>
          <c:y val="1.6949152542372881E-2"/>
          <c:w val="0.71561530506721749"/>
          <c:h val="0.90508474576271059"/>
        </c:manualLayout>
      </c:layout>
      <c:barChart>
        <c:barDir val="bar"/>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2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for Chart 1'!$A$5:$A$11</c:f>
              <c:strCache>
                <c:ptCount val="7"/>
                <c:pt idx="0">
                  <c:v>Libraries, Museums &amp; Community Services</c:v>
                </c:pt>
                <c:pt idx="1">
                  <c:v>Adult Social Care</c:v>
                </c:pt>
                <c:pt idx="2">
                  <c:v>Lancashire County Commercial Group</c:v>
                </c:pt>
                <c:pt idx="3">
                  <c:v>Youth and Other</c:v>
                </c:pt>
                <c:pt idx="4">
                  <c:v>Central Services</c:v>
                </c:pt>
                <c:pt idx="5">
                  <c:v>Schools &amp; Academies</c:v>
                </c:pt>
                <c:pt idx="6">
                  <c:v>Environment Transport &amp; Other</c:v>
                </c:pt>
              </c:strCache>
            </c:strRef>
          </c:cat>
          <c:val>
            <c:numRef>
              <c:f>'Data for Chart 1'!$B$5:$B$11</c:f>
              <c:numCache>
                <c:formatCode>#,##0.0</c:formatCode>
                <c:ptCount val="7"/>
                <c:pt idx="0">
                  <c:v>0.5</c:v>
                </c:pt>
                <c:pt idx="1">
                  <c:v>2.1</c:v>
                </c:pt>
                <c:pt idx="2">
                  <c:v>3.4</c:v>
                </c:pt>
                <c:pt idx="3">
                  <c:v>5.7</c:v>
                </c:pt>
                <c:pt idx="4">
                  <c:v>29.1</c:v>
                </c:pt>
                <c:pt idx="5">
                  <c:v>54.4</c:v>
                </c:pt>
                <c:pt idx="6">
                  <c:v>59.2</c:v>
                </c:pt>
              </c:numCache>
            </c:numRef>
          </c:val>
        </c:ser>
        <c:dLbls>
          <c:showLegendKey val="0"/>
          <c:showVal val="0"/>
          <c:showCatName val="0"/>
          <c:showSerName val="0"/>
          <c:showPercent val="0"/>
          <c:showBubbleSize val="0"/>
        </c:dLbls>
        <c:gapWidth val="150"/>
        <c:axId val="135235456"/>
        <c:axId val="135236992"/>
      </c:barChart>
      <c:catAx>
        <c:axId val="1352354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35236992"/>
        <c:crosses val="autoZero"/>
        <c:auto val="1"/>
        <c:lblAlgn val="ctr"/>
        <c:lblOffset val="100"/>
        <c:tickLblSkip val="1"/>
        <c:tickMarkSkip val="1"/>
        <c:noMultiLvlLbl val="0"/>
      </c:catAx>
      <c:valAx>
        <c:axId val="135236992"/>
        <c:scaling>
          <c:orientation val="minMax"/>
        </c:scaling>
        <c:delete val="0"/>
        <c:axPos val="b"/>
        <c:numFmt formatCode="#,##0.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352354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C6B48-F993-4BFE-A175-8399F202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Full_Report_Template[1].dot</Template>
  <TotalTime>0</TotalTime>
  <Pages>182</Pages>
  <Words>49248</Words>
  <Characters>280717</Characters>
  <Application>Microsoft Office Word</Application>
  <DocSecurity>0</DocSecurity>
  <Lines>2339</Lines>
  <Paragraphs>658</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329307</CharactersWithSpaces>
  <SharedDoc>false</SharedDoc>
  <HLinks>
    <vt:vector size="102" baseType="variant">
      <vt:variant>
        <vt:i4>1900605</vt:i4>
      </vt:variant>
      <vt:variant>
        <vt:i4>113</vt:i4>
      </vt:variant>
      <vt:variant>
        <vt:i4>0</vt:i4>
      </vt:variant>
      <vt:variant>
        <vt:i4>5</vt:i4>
      </vt:variant>
      <vt:variant>
        <vt:lpwstr/>
      </vt:variant>
      <vt:variant>
        <vt:lpwstr>_Toc304199324</vt:lpwstr>
      </vt:variant>
      <vt:variant>
        <vt:i4>1900605</vt:i4>
      </vt:variant>
      <vt:variant>
        <vt:i4>107</vt:i4>
      </vt:variant>
      <vt:variant>
        <vt:i4>0</vt:i4>
      </vt:variant>
      <vt:variant>
        <vt:i4>5</vt:i4>
      </vt:variant>
      <vt:variant>
        <vt:lpwstr/>
      </vt:variant>
      <vt:variant>
        <vt:lpwstr>_Toc304199323</vt:lpwstr>
      </vt:variant>
      <vt:variant>
        <vt:i4>1900605</vt:i4>
      </vt:variant>
      <vt:variant>
        <vt:i4>101</vt:i4>
      </vt:variant>
      <vt:variant>
        <vt:i4>0</vt:i4>
      </vt:variant>
      <vt:variant>
        <vt:i4>5</vt:i4>
      </vt:variant>
      <vt:variant>
        <vt:lpwstr/>
      </vt:variant>
      <vt:variant>
        <vt:lpwstr>_Toc304199322</vt:lpwstr>
      </vt:variant>
      <vt:variant>
        <vt:i4>1900605</vt:i4>
      </vt:variant>
      <vt:variant>
        <vt:i4>95</vt:i4>
      </vt:variant>
      <vt:variant>
        <vt:i4>0</vt:i4>
      </vt:variant>
      <vt:variant>
        <vt:i4>5</vt:i4>
      </vt:variant>
      <vt:variant>
        <vt:lpwstr/>
      </vt:variant>
      <vt:variant>
        <vt:lpwstr>_Toc304199321</vt:lpwstr>
      </vt:variant>
      <vt:variant>
        <vt:i4>1900605</vt:i4>
      </vt:variant>
      <vt:variant>
        <vt:i4>89</vt:i4>
      </vt:variant>
      <vt:variant>
        <vt:i4>0</vt:i4>
      </vt:variant>
      <vt:variant>
        <vt:i4>5</vt:i4>
      </vt:variant>
      <vt:variant>
        <vt:lpwstr/>
      </vt:variant>
      <vt:variant>
        <vt:lpwstr>_Toc304199320</vt:lpwstr>
      </vt:variant>
      <vt:variant>
        <vt:i4>1966141</vt:i4>
      </vt:variant>
      <vt:variant>
        <vt:i4>83</vt:i4>
      </vt:variant>
      <vt:variant>
        <vt:i4>0</vt:i4>
      </vt:variant>
      <vt:variant>
        <vt:i4>5</vt:i4>
      </vt:variant>
      <vt:variant>
        <vt:lpwstr/>
      </vt:variant>
      <vt:variant>
        <vt:lpwstr>_Toc304199319</vt:lpwstr>
      </vt:variant>
      <vt:variant>
        <vt:i4>1966141</vt:i4>
      </vt:variant>
      <vt:variant>
        <vt:i4>77</vt:i4>
      </vt:variant>
      <vt:variant>
        <vt:i4>0</vt:i4>
      </vt:variant>
      <vt:variant>
        <vt:i4>5</vt:i4>
      </vt:variant>
      <vt:variant>
        <vt:lpwstr/>
      </vt:variant>
      <vt:variant>
        <vt:lpwstr>_Toc304199318</vt:lpwstr>
      </vt:variant>
      <vt:variant>
        <vt:i4>1966141</vt:i4>
      </vt:variant>
      <vt:variant>
        <vt:i4>71</vt:i4>
      </vt:variant>
      <vt:variant>
        <vt:i4>0</vt:i4>
      </vt:variant>
      <vt:variant>
        <vt:i4>5</vt:i4>
      </vt:variant>
      <vt:variant>
        <vt:lpwstr/>
      </vt:variant>
      <vt:variant>
        <vt:lpwstr>_Toc304199317</vt:lpwstr>
      </vt:variant>
      <vt:variant>
        <vt:i4>1966141</vt:i4>
      </vt:variant>
      <vt:variant>
        <vt:i4>65</vt:i4>
      </vt:variant>
      <vt:variant>
        <vt:i4>0</vt:i4>
      </vt:variant>
      <vt:variant>
        <vt:i4>5</vt:i4>
      </vt:variant>
      <vt:variant>
        <vt:lpwstr/>
      </vt:variant>
      <vt:variant>
        <vt:lpwstr>_Toc304199316</vt:lpwstr>
      </vt:variant>
      <vt:variant>
        <vt:i4>1966141</vt:i4>
      </vt:variant>
      <vt:variant>
        <vt:i4>59</vt:i4>
      </vt:variant>
      <vt:variant>
        <vt:i4>0</vt:i4>
      </vt:variant>
      <vt:variant>
        <vt:i4>5</vt:i4>
      </vt:variant>
      <vt:variant>
        <vt:lpwstr/>
      </vt:variant>
      <vt:variant>
        <vt:lpwstr>_Toc304199315</vt:lpwstr>
      </vt:variant>
      <vt:variant>
        <vt:i4>1966141</vt:i4>
      </vt:variant>
      <vt:variant>
        <vt:i4>53</vt:i4>
      </vt:variant>
      <vt:variant>
        <vt:i4>0</vt:i4>
      </vt:variant>
      <vt:variant>
        <vt:i4>5</vt:i4>
      </vt:variant>
      <vt:variant>
        <vt:lpwstr/>
      </vt:variant>
      <vt:variant>
        <vt:lpwstr>_Toc304199314</vt:lpwstr>
      </vt:variant>
      <vt:variant>
        <vt:i4>1966141</vt:i4>
      </vt:variant>
      <vt:variant>
        <vt:i4>47</vt:i4>
      </vt:variant>
      <vt:variant>
        <vt:i4>0</vt:i4>
      </vt:variant>
      <vt:variant>
        <vt:i4>5</vt:i4>
      </vt:variant>
      <vt:variant>
        <vt:lpwstr/>
      </vt:variant>
      <vt:variant>
        <vt:lpwstr>_Toc304199313</vt:lpwstr>
      </vt:variant>
      <vt:variant>
        <vt:i4>1966141</vt:i4>
      </vt:variant>
      <vt:variant>
        <vt:i4>41</vt:i4>
      </vt:variant>
      <vt:variant>
        <vt:i4>0</vt:i4>
      </vt:variant>
      <vt:variant>
        <vt:i4>5</vt:i4>
      </vt:variant>
      <vt:variant>
        <vt:lpwstr/>
      </vt:variant>
      <vt:variant>
        <vt:lpwstr>_Toc304199312</vt:lpwstr>
      </vt:variant>
      <vt:variant>
        <vt:i4>1966141</vt:i4>
      </vt:variant>
      <vt:variant>
        <vt:i4>35</vt:i4>
      </vt:variant>
      <vt:variant>
        <vt:i4>0</vt:i4>
      </vt:variant>
      <vt:variant>
        <vt:i4>5</vt:i4>
      </vt:variant>
      <vt:variant>
        <vt:lpwstr/>
      </vt:variant>
      <vt:variant>
        <vt:lpwstr>_Toc304199311</vt:lpwstr>
      </vt:variant>
      <vt:variant>
        <vt:i4>1966141</vt:i4>
      </vt:variant>
      <vt:variant>
        <vt:i4>29</vt:i4>
      </vt:variant>
      <vt:variant>
        <vt:i4>0</vt:i4>
      </vt:variant>
      <vt:variant>
        <vt:i4>5</vt:i4>
      </vt:variant>
      <vt:variant>
        <vt:lpwstr/>
      </vt:variant>
      <vt:variant>
        <vt:lpwstr>_Toc304199310</vt:lpwstr>
      </vt:variant>
      <vt:variant>
        <vt:i4>2031677</vt:i4>
      </vt:variant>
      <vt:variant>
        <vt:i4>23</vt:i4>
      </vt:variant>
      <vt:variant>
        <vt:i4>0</vt:i4>
      </vt:variant>
      <vt:variant>
        <vt:i4>5</vt:i4>
      </vt:variant>
      <vt:variant>
        <vt:lpwstr/>
      </vt:variant>
      <vt:variant>
        <vt:lpwstr>_Toc304199309</vt:lpwstr>
      </vt:variant>
      <vt:variant>
        <vt:i4>2031677</vt:i4>
      </vt:variant>
      <vt:variant>
        <vt:i4>17</vt:i4>
      </vt:variant>
      <vt:variant>
        <vt:i4>0</vt:i4>
      </vt:variant>
      <vt:variant>
        <vt:i4>5</vt:i4>
      </vt:variant>
      <vt:variant>
        <vt:lpwstr/>
      </vt:variant>
      <vt:variant>
        <vt:lpwstr>_Toc304199308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dainsworth001</dc:creator>
  <cp:lastModifiedBy>Rawcliffe, Cath</cp:lastModifiedBy>
  <cp:revision>2</cp:revision>
  <cp:lastPrinted>2014-09-18T13:25:00Z</cp:lastPrinted>
  <dcterms:created xsi:type="dcterms:W3CDTF">2014-09-20T16:15:00Z</dcterms:created>
  <dcterms:modified xsi:type="dcterms:W3CDTF">2014-09-20T16:15:00Z</dcterms:modified>
</cp:coreProperties>
</file>